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CODE-LAYOUT, READABILITY AND REUSABILITY</w:t>
      </w:r>
    </w:p>
    <w:tbl>
      <w:tblPr>
        <w:tblStyle w:val="TableGrid"/>
        <w:tblW w:type="auto" w:w="0"/>
        <w:jc w:val="center"/>
        <w:tblLook w:firstColumn="1" w:firstRow="1" w:lastColumn="0" w:lastRow="0" w:noHBand="0" w:noVBand="1" w:val="04A0"/>
      </w:tblPr>
      <w:tblGrid>
        <w:gridCol w:w="5184"/>
        <w:gridCol w:w="5184"/>
      </w:tblGrid>
      <w:tr>
        <w:tc>
          <w:tcPr>
            <w:tcW w:type="dxa" w:w="2160"/>
            <w:vAlign w:val="center"/>
            <w:shd w:fill="D9EAF7"/>
          </w:tcPr>
          <w:p>
            <w:pPr>
              <w:jc w:val="left"/>
            </w:pPr>
            <w:r/>
            <w:r>
              <w:rPr>
                <w:rFonts w:ascii="Calibri" w:hAnsi="Calibri"/>
                <w:b/>
                <w:sz w:val="20"/>
              </w:rPr>
              <w:t>Date</w:t>
            </w:r>
          </w:p>
        </w:tc>
        <w:tc>
          <w:tcPr>
            <w:tcW w:type="dxa" w:w="8496"/>
            <w:vAlign w:val="center"/>
          </w:tcPr>
          <w:p>
            <w:pPr>
              <w:jc w:val="left"/>
            </w:pPr>
            <w:r/>
            <w:r>
              <w:rPr>
                <w:rFonts w:ascii="Calibri" w:hAnsi="Calibri"/>
                <w:b w:val="0"/>
                <w:sz w:val="20"/>
              </w:rPr>
              <w:t>30 September 2026</w:t>
            </w:r>
          </w:p>
        </w:tc>
      </w:tr>
      <w:tr>
        <w:tc>
          <w:tcPr>
            <w:tcW w:type="dxa" w:w="2160"/>
            <w:vAlign w:val="center"/>
            <w:shd w:fill="D9EAF7"/>
          </w:tcPr>
          <w:p>
            <w:pPr>
              <w:jc w:val="left"/>
            </w:pPr>
            <w:r/>
            <w:r>
              <w:rPr>
                <w:rFonts w:ascii="Calibri" w:hAnsi="Calibri"/>
                <w:b/>
                <w:sz w:val="20"/>
              </w:rPr>
              <w:t>Team ID</w:t>
            </w:r>
          </w:p>
        </w:tc>
        <w:tc>
          <w:tcPr>
            <w:tcW w:type="dxa" w:w="8496"/>
            <w:vAlign w:val="center"/>
          </w:tcPr>
          <w:p>
            <w:pPr>
              <w:jc w:val="left"/>
            </w:pPr>
            <w:r/>
            <w:r>
              <w:rPr>
                <w:rFonts w:ascii="Calibri" w:hAnsi="Calibri"/>
                <w:b w:val="0"/>
                <w:sz w:val="20"/>
              </w:rPr>
              <w:t>SWTID-2026-3990</w:t>
            </w:r>
          </w:p>
        </w:tc>
      </w:tr>
      <w:tr>
        <w:tc>
          <w:tcPr>
            <w:tcW w:type="dxa" w:w="2160"/>
            <w:vAlign w:val="center"/>
            <w:shd w:fill="D9EAF7"/>
          </w:tcPr>
          <w:p>
            <w:pPr>
              <w:jc w:val="left"/>
            </w:pPr>
            <w:r/>
            <w:r>
              <w:rPr>
                <w:rFonts w:ascii="Calibri" w:hAnsi="Calibri"/>
                <w:b/>
                <w:sz w:val="20"/>
              </w:rPr>
              <w:t>Project Name</w:t>
            </w:r>
          </w:p>
        </w:tc>
        <w:tc>
          <w:tcPr>
            <w:tcW w:type="dxa" w:w="8496"/>
            <w:vAlign w:val="center"/>
          </w:tcPr>
          <w:p>
            <w:pPr>
              <w:jc w:val="left"/>
            </w:pPr>
            <w:r/>
            <w:r>
              <w:rPr>
                <w:rFonts w:ascii="Calibri" w:hAnsi="Calibri"/>
                <w:b w:val="0"/>
                <w:sz w:val="20"/>
              </w:rPr>
              <w:t>LegalEase AI</w:t>
            </w:r>
          </w:p>
        </w:tc>
      </w:tr>
      <w:tr>
        <w:tc>
          <w:tcPr>
            <w:tcW w:type="dxa" w:w="2160"/>
            <w:vAlign w:val="center"/>
            <w:shd w:fill="D9EAF7"/>
          </w:tcPr>
          <w:p>
            <w:pPr>
              <w:jc w:val="left"/>
            </w:pPr>
            <w:r/>
            <w:r>
              <w:rPr>
                <w:rFonts w:ascii="Calibri" w:hAnsi="Calibri"/>
                <w:b/>
                <w:sz w:val="20"/>
              </w:rPr>
              <w:t>Team Members</w:t>
            </w:r>
          </w:p>
        </w:tc>
        <w:tc>
          <w:tcPr>
            <w:tcW w:type="dxa" w:w="8496"/>
            <w:vAlign w:val="center"/>
          </w:tcPr>
          <w:p>
            <w:pPr>
              <w:jc w:val="left"/>
            </w:pPr>
            <w:r/>
            <w:r>
              <w:rPr>
                <w:rFonts w:ascii="Calibri" w:hAnsi="Calibri"/>
                <w:b w:val="0"/>
                <w:sz w:val="20"/>
              </w:rPr>
              <w:t>Bharaneeshwar.V; Pragadheeswaran.S; Santhosh kumar.G; Karthikeyan.P; Kesavan.N</w:t>
            </w:r>
          </w:p>
        </w:tc>
      </w:tr>
    </w:tbl>
    <w:p>
      <w:r>
        <w:rPr>
          <w:b/>
          <w:sz w:val="24"/>
        </w:rPr>
        <w:t>Purpose</w:t>
      </w:r>
    </w:p>
    <w:p>
      <w:r>
        <w:t>This document evaluates the LegalEase AI codebase in terms of layout, readability, and reusability, based on the project architecture, modules, functions, and implementation details documented in the supplied LegalEase project specification.</w:t>
      </w:r>
    </w:p>
    <w:p>
      <w:r>
        <w:rPr>
          <w:b/>
          <w:sz w:val="26"/>
        </w:rPr>
        <w:t>1. Code Layout Checklist</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648"/>
            <w:vAlign w:val="center"/>
            <w:shd w:fill="1F4E78"/>
          </w:tcPr>
          <w:p>
            <w:pPr>
              <w:jc w:val="center"/>
            </w:pPr>
            <w:r/>
            <w:r>
              <w:rPr>
                <w:rFonts w:ascii="Calibri" w:hAnsi="Calibri"/>
                <w:b/>
                <w:color w:val="FFFFFF"/>
                <w:sz w:val="18"/>
              </w:rPr>
              <w:t>S.No</w:t>
            </w:r>
          </w:p>
        </w:tc>
        <w:tc>
          <w:tcPr>
            <w:tcW w:type="dxa" w:w="2376"/>
            <w:vAlign w:val="center"/>
            <w:shd w:fill="1F4E78"/>
          </w:tcPr>
          <w:p>
            <w:pPr>
              <w:jc w:val="center"/>
            </w:pPr>
            <w:r/>
            <w:r>
              <w:rPr>
                <w:rFonts w:ascii="Calibri" w:hAnsi="Calibri"/>
                <w:b/>
                <w:color w:val="FFFFFF"/>
                <w:sz w:val="18"/>
              </w:rPr>
              <w:t>Code Quality Parameter</w:t>
            </w:r>
          </w:p>
        </w:tc>
        <w:tc>
          <w:tcPr>
            <w:tcW w:type="dxa" w:w="1080"/>
            <w:vAlign w:val="center"/>
            <w:shd w:fill="1F4E78"/>
          </w:tcPr>
          <w:p>
            <w:pPr>
              <w:jc w:val="center"/>
            </w:pPr>
            <w:r/>
            <w:r>
              <w:rPr>
                <w:rFonts w:ascii="Calibri" w:hAnsi="Calibri"/>
                <w:b/>
                <w:color w:val="FFFFFF"/>
                <w:sz w:val="18"/>
              </w:rPr>
              <w:t>Followed</w:t>
            </w:r>
          </w:p>
        </w:tc>
        <w:tc>
          <w:tcPr>
            <w:tcW w:type="dxa" w:w="6552"/>
            <w:vAlign w:val="center"/>
            <w:shd w:fill="1F4E78"/>
          </w:tcPr>
          <w:p>
            <w:pPr>
              <w:jc w:val="center"/>
            </w:pPr>
            <w:r/>
            <w:r>
              <w:rPr>
                <w:rFonts w:ascii="Calibri" w:hAnsi="Calibri"/>
                <w:b/>
                <w:color w:val="FFFFFF"/>
                <w:sz w:val="18"/>
              </w:rPr>
              <w:t>Remarks</w:t>
            </w:r>
          </w:p>
        </w:tc>
      </w:tr>
      <w:tr>
        <w:tc>
          <w:tcPr>
            <w:tcW w:type="dxa" w:w="648"/>
            <w:vAlign w:val="center"/>
          </w:tcPr>
          <w:p>
            <w:pPr>
              <w:jc w:val="center"/>
            </w:pPr>
            <w:r/>
            <w:r>
              <w:rPr>
                <w:rFonts w:ascii="Calibri" w:hAnsi="Calibri"/>
                <w:b w:val="0"/>
                <w:sz w:val="16"/>
              </w:rPr>
              <w:t>1</w:t>
            </w:r>
          </w:p>
        </w:tc>
        <w:tc>
          <w:tcPr>
            <w:tcW w:type="dxa" w:w="2376"/>
            <w:vAlign w:val="center"/>
          </w:tcPr>
          <w:p>
            <w:pPr>
              <w:jc w:val="left"/>
            </w:pPr>
            <w:r/>
            <w:r>
              <w:rPr>
                <w:rFonts w:ascii="Calibri" w:hAnsi="Calibri"/>
                <w:b w:val="0"/>
                <w:sz w:val="16"/>
              </w:rPr>
              <w:t>Consistent Indentation</w:t>
            </w:r>
          </w:p>
        </w:tc>
        <w:tc>
          <w:tcPr>
            <w:tcW w:type="dxa" w:w="1080"/>
            <w:vAlign w:val="center"/>
          </w:tcPr>
          <w:p>
            <w:pPr>
              <w:jc w:val="center"/>
            </w:pPr>
            <w:r/>
            <w:r>
              <w:rPr>
                <w:rFonts w:ascii="Calibri" w:hAnsi="Calibri"/>
                <w:b w:val="0"/>
                <w:sz w:val="16"/>
              </w:rPr>
              <w:t>Yes</w:t>
            </w:r>
          </w:p>
        </w:tc>
        <w:tc>
          <w:tcPr>
            <w:tcW w:type="dxa" w:w="6552"/>
            <w:vAlign w:val="center"/>
          </w:tcPr>
          <w:p>
            <w:pPr>
              <w:jc w:val="left"/>
            </w:pPr>
            <w:r/>
            <w:r>
              <w:rPr>
                <w:rFonts w:ascii="Calibri" w:hAnsi="Calibri"/>
                <w:b w:val="0"/>
                <w:sz w:val="16"/>
              </w:rPr>
              <w:t>The LegalEase implementation is Python-based and follows a structured module/function approach.</w:t>
            </w:r>
          </w:p>
        </w:tc>
      </w:tr>
      <w:tr>
        <w:tc>
          <w:tcPr>
            <w:tcW w:type="dxa" w:w="648"/>
            <w:vAlign w:val="center"/>
          </w:tcPr>
          <w:p>
            <w:pPr>
              <w:jc w:val="center"/>
            </w:pPr>
            <w:r/>
            <w:r>
              <w:rPr>
                <w:rFonts w:ascii="Calibri" w:hAnsi="Calibri"/>
                <w:b w:val="0"/>
                <w:sz w:val="16"/>
              </w:rPr>
              <w:t>2</w:t>
            </w:r>
          </w:p>
        </w:tc>
        <w:tc>
          <w:tcPr>
            <w:tcW w:type="dxa" w:w="2376"/>
            <w:vAlign w:val="center"/>
          </w:tcPr>
          <w:p>
            <w:pPr>
              <w:jc w:val="left"/>
            </w:pPr>
            <w:r/>
            <w:r>
              <w:rPr>
                <w:rFonts w:ascii="Calibri" w:hAnsi="Calibri"/>
                <w:b w:val="0"/>
                <w:sz w:val="16"/>
              </w:rPr>
              <w:t>Proper File Structure</w:t>
            </w:r>
          </w:p>
        </w:tc>
        <w:tc>
          <w:tcPr>
            <w:tcW w:type="dxa" w:w="1080"/>
            <w:vAlign w:val="center"/>
          </w:tcPr>
          <w:p>
            <w:pPr>
              <w:jc w:val="center"/>
            </w:pPr>
            <w:r/>
            <w:r>
              <w:rPr>
                <w:rFonts w:ascii="Calibri" w:hAnsi="Calibri"/>
                <w:b w:val="0"/>
                <w:sz w:val="16"/>
              </w:rPr>
              <w:t>Yes</w:t>
            </w:r>
          </w:p>
        </w:tc>
        <w:tc>
          <w:tcPr>
            <w:tcW w:type="dxa" w:w="6552"/>
            <w:vAlign w:val="center"/>
          </w:tcPr>
          <w:p>
            <w:pPr>
              <w:jc w:val="left"/>
            </w:pPr>
            <w:r/>
            <w:r>
              <w:rPr>
                <w:rFonts w:ascii="Calibri" w:hAnsi="Calibri"/>
                <w:b w:val="0"/>
                <w:sz w:val="16"/>
              </w:rPr>
              <w:t>The project separates the FastAPI application, routes, AI core, frontend, and document-formatting responsibilities.</w:t>
            </w:r>
          </w:p>
        </w:tc>
      </w:tr>
      <w:tr>
        <w:tc>
          <w:tcPr>
            <w:tcW w:type="dxa" w:w="648"/>
            <w:vAlign w:val="center"/>
          </w:tcPr>
          <w:p>
            <w:pPr>
              <w:jc w:val="center"/>
            </w:pPr>
            <w:r/>
            <w:r>
              <w:rPr>
                <w:rFonts w:ascii="Calibri" w:hAnsi="Calibri"/>
                <w:b w:val="0"/>
                <w:sz w:val="16"/>
              </w:rPr>
              <w:t>3</w:t>
            </w:r>
          </w:p>
        </w:tc>
        <w:tc>
          <w:tcPr>
            <w:tcW w:type="dxa" w:w="2376"/>
            <w:vAlign w:val="center"/>
          </w:tcPr>
          <w:p>
            <w:pPr>
              <w:jc w:val="left"/>
            </w:pPr>
            <w:r/>
            <w:r>
              <w:rPr>
                <w:rFonts w:ascii="Calibri" w:hAnsi="Calibri"/>
                <w:b w:val="0"/>
                <w:sz w:val="16"/>
              </w:rPr>
              <w:t>Meaningful Variable Names</w:t>
            </w:r>
          </w:p>
        </w:tc>
        <w:tc>
          <w:tcPr>
            <w:tcW w:type="dxa" w:w="1080"/>
            <w:vAlign w:val="center"/>
          </w:tcPr>
          <w:p>
            <w:pPr>
              <w:jc w:val="center"/>
            </w:pPr>
            <w:r/>
            <w:r>
              <w:rPr>
                <w:rFonts w:ascii="Calibri" w:hAnsi="Calibri"/>
                <w:b w:val="0"/>
                <w:sz w:val="16"/>
              </w:rPr>
              <w:t>Yes</w:t>
            </w:r>
          </w:p>
        </w:tc>
        <w:tc>
          <w:tcPr>
            <w:tcW w:type="dxa" w:w="6552"/>
            <w:vAlign w:val="center"/>
          </w:tcPr>
          <w:p>
            <w:pPr>
              <w:jc w:val="left"/>
            </w:pPr>
            <w:r/>
            <w:r>
              <w:rPr>
                <w:rFonts w:ascii="Calibri" w:hAnsi="Calibri"/>
                <w:b w:val="0"/>
                <w:sz w:val="16"/>
              </w:rPr>
              <w:t>Names such as document_type, parties, terms, dates, and DocumentRequest clearly represent their purpose.</w:t>
            </w:r>
          </w:p>
        </w:tc>
      </w:tr>
      <w:tr>
        <w:tc>
          <w:tcPr>
            <w:tcW w:type="dxa" w:w="648"/>
            <w:vAlign w:val="center"/>
          </w:tcPr>
          <w:p>
            <w:pPr>
              <w:jc w:val="center"/>
            </w:pPr>
            <w:r/>
            <w:r>
              <w:rPr>
                <w:rFonts w:ascii="Calibri" w:hAnsi="Calibri"/>
                <w:b w:val="0"/>
                <w:sz w:val="16"/>
              </w:rPr>
              <w:t>4</w:t>
            </w:r>
          </w:p>
        </w:tc>
        <w:tc>
          <w:tcPr>
            <w:tcW w:type="dxa" w:w="2376"/>
            <w:vAlign w:val="center"/>
          </w:tcPr>
          <w:p>
            <w:pPr>
              <w:jc w:val="left"/>
            </w:pPr>
            <w:r/>
            <w:r>
              <w:rPr>
                <w:rFonts w:ascii="Calibri" w:hAnsi="Calibri"/>
                <w:b w:val="0"/>
                <w:sz w:val="16"/>
              </w:rPr>
              <w:t>Function / Method Names</w:t>
            </w:r>
          </w:p>
        </w:tc>
        <w:tc>
          <w:tcPr>
            <w:tcW w:type="dxa" w:w="1080"/>
            <w:vAlign w:val="center"/>
          </w:tcPr>
          <w:p>
            <w:pPr>
              <w:jc w:val="center"/>
            </w:pPr>
            <w:r/>
            <w:r>
              <w:rPr>
                <w:rFonts w:ascii="Calibri" w:hAnsi="Calibri"/>
                <w:b w:val="0"/>
                <w:sz w:val="16"/>
              </w:rPr>
              <w:t>Yes</w:t>
            </w:r>
          </w:p>
        </w:tc>
        <w:tc>
          <w:tcPr>
            <w:tcW w:type="dxa" w:w="6552"/>
            <w:vAlign w:val="center"/>
          </w:tcPr>
          <w:p>
            <w:pPr>
              <w:jc w:val="left"/>
            </w:pPr>
            <w:r/>
            <w:r>
              <w:rPr>
                <w:rFonts w:ascii="Calibri" w:hAnsi="Calibri"/>
                <w:b w:val="0"/>
                <w:sz w:val="16"/>
              </w:rPr>
              <w:t>Functions such as generate_document, sanitize_text, format_docx, format_pdf, and format_html_preview are descriptive.</w:t>
            </w:r>
          </w:p>
        </w:tc>
      </w:tr>
      <w:tr>
        <w:tc>
          <w:tcPr>
            <w:tcW w:type="dxa" w:w="648"/>
            <w:vAlign w:val="center"/>
          </w:tcPr>
          <w:p>
            <w:pPr>
              <w:jc w:val="center"/>
            </w:pPr>
            <w:r/>
            <w:r>
              <w:rPr>
                <w:rFonts w:ascii="Calibri" w:hAnsi="Calibri"/>
                <w:b w:val="0"/>
                <w:sz w:val="16"/>
              </w:rPr>
              <w:t>5</w:t>
            </w:r>
          </w:p>
        </w:tc>
        <w:tc>
          <w:tcPr>
            <w:tcW w:type="dxa" w:w="2376"/>
            <w:vAlign w:val="center"/>
          </w:tcPr>
          <w:p>
            <w:pPr>
              <w:jc w:val="left"/>
            </w:pPr>
            <w:r/>
            <w:r>
              <w:rPr>
                <w:rFonts w:ascii="Calibri" w:hAnsi="Calibri"/>
                <w:b w:val="0"/>
                <w:sz w:val="16"/>
              </w:rPr>
              <w:t>Code Comments</w:t>
            </w:r>
          </w:p>
        </w:tc>
        <w:tc>
          <w:tcPr>
            <w:tcW w:type="dxa" w:w="1080"/>
            <w:vAlign w:val="center"/>
          </w:tcPr>
          <w:p>
            <w:pPr>
              <w:jc w:val="center"/>
            </w:pPr>
            <w:r/>
            <w:r>
              <w:rPr>
                <w:rFonts w:ascii="Calibri" w:hAnsi="Calibri"/>
                <w:b w:val="0"/>
                <w:sz w:val="16"/>
              </w:rPr>
              <w:t>Partial</w:t>
            </w:r>
          </w:p>
        </w:tc>
        <w:tc>
          <w:tcPr>
            <w:tcW w:type="dxa" w:w="6552"/>
            <w:vAlign w:val="center"/>
          </w:tcPr>
          <w:p>
            <w:pPr>
              <w:jc w:val="left"/>
            </w:pPr>
            <w:r/>
            <w:r>
              <w:rPr>
                <w:rFonts w:ascii="Calibri" w:hAnsi="Calibri"/>
                <w:b w:val="0"/>
                <w:sz w:val="16"/>
              </w:rPr>
              <w:t>The project documentation is detailed, but the supplied PDF does not provide enough source-code evidence to confirm comprehensive inline comments.</w:t>
            </w:r>
          </w:p>
        </w:tc>
      </w:tr>
      <w:tr>
        <w:tc>
          <w:tcPr>
            <w:tcW w:type="dxa" w:w="648"/>
            <w:vAlign w:val="center"/>
          </w:tcPr>
          <w:p>
            <w:pPr>
              <w:jc w:val="center"/>
            </w:pPr>
            <w:r/>
            <w:r>
              <w:rPr>
                <w:rFonts w:ascii="Calibri" w:hAnsi="Calibri"/>
                <w:b w:val="0"/>
                <w:sz w:val="16"/>
              </w:rPr>
              <w:t>6</w:t>
            </w:r>
          </w:p>
        </w:tc>
        <w:tc>
          <w:tcPr>
            <w:tcW w:type="dxa" w:w="2376"/>
            <w:vAlign w:val="center"/>
          </w:tcPr>
          <w:p>
            <w:pPr>
              <w:jc w:val="left"/>
            </w:pPr>
            <w:r/>
            <w:r>
              <w:rPr>
                <w:rFonts w:ascii="Calibri" w:hAnsi="Calibri"/>
                <w:b w:val="0"/>
                <w:sz w:val="16"/>
              </w:rPr>
              <w:t>Modular Design</w:t>
            </w:r>
          </w:p>
        </w:tc>
        <w:tc>
          <w:tcPr>
            <w:tcW w:type="dxa" w:w="1080"/>
            <w:vAlign w:val="center"/>
          </w:tcPr>
          <w:p>
            <w:pPr>
              <w:jc w:val="center"/>
            </w:pPr>
            <w:r/>
            <w:r>
              <w:rPr>
                <w:rFonts w:ascii="Calibri" w:hAnsi="Calibri"/>
                <w:b w:val="0"/>
                <w:sz w:val="16"/>
              </w:rPr>
              <w:t>Yes</w:t>
            </w:r>
          </w:p>
        </w:tc>
        <w:tc>
          <w:tcPr>
            <w:tcW w:type="dxa" w:w="6552"/>
            <w:vAlign w:val="center"/>
          </w:tcPr>
          <w:p>
            <w:pPr>
              <w:jc w:val="left"/>
            </w:pPr>
            <w:r/>
            <w:r>
              <w:rPr>
                <w:rFonts w:ascii="Calibri" w:hAnsi="Calibri"/>
                <w:b w:val="0"/>
                <w:sz w:val="16"/>
              </w:rPr>
              <w:t>The documented architecture uses main.py, routes.py, ai_core/gemini_generator.py, and separate formatting utilities.</w:t>
            </w:r>
          </w:p>
        </w:tc>
      </w:tr>
      <w:tr>
        <w:tc>
          <w:tcPr>
            <w:tcW w:type="dxa" w:w="648"/>
            <w:vAlign w:val="center"/>
          </w:tcPr>
          <w:p>
            <w:pPr>
              <w:jc w:val="center"/>
            </w:pPr>
            <w:r/>
            <w:r>
              <w:rPr>
                <w:rFonts w:ascii="Calibri" w:hAnsi="Calibri"/>
                <w:b w:val="0"/>
                <w:sz w:val="16"/>
              </w:rPr>
              <w:t>7</w:t>
            </w:r>
          </w:p>
        </w:tc>
        <w:tc>
          <w:tcPr>
            <w:tcW w:type="dxa" w:w="2376"/>
            <w:vAlign w:val="center"/>
          </w:tcPr>
          <w:p>
            <w:pPr>
              <w:jc w:val="left"/>
            </w:pPr>
            <w:r/>
            <w:r>
              <w:rPr>
                <w:rFonts w:ascii="Calibri" w:hAnsi="Calibri"/>
                <w:b w:val="0"/>
                <w:sz w:val="16"/>
              </w:rPr>
              <w:t>No Redundant Code</w:t>
            </w:r>
          </w:p>
        </w:tc>
        <w:tc>
          <w:tcPr>
            <w:tcW w:type="dxa" w:w="1080"/>
            <w:vAlign w:val="center"/>
          </w:tcPr>
          <w:p>
            <w:pPr>
              <w:jc w:val="center"/>
            </w:pPr>
            <w:r/>
            <w:r>
              <w:rPr>
                <w:rFonts w:ascii="Calibri" w:hAnsi="Calibri"/>
                <w:b w:val="0"/>
                <w:sz w:val="16"/>
              </w:rPr>
              <w:t>Yes</w:t>
            </w:r>
          </w:p>
        </w:tc>
        <w:tc>
          <w:tcPr>
            <w:tcW w:type="dxa" w:w="6552"/>
            <w:vAlign w:val="center"/>
          </w:tcPr>
          <w:p>
            <w:pPr>
              <w:jc w:val="left"/>
            </w:pPr>
            <w:r/>
            <w:r>
              <w:rPr>
                <w:rFonts w:ascii="Calibri" w:hAnsi="Calibri"/>
                <w:b w:val="0"/>
                <w:sz w:val="16"/>
              </w:rPr>
              <w:t>The documented functionality is divided into dedicated reusable functions for sanitizing, formatting, previewing, and generation.</w:t>
            </w:r>
          </w:p>
        </w:tc>
      </w:tr>
      <w:tr>
        <w:tc>
          <w:tcPr>
            <w:tcW w:type="dxa" w:w="648"/>
            <w:vAlign w:val="center"/>
          </w:tcPr>
          <w:p>
            <w:pPr>
              <w:jc w:val="center"/>
            </w:pPr>
            <w:r/>
            <w:r>
              <w:rPr>
                <w:rFonts w:ascii="Calibri" w:hAnsi="Calibri"/>
                <w:b w:val="0"/>
                <w:sz w:val="16"/>
              </w:rPr>
              <w:t>8</w:t>
            </w:r>
          </w:p>
        </w:tc>
        <w:tc>
          <w:tcPr>
            <w:tcW w:type="dxa" w:w="2376"/>
            <w:vAlign w:val="center"/>
          </w:tcPr>
          <w:p>
            <w:pPr>
              <w:jc w:val="left"/>
            </w:pPr>
            <w:r/>
            <w:r>
              <w:rPr>
                <w:rFonts w:ascii="Calibri" w:hAnsi="Calibri"/>
                <w:b w:val="0"/>
                <w:sz w:val="16"/>
              </w:rPr>
              <w:t>Error Handling</w:t>
            </w:r>
          </w:p>
        </w:tc>
        <w:tc>
          <w:tcPr>
            <w:tcW w:type="dxa" w:w="1080"/>
            <w:vAlign w:val="center"/>
          </w:tcPr>
          <w:p>
            <w:pPr>
              <w:jc w:val="center"/>
            </w:pPr>
            <w:r/>
            <w:r>
              <w:rPr>
                <w:rFonts w:ascii="Calibri" w:hAnsi="Calibri"/>
                <w:b w:val="0"/>
                <w:sz w:val="16"/>
              </w:rPr>
              <w:t>Partial</w:t>
            </w:r>
          </w:p>
        </w:tc>
        <w:tc>
          <w:tcPr>
            <w:tcW w:type="dxa" w:w="6552"/>
            <w:vAlign w:val="center"/>
          </w:tcPr>
          <w:p>
            <w:pPr>
              <w:jc w:val="left"/>
            </w:pPr>
            <w:r/>
            <w:r>
              <w:rPr>
                <w:rFonts w:ascii="Calibri" w:hAnsi="Calibri"/>
                <w:b w:val="0"/>
                <w:sz w:val="16"/>
              </w:rPr>
              <w:t>Pydantic validation is specified for incoming requests, but detailed exception-handling implementation is not documented in the supplied PDF.</w:t>
            </w:r>
          </w:p>
        </w:tc>
      </w:tr>
    </w:tbl>
    <w:p/>
    <w:p>
      <w:r>
        <w:rPr>
          <w:b/>
          <w:sz w:val="26"/>
        </w:rPr>
        <w:t>2. Reusable Components / Modules</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576"/>
            <w:vAlign w:val="center"/>
            <w:shd w:fill="1F4E78"/>
          </w:tcPr>
          <w:p>
            <w:pPr>
              <w:jc w:val="center"/>
            </w:pPr>
            <w:r/>
            <w:r>
              <w:rPr>
                <w:rFonts w:ascii="Calibri" w:hAnsi="Calibri"/>
                <w:b/>
                <w:color w:val="FFFFFF"/>
                <w:sz w:val="16"/>
              </w:rPr>
              <w:t>S.No</w:t>
            </w:r>
          </w:p>
        </w:tc>
        <w:tc>
          <w:tcPr>
            <w:tcW w:type="dxa" w:w="1944"/>
            <w:vAlign w:val="center"/>
            <w:shd w:fill="1F4E78"/>
          </w:tcPr>
          <w:p>
            <w:pPr>
              <w:jc w:val="center"/>
            </w:pPr>
            <w:r/>
            <w:r>
              <w:rPr>
                <w:rFonts w:ascii="Calibri" w:hAnsi="Calibri"/>
                <w:b/>
                <w:color w:val="FFFFFF"/>
                <w:sz w:val="16"/>
              </w:rPr>
              <w:t>Component / Module Name</w:t>
            </w:r>
          </w:p>
        </w:tc>
        <w:tc>
          <w:tcPr>
            <w:tcW w:type="dxa" w:w="2232"/>
            <w:vAlign w:val="center"/>
            <w:shd w:fill="1F4E78"/>
          </w:tcPr>
          <w:p>
            <w:pPr>
              <w:jc w:val="center"/>
            </w:pPr>
            <w:r/>
            <w:r>
              <w:rPr>
                <w:rFonts w:ascii="Calibri" w:hAnsi="Calibri"/>
                <w:b/>
                <w:color w:val="FFFFFF"/>
                <w:sz w:val="16"/>
              </w:rPr>
              <w:t>Language / Technology</w:t>
            </w:r>
          </w:p>
        </w:tc>
        <w:tc>
          <w:tcPr>
            <w:tcW w:type="dxa" w:w="4824"/>
            <w:vAlign w:val="center"/>
            <w:shd w:fill="1F4E78"/>
          </w:tcPr>
          <w:p>
            <w:pPr>
              <w:jc w:val="center"/>
            </w:pPr>
            <w:r/>
            <w:r>
              <w:rPr>
                <w:rFonts w:ascii="Calibri" w:hAnsi="Calibri"/>
                <w:b/>
                <w:color w:val="FFFFFF"/>
                <w:sz w:val="16"/>
              </w:rPr>
              <w:t>Where Reused</w:t>
            </w:r>
          </w:p>
        </w:tc>
        <w:tc>
          <w:tcPr>
            <w:tcW w:type="dxa" w:w="1224"/>
            <w:vAlign w:val="center"/>
            <w:shd w:fill="1F4E78"/>
          </w:tcPr>
          <w:p>
            <w:pPr>
              <w:jc w:val="center"/>
            </w:pPr>
            <w:r/>
            <w:r>
              <w:rPr>
                <w:rFonts w:ascii="Calibri" w:hAnsi="Calibri"/>
                <w:b/>
                <w:color w:val="FFFFFF"/>
                <w:sz w:val="16"/>
              </w:rPr>
              <w:t>Reusability Level</w:t>
            </w:r>
          </w:p>
        </w:tc>
      </w:tr>
      <w:tr>
        <w:tc>
          <w:tcPr>
            <w:tcW w:type="dxa" w:w="576"/>
            <w:vAlign w:val="center"/>
          </w:tcPr>
          <w:p>
            <w:pPr>
              <w:jc w:val="center"/>
            </w:pPr>
            <w:r/>
            <w:r>
              <w:rPr>
                <w:rFonts w:ascii="Calibri" w:hAnsi="Calibri"/>
                <w:b w:val="0"/>
                <w:sz w:val="15"/>
              </w:rPr>
              <w:t>1</w:t>
            </w:r>
          </w:p>
        </w:tc>
        <w:tc>
          <w:tcPr>
            <w:tcW w:type="dxa" w:w="1944"/>
            <w:vAlign w:val="center"/>
          </w:tcPr>
          <w:p>
            <w:pPr>
              <w:jc w:val="left"/>
            </w:pPr>
            <w:r/>
            <w:r>
              <w:rPr>
                <w:rFonts w:ascii="Calibri" w:hAnsi="Calibri"/>
                <w:b w:val="0"/>
                <w:sz w:val="15"/>
              </w:rPr>
              <w:t>GeminiDocumentGenerator</w:t>
            </w:r>
          </w:p>
        </w:tc>
        <w:tc>
          <w:tcPr>
            <w:tcW w:type="dxa" w:w="2232"/>
            <w:vAlign w:val="center"/>
          </w:tcPr>
          <w:p>
            <w:pPr>
              <w:jc w:val="left"/>
            </w:pPr>
            <w:r/>
            <w:r>
              <w:rPr>
                <w:rFonts w:ascii="Calibri" w:hAnsi="Calibri"/>
                <w:b w:val="0"/>
                <w:sz w:val="15"/>
              </w:rPr>
              <w:t>Python / Google Gemini API</w:t>
            </w:r>
          </w:p>
        </w:tc>
        <w:tc>
          <w:tcPr>
            <w:tcW w:type="dxa" w:w="4824"/>
            <w:vAlign w:val="center"/>
          </w:tcPr>
          <w:p>
            <w:pPr>
              <w:jc w:val="left"/>
            </w:pPr>
            <w:r/>
            <w:r>
              <w:rPr>
                <w:rFonts w:ascii="Calibri" w:hAnsi="Calibri"/>
                <w:b w:val="0"/>
                <w:sz w:val="15"/>
              </w:rPr>
              <w:t>Generates legal documents from document type, parties, terms, and dates; called by the API layer.</w:t>
            </w:r>
          </w:p>
        </w:tc>
        <w:tc>
          <w:tcPr>
            <w:tcW w:type="dxa" w:w="1224"/>
            <w:vAlign w:val="center"/>
          </w:tcPr>
          <w:p>
            <w:pPr>
              <w:jc w:val="center"/>
            </w:pPr>
            <w:r/>
            <w:r>
              <w:rPr>
                <w:rFonts w:ascii="Calibri" w:hAnsi="Calibri"/>
                <w:b w:val="0"/>
                <w:sz w:val="15"/>
              </w:rPr>
              <w:t>High</w:t>
            </w:r>
          </w:p>
        </w:tc>
      </w:tr>
      <w:tr>
        <w:tc>
          <w:tcPr>
            <w:tcW w:type="dxa" w:w="576"/>
            <w:vAlign w:val="center"/>
          </w:tcPr>
          <w:p>
            <w:pPr>
              <w:jc w:val="center"/>
            </w:pPr>
            <w:r/>
            <w:r>
              <w:rPr>
                <w:rFonts w:ascii="Calibri" w:hAnsi="Calibri"/>
                <w:b w:val="0"/>
                <w:sz w:val="15"/>
              </w:rPr>
              <w:t>2</w:t>
            </w:r>
          </w:p>
        </w:tc>
        <w:tc>
          <w:tcPr>
            <w:tcW w:type="dxa" w:w="1944"/>
            <w:vAlign w:val="center"/>
          </w:tcPr>
          <w:p>
            <w:pPr>
              <w:jc w:val="left"/>
            </w:pPr>
            <w:r/>
            <w:r>
              <w:rPr>
                <w:rFonts w:ascii="Calibri" w:hAnsi="Calibri"/>
                <w:b w:val="0"/>
                <w:sz w:val="15"/>
              </w:rPr>
              <w:t>DocumentRequest</w:t>
            </w:r>
          </w:p>
        </w:tc>
        <w:tc>
          <w:tcPr>
            <w:tcW w:type="dxa" w:w="2232"/>
            <w:vAlign w:val="center"/>
          </w:tcPr>
          <w:p>
            <w:pPr>
              <w:jc w:val="left"/>
            </w:pPr>
            <w:r/>
            <w:r>
              <w:rPr>
                <w:rFonts w:ascii="Calibri" w:hAnsi="Calibri"/>
                <w:b w:val="0"/>
                <w:sz w:val="15"/>
              </w:rPr>
              <w:t>Python / Pydantic / FastAPI</w:t>
            </w:r>
          </w:p>
        </w:tc>
        <w:tc>
          <w:tcPr>
            <w:tcW w:type="dxa" w:w="4824"/>
            <w:vAlign w:val="center"/>
          </w:tcPr>
          <w:p>
            <w:pPr>
              <w:jc w:val="left"/>
            </w:pPr>
            <w:r/>
            <w:r>
              <w:rPr>
                <w:rFonts w:ascii="Calibri" w:hAnsi="Calibri"/>
                <w:b w:val="0"/>
                <w:sz w:val="15"/>
              </w:rPr>
              <w:t>Validates structured input received by the /generate endpoint.</w:t>
            </w:r>
          </w:p>
        </w:tc>
        <w:tc>
          <w:tcPr>
            <w:tcW w:type="dxa" w:w="1224"/>
            <w:vAlign w:val="center"/>
          </w:tcPr>
          <w:p>
            <w:pPr>
              <w:jc w:val="center"/>
            </w:pPr>
            <w:r/>
            <w:r>
              <w:rPr>
                <w:rFonts w:ascii="Calibri" w:hAnsi="Calibri"/>
                <w:b w:val="0"/>
                <w:sz w:val="15"/>
              </w:rPr>
              <w:t>High</w:t>
            </w:r>
          </w:p>
        </w:tc>
      </w:tr>
      <w:tr>
        <w:tc>
          <w:tcPr>
            <w:tcW w:type="dxa" w:w="576"/>
            <w:vAlign w:val="center"/>
          </w:tcPr>
          <w:p>
            <w:pPr>
              <w:jc w:val="center"/>
            </w:pPr>
            <w:r/>
            <w:r>
              <w:rPr>
                <w:rFonts w:ascii="Calibri" w:hAnsi="Calibri"/>
                <w:b w:val="0"/>
                <w:sz w:val="15"/>
              </w:rPr>
              <w:t>3</w:t>
            </w:r>
          </w:p>
        </w:tc>
        <w:tc>
          <w:tcPr>
            <w:tcW w:type="dxa" w:w="1944"/>
            <w:vAlign w:val="center"/>
          </w:tcPr>
          <w:p>
            <w:pPr>
              <w:jc w:val="left"/>
            </w:pPr>
            <w:r/>
            <w:r>
              <w:rPr>
                <w:rFonts w:ascii="Calibri" w:hAnsi="Calibri"/>
                <w:b w:val="0"/>
                <w:sz w:val="15"/>
              </w:rPr>
              <w:t>sanitize_text()</w:t>
            </w:r>
          </w:p>
        </w:tc>
        <w:tc>
          <w:tcPr>
            <w:tcW w:type="dxa" w:w="2232"/>
            <w:vAlign w:val="center"/>
          </w:tcPr>
          <w:p>
            <w:pPr>
              <w:jc w:val="left"/>
            </w:pPr>
            <w:r/>
            <w:r>
              <w:rPr>
                <w:rFonts w:ascii="Calibri" w:hAnsi="Calibri"/>
                <w:b w:val="0"/>
                <w:sz w:val="15"/>
              </w:rPr>
              <w:t>Python</w:t>
            </w:r>
          </w:p>
        </w:tc>
        <w:tc>
          <w:tcPr>
            <w:tcW w:type="dxa" w:w="4824"/>
            <w:vAlign w:val="center"/>
          </w:tcPr>
          <w:p>
            <w:pPr>
              <w:jc w:val="left"/>
            </w:pPr>
            <w:r/>
            <w:r>
              <w:rPr>
                <w:rFonts w:ascii="Calibri" w:hAnsi="Calibri"/>
                <w:b w:val="0"/>
                <w:sz w:val="15"/>
              </w:rPr>
              <w:t>Prepares generated text for clean HTML, TXT, DOCX, and PDF output.</w:t>
            </w:r>
          </w:p>
        </w:tc>
        <w:tc>
          <w:tcPr>
            <w:tcW w:type="dxa" w:w="1224"/>
            <w:vAlign w:val="center"/>
          </w:tcPr>
          <w:p>
            <w:pPr>
              <w:jc w:val="center"/>
            </w:pPr>
            <w:r/>
            <w:r>
              <w:rPr>
                <w:rFonts w:ascii="Calibri" w:hAnsi="Calibri"/>
                <w:b w:val="0"/>
                <w:sz w:val="15"/>
              </w:rPr>
              <w:t>High</w:t>
            </w:r>
          </w:p>
        </w:tc>
      </w:tr>
      <w:tr>
        <w:tc>
          <w:tcPr>
            <w:tcW w:type="dxa" w:w="576"/>
            <w:vAlign w:val="center"/>
          </w:tcPr>
          <w:p>
            <w:pPr>
              <w:jc w:val="center"/>
            </w:pPr>
            <w:r/>
            <w:r>
              <w:rPr>
                <w:rFonts w:ascii="Calibri" w:hAnsi="Calibri"/>
                <w:b w:val="0"/>
                <w:sz w:val="15"/>
              </w:rPr>
              <w:t>4</w:t>
            </w:r>
          </w:p>
        </w:tc>
        <w:tc>
          <w:tcPr>
            <w:tcW w:type="dxa" w:w="1944"/>
            <w:vAlign w:val="center"/>
          </w:tcPr>
          <w:p>
            <w:pPr>
              <w:jc w:val="left"/>
            </w:pPr>
            <w:r/>
            <w:r>
              <w:rPr>
                <w:rFonts w:ascii="Calibri" w:hAnsi="Calibri"/>
                <w:b w:val="0"/>
                <w:sz w:val="15"/>
              </w:rPr>
              <w:t>format_docx()</w:t>
            </w:r>
          </w:p>
        </w:tc>
        <w:tc>
          <w:tcPr>
            <w:tcW w:type="dxa" w:w="2232"/>
            <w:vAlign w:val="center"/>
          </w:tcPr>
          <w:p>
            <w:pPr>
              <w:jc w:val="left"/>
            </w:pPr>
            <w:r/>
            <w:r>
              <w:rPr>
                <w:rFonts w:ascii="Calibri" w:hAnsi="Calibri"/>
                <w:b w:val="0"/>
                <w:sz w:val="15"/>
              </w:rPr>
              <w:t>Python / python-docx</w:t>
            </w:r>
          </w:p>
        </w:tc>
        <w:tc>
          <w:tcPr>
            <w:tcW w:type="dxa" w:w="4824"/>
            <w:vAlign w:val="center"/>
          </w:tcPr>
          <w:p>
            <w:pPr>
              <w:jc w:val="left"/>
            </w:pPr>
            <w:r/>
            <w:r>
              <w:rPr>
                <w:rFonts w:ascii="Calibri" w:hAnsi="Calibri"/>
                <w:b w:val="0"/>
                <w:sz w:val="15"/>
              </w:rPr>
              <w:t>Creates formatted DOCX documents with logo, headings, terms table, and footer.</w:t>
            </w:r>
          </w:p>
        </w:tc>
        <w:tc>
          <w:tcPr>
            <w:tcW w:type="dxa" w:w="1224"/>
            <w:vAlign w:val="center"/>
          </w:tcPr>
          <w:p>
            <w:pPr>
              <w:jc w:val="center"/>
            </w:pPr>
            <w:r/>
            <w:r>
              <w:rPr>
                <w:rFonts w:ascii="Calibri" w:hAnsi="Calibri"/>
                <w:b w:val="0"/>
                <w:sz w:val="15"/>
              </w:rPr>
              <w:t>High</w:t>
            </w:r>
          </w:p>
        </w:tc>
      </w:tr>
      <w:tr>
        <w:tc>
          <w:tcPr>
            <w:tcW w:type="dxa" w:w="576"/>
            <w:vAlign w:val="center"/>
          </w:tcPr>
          <w:p>
            <w:pPr>
              <w:jc w:val="center"/>
            </w:pPr>
            <w:r/>
            <w:r>
              <w:rPr>
                <w:rFonts w:ascii="Calibri" w:hAnsi="Calibri"/>
                <w:b w:val="0"/>
                <w:sz w:val="15"/>
              </w:rPr>
              <w:t>5</w:t>
            </w:r>
          </w:p>
        </w:tc>
        <w:tc>
          <w:tcPr>
            <w:tcW w:type="dxa" w:w="1944"/>
            <w:vAlign w:val="center"/>
          </w:tcPr>
          <w:p>
            <w:pPr>
              <w:jc w:val="left"/>
            </w:pPr>
            <w:r/>
            <w:r>
              <w:rPr>
                <w:rFonts w:ascii="Calibri" w:hAnsi="Calibri"/>
                <w:b w:val="0"/>
                <w:sz w:val="15"/>
              </w:rPr>
              <w:t>format_pdf()</w:t>
            </w:r>
          </w:p>
        </w:tc>
        <w:tc>
          <w:tcPr>
            <w:tcW w:type="dxa" w:w="2232"/>
            <w:vAlign w:val="center"/>
          </w:tcPr>
          <w:p>
            <w:pPr>
              <w:jc w:val="left"/>
            </w:pPr>
            <w:r/>
            <w:r>
              <w:rPr>
                <w:rFonts w:ascii="Calibri" w:hAnsi="Calibri"/>
                <w:b w:val="0"/>
                <w:sz w:val="15"/>
              </w:rPr>
              <w:t>Python / FPDF</w:t>
            </w:r>
          </w:p>
        </w:tc>
        <w:tc>
          <w:tcPr>
            <w:tcW w:type="dxa" w:w="4824"/>
            <w:vAlign w:val="center"/>
          </w:tcPr>
          <w:p>
            <w:pPr>
              <w:jc w:val="left"/>
            </w:pPr>
            <w:r/>
            <w:r>
              <w:rPr>
                <w:rFonts w:ascii="Calibri" w:hAnsi="Calibri"/>
                <w:b w:val="0"/>
                <w:sz w:val="15"/>
              </w:rPr>
              <w:t>Creates branded PDF documents with headers, footers, headings, and terms.</w:t>
            </w:r>
          </w:p>
        </w:tc>
        <w:tc>
          <w:tcPr>
            <w:tcW w:type="dxa" w:w="1224"/>
            <w:vAlign w:val="center"/>
          </w:tcPr>
          <w:p>
            <w:pPr>
              <w:jc w:val="center"/>
            </w:pPr>
            <w:r/>
            <w:r>
              <w:rPr>
                <w:rFonts w:ascii="Calibri" w:hAnsi="Calibri"/>
                <w:b w:val="0"/>
                <w:sz w:val="15"/>
              </w:rPr>
              <w:t>High</w:t>
            </w:r>
          </w:p>
        </w:tc>
      </w:tr>
    </w:tbl>
    <w:p/>
    <w:p>
      <w:r>
        <w:rPr>
          <w:b/>
          <w:sz w:val="26"/>
        </w:rPr>
        <w:t>3. Overall Code Quality Assessment</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520"/>
            <w:vAlign w:val="center"/>
            <w:shd w:fill="1F4E78"/>
          </w:tcPr>
          <w:p>
            <w:pPr>
              <w:jc w:val="center"/>
            </w:pPr>
            <w:r/>
            <w:r>
              <w:rPr>
                <w:rFonts w:ascii="Calibri" w:hAnsi="Calibri"/>
                <w:b/>
                <w:color w:val="FFFFFF"/>
                <w:sz w:val="18"/>
              </w:rPr>
              <w:t>Aspect</w:t>
            </w:r>
          </w:p>
        </w:tc>
        <w:tc>
          <w:tcPr>
            <w:tcW w:type="dxa" w:w="1224"/>
            <w:vAlign w:val="center"/>
            <w:shd w:fill="1F4E78"/>
          </w:tcPr>
          <w:p>
            <w:pPr>
              <w:jc w:val="center"/>
            </w:pPr>
            <w:r/>
            <w:r>
              <w:rPr>
                <w:rFonts w:ascii="Calibri" w:hAnsi="Calibri"/>
                <w:b/>
                <w:color w:val="FFFFFF"/>
                <w:sz w:val="18"/>
              </w:rPr>
              <w:t>Rating (1–5)</w:t>
            </w:r>
          </w:p>
        </w:tc>
        <w:tc>
          <w:tcPr>
            <w:tcW w:type="dxa" w:w="7056"/>
            <w:vAlign w:val="center"/>
            <w:shd w:fill="1F4E78"/>
          </w:tcPr>
          <w:p>
            <w:pPr>
              <w:jc w:val="center"/>
            </w:pPr>
            <w:r/>
            <w:r>
              <w:rPr>
                <w:rFonts w:ascii="Calibri" w:hAnsi="Calibri"/>
                <w:b/>
                <w:color w:val="FFFFFF"/>
                <w:sz w:val="18"/>
              </w:rPr>
              <w:t>Comments</w:t>
            </w:r>
          </w:p>
        </w:tc>
      </w:tr>
      <w:tr>
        <w:tc>
          <w:tcPr>
            <w:tcW w:type="dxa" w:w="2520"/>
            <w:vAlign w:val="center"/>
          </w:tcPr>
          <w:p>
            <w:pPr>
              <w:jc w:val="left"/>
            </w:pPr>
            <w:r/>
            <w:r>
              <w:rPr>
                <w:rFonts w:ascii="Calibri" w:hAnsi="Calibri"/>
                <w:b w:val="0"/>
                <w:sz w:val="16"/>
              </w:rPr>
              <w:t>Code Layout &amp; Structure</w:t>
            </w:r>
          </w:p>
        </w:tc>
        <w:tc>
          <w:tcPr>
            <w:tcW w:type="dxa" w:w="1224"/>
            <w:vAlign w:val="center"/>
          </w:tcPr>
          <w:p>
            <w:pPr>
              <w:jc w:val="center"/>
            </w:pPr>
            <w:r/>
            <w:r>
              <w:rPr>
                <w:rFonts w:ascii="Calibri" w:hAnsi="Calibri"/>
                <w:b w:val="0"/>
                <w:sz w:val="16"/>
              </w:rPr>
              <w:t>5</w:t>
            </w:r>
          </w:p>
        </w:tc>
        <w:tc>
          <w:tcPr>
            <w:tcW w:type="dxa" w:w="7056"/>
            <w:vAlign w:val="center"/>
          </w:tcPr>
          <w:p>
            <w:pPr>
              <w:jc w:val="left"/>
            </w:pPr>
            <w:r/>
            <w:r>
              <w:rPr>
                <w:rFonts w:ascii="Calibri" w:hAnsi="Calibri"/>
                <w:b w:val="0"/>
                <w:sz w:val="16"/>
              </w:rPr>
              <w:t>The documented architecture clearly separates Streamlit frontend, FastAPI backend, Gemini integration, and formatting modules.</w:t>
            </w:r>
          </w:p>
        </w:tc>
      </w:tr>
      <w:tr>
        <w:tc>
          <w:tcPr>
            <w:tcW w:type="dxa" w:w="2520"/>
            <w:vAlign w:val="center"/>
          </w:tcPr>
          <w:p>
            <w:pPr>
              <w:jc w:val="left"/>
            </w:pPr>
            <w:r/>
            <w:r>
              <w:rPr>
                <w:rFonts w:ascii="Calibri" w:hAnsi="Calibri"/>
                <w:b w:val="0"/>
                <w:sz w:val="16"/>
              </w:rPr>
              <w:t>Readability</w:t>
            </w:r>
          </w:p>
        </w:tc>
        <w:tc>
          <w:tcPr>
            <w:tcW w:type="dxa" w:w="1224"/>
            <w:vAlign w:val="center"/>
          </w:tcPr>
          <w:p>
            <w:pPr>
              <w:jc w:val="center"/>
            </w:pPr>
            <w:r/>
            <w:r>
              <w:rPr>
                <w:rFonts w:ascii="Calibri" w:hAnsi="Calibri"/>
                <w:b w:val="0"/>
                <w:sz w:val="16"/>
              </w:rPr>
              <w:t>4</w:t>
            </w:r>
          </w:p>
        </w:tc>
        <w:tc>
          <w:tcPr>
            <w:tcW w:type="dxa" w:w="7056"/>
            <w:vAlign w:val="center"/>
          </w:tcPr>
          <w:p>
            <w:pPr>
              <w:jc w:val="left"/>
            </w:pPr>
            <w:r/>
            <w:r>
              <w:rPr>
                <w:rFonts w:ascii="Calibri" w:hAnsi="Calibri"/>
                <w:b w:val="0"/>
                <w:sz w:val="16"/>
              </w:rPr>
              <w:t>The documented variable names, functions, endpoints, and module responsibilities are clear and descriptive.</w:t>
            </w:r>
          </w:p>
        </w:tc>
      </w:tr>
      <w:tr>
        <w:tc>
          <w:tcPr>
            <w:tcW w:type="dxa" w:w="2520"/>
            <w:vAlign w:val="center"/>
          </w:tcPr>
          <w:p>
            <w:pPr>
              <w:jc w:val="left"/>
            </w:pPr>
            <w:r/>
            <w:r>
              <w:rPr>
                <w:rFonts w:ascii="Calibri" w:hAnsi="Calibri"/>
                <w:b w:val="0"/>
                <w:sz w:val="16"/>
              </w:rPr>
              <w:t>Reusability</w:t>
            </w:r>
          </w:p>
        </w:tc>
        <w:tc>
          <w:tcPr>
            <w:tcW w:type="dxa" w:w="1224"/>
            <w:vAlign w:val="center"/>
          </w:tcPr>
          <w:p>
            <w:pPr>
              <w:jc w:val="center"/>
            </w:pPr>
            <w:r/>
            <w:r>
              <w:rPr>
                <w:rFonts w:ascii="Calibri" w:hAnsi="Calibri"/>
                <w:b w:val="0"/>
                <w:sz w:val="16"/>
              </w:rPr>
              <w:t>5</w:t>
            </w:r>
          </w:p>
        </w:tc>
        <w:tc>
          <w:tcPr>
            <w:tcW w:type="dxa" w:w="7056"/>
            <w:vAlign w:val="center"/>
          </w:tcPr>
          <w:p>
            <w:pPr>
              <w:jc w:val="left"/>
            </w:pPr>
            <w:r/>
            <w:r>
              <w:rPr>
                <w:rFonts w:ascii="Calibri" w:hAnsi="Calibri"/>
                <w:b w:val="0"/>
                <w:sz w:val="16"/>
              </w:rPr>
              <w:t>The project uses reusable components for AI generation, text sanitization, HTML preview, DOCX creation, and PDF creation.</w:t>
            </w:r>
          </w:p>
        </w:tc>
      </w:tr>
      <w:tr>
        <w:tc>
          <w:tcPr>
            <w:tcW w:type="dxa" w:w="2520"/>
            <w:vAlign w:val="center"/>
          </w:tcPr>
          <w:p>
            <w:pPr>
              <w:jc w:val="left"/>
            </w:pPr>
            <w:r/>
            <w:r>
              <w:rPr>
                <w:rFonts w:ascii="Calibri" w:hAnsi="Calibri"/>
                <w:b w:val="0"/>
                <w:sz w:val="16"/>
              </w:rPr>
              <w:t>Documentation / Comments</w:t>
            </w:r>
          </w:p>
        </w:tc>
        <w:tc>
          <w:tcPr>
            <w:tcW w:type="dxa" w:w="1224"/>
            <w:vAlign w:val="center"/>
          </w:tcPr>
          <w:p>
            <w:pPr>
              <w:jc w:val="center"/>
            </w:pPr>
            <w:r/>
            <w:r>
              <w:rPr>
                <w:rFonts w:ascii="Calibri" w:hAnsi="Calibri"/>
                <w:b w:val="0"/>
                <w:sz w:val="16"/>
              </w:rPr>
              <w:t>4</w:t>
            </w:r>
          </w:p>
        </w:tc>
        <w:tc>
          <w:tcPr>
            <w:tcW w:type="dxa" w:w="7056"/>
            <w:vAlign w:val="center"/>
          </w:tcPr>
          <w:p>
            <w:pPr>
              <w:jc w:val="left"/>
            </w:pPr>
            <w:r/>
            <w:r>
              <w:rPr>
                <w:rFonts w:ascii="Calibri" w:hAnsi="Calibri"/>
                <w:b w:val="0"/>
                <w:sz w:val="16"/>
              </w:rPr>
              <w:t>The LegalEase PDF provides extensive project-level documentation; comprehensive inline source-code comments are not fully evidenced.</w:t>
            </w:r>
          </w:p>
        </w:tc>
      </w:tr>
      <w:tr>
        <w:tc>
          <w:tcPr>
            <w:tcW w:type="dxa" w:w="2520"/>
            <w:vAlign w:val="center"/>
          </w:tcPr>
          <w:p>
            <w:pPr>
              <w:jc w:val="left"/>
            </w:pPr>
            <w:r/>
            <w:r>
              <w:rPr>
                <w:rFonts w:ascii="Calibri" w:hAnsi="Calibri"/>
                <w:b w:val="0"/>
                <w:sz w:val="16"/>
              </w:rPr>
              <w:t>Overall Score</w:t>
            </w:r>
          </w:p>
        </w:tc>
        <w:tc>
          <w:tcPr>
            <w:tcW w:type="dxa" w:w="1224"/>
            <w:vAlign w:val="center"/>
          </w:tcPr>
          <w:p>
            <w:pPr>
              <w:jc w:val="center"/>
            </w:pPr>
            <w:r/>
            <w:r>
              <w:rPr>
                <w:rFonts w:ascii="Calibri" w:hAnsi="Calibri"/>
                <w:b w:val="0"/>
                <w:sz w:val="16"/>
              </w:rPr>
              <w:t>4.5</w:t>
            </w:r>
          </w:p>
        </w:tc>
        <w:tc>
          <w:tcPr>
            <w:tcW w:type="dxa" w:w="7056"/>
            <w:vAlign w:val="center"/>
          </w:tcPr>
          <w:p>
            <w:pPr>
              <w:jc w:val="left"/>
            </w:pPr>
            <w:r/>
            <w:r>
              <w:rPr>
                <w:rFonts w:ascii="Calibri" w:hAnsi="Calibri"/>
                <w:b w:val="0"/>
                <w:sz w:val="16"/>
              </w:rPr>
              <w:t>The documented project demonstrates strong structure, readability, and modular reuse, with limited evidence for detailed comments and exception handling.</w:t>
            </w:r>
          </w:p>
        </w:tc>
      </w:tr>
    </w:tbl>
    <w:p/>
    <w:p>
      <w:r>
        <w:rPr>
          <w:b/>
        </w:rPr>
        <w:t xml:space="preserve">Source basis: </w:t>
      </w:r>
      <w:r>
        <w:t>LegalEase: AI-Powered Legal Document Generator project specification. Ratings are based on documented architecture and functionality; where implementation evidence is not explicit, the assessment is marked Partial.</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LegalEase AI | SWTID-2026-3990 | 30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