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center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59" w:hRule="atLeast"/>
        </w:trPr>
        <w:tc>
          <w:tcPr>
            <w:tcW w:w="2160" w:type="dxa"/>
            <w:vAlign w:val="center"/>
          </w:tcPr>
          <w:p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rPr>
          <w:trHeight w:val="460" w:hRule="atLeast"/>
        </w:trPr>
        <w:tc>
          <w:tcPr>
            <w:tcW w:w="2160" w:type="dxa"/>
            <w:vAlign w:val="center"/>
          </w:tcPr>
          <w:p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SWTID-2026-3990</w:t>
            </w:r>
          </w:p>
        </w:tc>
      </w:tr>
      <w:tr>
        <w:trPr>
          <w:trHeight w:val="460" w:hRule="atLeast"/>
        </w:trPr>
        <w:tc>
          <w:tcPr>
            <w:tcW w:w="2160" w:type="dxa"/>
            <w:vAlign w:val="center"/>
          </w:tcPr>
          <w:p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LegalEase AI</w:t>
            </w:r>
          </w:p>
        </w:tc>
      </w:tr>
      <w:tr>
        <w:trPr>
          <w:trHeight w:val="460" w:hRule="atLeast"/>
        </w:trPr>
        <w:tc>
          <w:tcPr>
            <w:tcW w:w="2160" w:type="dxa"/>
            <w:vAlign w:val="center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  <w:vAlign w:val="center"/>
          </w:tcPr>
          <w:p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Team Members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 Bharaneeshwar.V</w:t>
              <w:br/>
              <w:t>2. Pragadheeswaran.S</w:t>
              <w:br/>
              <w:t>3. Santhosh kumar.G</w:t>
              <w:br/>
              <w:t>4. Karthikeyan.P</w:t>
              <w:br/>
              <w:t>5. Kesavan.N</w:t>
            </w:r>
          </w:p>
        </w:tc>
      </w:tr>
    </w:tbl>
    <w:p>
      <w:pPr>
        <w:pStyle w:val="BodyText"/>
        <w:spacing w:before="185"/>
        <w:rPr>
          <w:rFonts w:ascii="Arial"/>
          <w:b/>
          <w:sz w:val="26"/>
        </w:rPr>
      </w:pPr>
    </w:p>
    <w:p>
      <w:pPr>
        <w:pStyle w:val="Heading2"/>
        <w:spacing w:before="1"/>
        <w:jc w:val="both"/>
      </w:pPr>
      <w:bookmarkStart w:name="Project Executable Files " w:id="2"/>
      <w:bookmarkEnd w:id="2"/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>
      <w:pPr>
        <w:pStyle w:val="BodyText"/>
        <w:spacing w:line="276" w:lineRule="auto" w:before="142"/>
        <w:jc w:val="both"/>
      </w:pPr>
      <w:r>
        <w:rPr/>
        <w:t>This section requires submission of all executable and deployable files for your </w:t>
      </w:r>
      <w:r>
        <w:rPr/>
        <w:t>project. Ensure all files are properly organized, named, and uploaded to the specified submission platform. The evaluator must be able to run or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files and instructions.</w:t>
      </w:r>
    </w:p>
    <w:p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center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>
        <w:trPr>
          <w:trHeight w:val="779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  <w:vAlign w:val="center"/>
          </w:tcPr>
          <w:p>
            <w:pPr>
              <w:pStyle w:val="TableParagraph"/>
              <w:tabs>
                <w:tab w:pos="1574" w:val="left" w:leader="none"/>
                <w:tab w:pos="2309" w:val="left" w:leader="none"/>
              </w:tabs>
              <w:spacing w:line="276" w:lineRule="auto" w:before="94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– source code is documented</w:t>
            </w:r>
          </w:p>
        </w:tc>
      </w:tr>
      <w:tr>
        <w:trPr>
          <w:trHeight w:val="779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</w:t>
            </w:r>
          </w:p>
        </w:tc>
      </w:tr>
      <w:tr>
        <w:trPr>
          <w:trHeight w:val="699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– dependency list is documented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 – no database/storage is documented</w:t>
            </w:r>
          </w:p>
        </w:tc>
      </w:tr>
      <w:tr>
        <w:trPr>
          <w:trHeight w:val="78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tabs>
                <w:tab w:pos="1744" w:val="left" w:leader="none"/>
                <w:tab w:pos="3379" w:val="left" w:leader="none"/>
                <w:tab w:pos="3949" w:val="left" w:leader="none"/>
                <w:tab w:pos="5689" w:val="left" w:leader="none"/>
              </w:tabs>
              <w:spacing w:line="276" w:lineRule="auto" w:before="90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(.env.example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– .env API-key configuration is documented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</w:t>
            </w:r>
          </w:p>
        </w:tc>
      </w:tr>
      <w:tr>
        <w:trPr>
          <w:trHeight w:val="76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tabs>
                <w:tab w:pos="919" w:val="left" w:leader="none"/>
                <w:tab w:pos="1294" w:val="left" w:leader="none"/>
                <w:tab w:pos="2779" w:val="left" w:leader="none"/>
                <w:tab w:pos="3739" w:val="left" w:leader="none"/>
                <w:tab w:pos="4249" w:val="left" w:leader="none"/>
              </w:tabs>
              <w:spacing w:line="276" w:lineRule="auto" w:before="87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 – web application (FastAPI + Streamlit)</w:t>
            </w:r>
          </w:p>
        </w:tc>
      </w:tr>
      <w:tr>
        <w:trPr>
          <w:trHeight w:val="719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Dockerfile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– local/end-to-end testing is documented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  <w:vAlign w:val="center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>
      <w:pPr>
        <w:pStyle w:val="BodyText"/>
        <w:spacing w:before="141"/>
      </w:pPr>
      <w:r>
        <w:t>Provide an overview of the project's file and folder structure below: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center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59" w:hRule="atLeast"/>
        </w:trPr>
        <w:tc>
          <w:tcPr>
            <w:tcW w:w="3120" w:type="dxa"/>
            <w:vAlign w:val="center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  <w:vAlign w:val="center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20" w:type="dxa"/>
            <w:vAlign w:val="center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 in the LegalEase documentation</w:t>
            </w:r>
          </w:p>
        </w:tc>
      </w:tr>
      <w:tr>
        <w:trPr>
          <w:trHeight w:val="779" w:hRule="atLeast"/>
        </w:trPr>
        <w:tc>
          <w:tcPr>
            <w:tcW w:w="3120" w:type="dxa"/>
            <w:vAlign w:val="center"/>
          </w:tcPr>
          <w:p>
            <w:pPr>
              <w:pStyle w:val="TableParagraph"/>
              <w:tabs>
                <w:tab w:pos="1684" w:val="left" w:leader="none"/>
              </w:tabs>
              <w:spacing w:line="276" w:lineRule="auto" w:before="79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deployment: FastAPI backend + Streamlit frontend</w:t>
            </w:r>
          </w:p>
        </w:tc>
      </w:tr>
      <w:tr>
        <w:trPr>
          <w:trHeight w:val="760" w:hRule="atLeast"/>
        </w:trPr>
        <w:tc>
          <w:tcPr>
            <w:tcW w:w="3120" w:type="dxa"/>
            <w:vAlign w:val="center"/>
          </w:tcPr>
          <w:p>
            <w:pPr>
              <w:pStyle w:val="TableParagraph"/>
              <w:tabs>
                <w:tab w:pos="1579" w:val="left" w:leader="none"/>
                <w:tab w:pos="2119" w:val="left" w:leader="none"/>
              </w:tabs>
              <w:spacing w:line="276" w:lineRule="auto" w:before="73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provided; user authentication is not documented</w:t>
            </w:r>
          </w:p>
        </w:tc>
      </w:tr>
      <w:tr>
        <w:trPr>
          <w:trHeight w:val="700" w:hRule="atLeast"/>
        </w:trPr>
        <w:tc>
          <w:tcPr>
            <w:tcW w:w="3120" w:type="dxa"/>
            <w:vAlign w:val="center"/>
          </w:tcPr>
          <w:p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</w:t>
            </w:r>
          </w:p>
        </w:tc>
      </w:tr>
      <w:tr>
        <w:trPr>
          <w:trHeight w:val="700" w:hRule="atLeast"/>
        </w:trPr>
        <w:tc>
          <w:tcPr>
            <w:tcW w:w="3120" w:type="dxa"/>
            <w:vAlign w:val="center"/>
          </w:tcPr>
          <w:p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provided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>
      <w:pPr>
        <w:pStyle w:val="BodyText"/>
        <w:spacing w:before="201"/>
      </w:pPr>
      <w:r>
        <w:t>Provide clear, step-by-step instructions for the evaluator to run your project locally: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center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>
        <w:trPr>
          <w:trHeight w:val="459" w:hRule="atLeast"/>
        </w:trPr>
        <w:tc>
          <w:tcPr>
            <w:tcW w:w="840" w:type="dxa"/>
            <w:vAlign w:val="center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  <w:vAlign w:val="center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  <w:vAlign w:val="center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> Status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w="516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hosted/deployed URL is provided.</w:t>
            </w:r>
          </w:p>
        </w:tc>
        <w:tc>
          <w:tcPr>
            <w:tcW w:w="336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the documented local deployment; add the URL if a hosted deployment exists.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w="516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repository link or demo credentials are provided.</w:t>
            </w:r>
          </w:p>
        </w:tc>
        <w:tc>
          <w:tcPr>
            <w:tcW w:w="336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 them if evaluator access requires a remote repository/demo.</w:t>
            </w:r>
          </w:p>
        </w:tc>
      </w:tr>
      <w:tr>
        <w:trPr>
          <w:trHeight w:val="700" w:hRule="atLeast"/>
        </w:trPr>
        <w:tc>
          <w:tcPr>
            <w:tcW w:w="84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w="516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Formal performance benchmarks and production/cloud deployment are not documented.</w:t>
            </w:r>
          </w:p>
        </w:tc>
        <w:tc>
          <w:tcPr>
            <w:tcW w:w="3360" w:type="dx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measured performance and cloud deployment details when available.</w:t>
            </w:r>
          </w:p>
        </w:tc>
      </w:tr>
    </w:tbl>
    <w:p>
      <w:r>
        <w:rPr>
          <w:b/>
        </w:rPr>
        <w:t>Documented LegalEase project structure:</w:t>
      </w:r>
    </w:p>
    <w:p>
      <w:pPr>
        <w:ind w:left="360"/>
      </w:pPr>
      <w:r>
        <w:t>• main.py – FastAPI backend application entry point.</w:t>
      </w:r>
    </w:p>
    <w:p>
      <w:pPr>
        <w:ind w:left="360"/>
      </w:pPr>
      <w:r>
        <w:t>• routes.py – FastAPI route handling, including POST /generate.</w:t>
      </w:r>
    </w:p>
    <w:p>
      <w:pPr>
        <w:ind w:left="360"/>
      </w:pPr>
      <w:r>
        <w:t>• ai_core/gemini_generator.py – Gemini 1.5 Pro integration and legal document generation.</w:t>
      </w:r>
    </w:p>
    <w:p>
      <w:pPr>
        <w:ind w:left="360"/>
      </w:pPr>
      <w:r>
        <w:t>• Formatting modules/utilities – DOCX, PDF, TXT and HTML preview/export.</w:t>
      </w:r>
    </w:p>
    <w:p>
      <w:pPr>
        <w:ind w:left="360"/>
      </w:pPr>
      <w:r>
        <w:t>• Streamlit frontend – input collection, editable preview and download controls.</w:t>
      </w:r>
    </w:p>
    <w:p>
      <w:pPr>
        <w:ind w:left="360"/>
      </w:pPr>
      <w:r>
        <w:t>• .env – Gemini API key configuration for local execution.</w:t>
      </w:r>
    </w:p>
    <w:p>
      <w:pPr>
        <w:ind w:left="360"/>
      </w:pPr>
      <w:r>
        <w:t>1. Install Python 3.10 or a compatible Python version.</w:t>
      </w:r>
    </w:p>
    <w:p>
      <w:pPr>
        <w:ind w:left="360"/>
      </w:pPr>
      <w:r>
        <w:t>2. Create and activate a Python virtual environment for LegalEase.</w:t>
      </w:r>
    </w:p>
    <w:p>
      <w:pPr>
        <w:ind w:left="360"/>
      </w:pPr>
      <w:r>
        <w:t>3. Install the documented dependencies: FastAPI, Uvicorn, Streamlit, google-generativeai, python-docx, FPDF, Pillow, requests and python-dotenv.</w:t>
      </w:r>
    </w:p>
    <w:p>
      <w:pPr>
        <w:ind w:left="360"/>
      </w:pPr>
      <w:r>
        <w:t>4. Create the required .env configuration and provide the Gemini API key.</w:t>
      </w:r>
    </w:p>
    <w:p>
      <w:pPr>
        <w:ind w:left="360"/>
      </w:pPr>
      <w:r>
        <w:t>5. Start the FastAPI backend with Uvicorn using the project's configured application entry point.</w:t>
      </w:r>
    </w:p>
    <w:p>
      <w:pPr>
        <w:ind w:left="360"/>
      </w:pPr>
      <w:r>
        <w:t>6. Start the Streamlit frontend using the project's configured Streamlit application entry point.</w:t>
      </w:r>
    </w:p>
    <w:p>
      <w:pPr>
        <w:ind w:left="360"/>
      </w:pPr>
      <w:r>
        <w:t>7. Open the Streamlit interface and enter document type, parties, terms and dates.</w:t>
      </w:r>
    </w:p>
    <w:p>
      <w:pPr>
        <w:ind w:left="360"/>
      </w:pPr>
      <w:r>
        <w:t>8. Generate the legal document, review/edit the preview, and export it as TXT, DOCX or PDF.</w:t>
      </w:r>
    </w:p>
    <w:p>
      <w:pPr>
        <w:ind w:left="360"/>
      </w:pPr>
      <w:r>
        <w:t>9. The supplied LegalEase documentation does not state the exact shell commands for starting the two applications; use the actual commands/entry points in the executable project files.</w:t>
      </w:r>
    </w:p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terms:created xsi:type="dcterms:W3CDTF">2026-09-28T16:09:52Z</dcterms:created>
  <dcterms:modified xsi:type="dcterms:W3CDTF">2026-09-28T16:09:52Z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