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spacing w:after="80"/>
      </w:pPr>
      <w:r>
        <w:rPr>
          <w:b/>
          <w:sz w:val="21"/>
        </w:rPr>
        <w:t>Deliverable contract (what the pipeline guarantees):</w:t>
      </w:r>
    </w:p>
    <w:p>
      <w:pPr>
        <w:pStyle w:val="ListBullet"/>
        <w:spacing w:after="40"/>
      </w:pPr>
      <w:r>
        <w:rPr>
          <w:b/>
          <w:color w:val="1F3764"/>
        </w:rPr>
        <w:t xml:space="preserve">1 — </w:t>
      </w:r>
      <w:r>
        <w:t>Every op / fused-op is AUTHORED as a native kernel — a C/C++ torch extension on CPU (CUDA/Triton on GPU). Nothing hot stays in eager python/torch.</w:t>
      </w:r>
    </w:p>
    <w:p>
      <w:pPr>
        <w:pStyle w:val="ListBullet"/>
        <w:spacing w:after="40"/>
      </w:pPr>
      <w:r>
        <w:rPr>
          <w:b/>
          <w:color w:val="1F3764"/>
        </w:rPr>
        <w:t xml:space="preserve">2 — </w:t>
      </w:r>
      <w:r>
        <w:t>Each authored kernel is TESTED standalone (parity + roofline) and ONLY THEN integrated into the serving stack's model behind the cosine-fingerprint gate — wired as a torch op, no fork (the pilot: SGLang external model package / PyTorch).</w:t>
      </w:r>
    </w:p>
    <w:p>
      <w:pPr>
        <w:pStyle w:val="ListBullet"/>
        <w:spacing w:after="40"/>
      </w:pPr>
      <w:r>
        <w:rPr>
          <w:b/>
          <w:color w:val="1F3764"/>
        </w:rPr>
        <w:t xml:space="preserve">3 — </w:t>
      </w:r>
      <w:r>
        <w:t>All end-to-end model runs execute through the serving-stack engine (the pilot: SGLang / sgl.Engine), not a bespoke loop — so wall-time reflects the real inference path.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Use the CHEAPEST representative proxy at every altitude, wherever feasible, and recover the full-scale number ANALYTICALLY — validated by ONE full run at the end: (a) op optimization uses the isolated-op microbench at real op dims (and reduced context S where the op scales trivially in S); (b) wall-time uses the depth-reduced model with linear depth-scaling to full N. Proxies move us faster; the single full-depth run at phase end confirms the analytical scaling held.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Parallel authoring, serial integration, per-pass record</w:t>
      </w:r>
    </w:p>
    <w:p>
      <w:pPr>
        <w:spacing w:after="80"/>
      </w:pPr>
      <w:r>
        <w:rPr>
          <w:b w:val="0"/>
          <w:color w:val="555555"/>
          <w:sz w:val="21"/>
        </w:rPr>
        <w:t>Ops are independent work items (distinct kernel, distinct microbench), so AUTHOR THEM IN PARALLEL (one op per idle node) and QUEUE the finished best-of versions. INTEGRATION stays serial: dequeue one op at a time, cosine-gate, re-run the wall-time ledger. Only the integrated re-profile is serial.</w:t>
      </w:r>
    </w:p>
    <w:p>
      <w:pPr>
        <w:pStyle w:val="ListBullet"/>
        <w:spacing w:after="40"/>
      </w:pPr>
      <w:r>
        <w:t>Per op, record EVERY optimization pass (before/after): approach, off-machine-peak and vs-reference per M, correctness (cosine / set-match), kept?, commit. The final KEPT pass is the best-of, reported against the roofline (at-ceiling, or surfaced-as-plateaued with the residual-gap cause).</w:t>
      </w:r>
    </w:p>
    <w:p>
      <w:pPr>
        <w:pStyle w:val="ListBullet"/>
        <w:spacing w:after="40"/>
      </w:pPr>
      <w:r>
        <w:t>Per-op pass ledgers: plugin/validate/results/op_passes/&lt;op&gt;.json (schema in _schema.json).</w:t>
      </w:r>
    </w:p>
    <w:p>
      <w:pPr>
        <w:pStyle w:val="ListBullet"/>
        <w:spacing w:after="40"/>
      </w:pPr>
      <w:r>
        <w:t>Torch/donor fallback registry: every point where the kept best-of falls back to torch (or a donor) instead of the custom path is recorded with its reason + limit justification (plugin/validate/results/torch_fallbacks.json). A fallback is legitimate only if strictly best-of (no regression at that point) OR at the measured limit with no lever left. The WHOLE registry is SURFACED FOR REVIEW at the end of the optimization + integration phase.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Shape-capture audit — ground every kernel's shapes in REALITY (human-auditable)</w:t>
      </w:r>
    </w:p>
    <w:p>
      <w:pPr>
        <w:spacing w:after="80"/>
      </w:pPr>
      <w:r>
        <w:rPr>
          <w:b/>
          <w:sz w:val="21"/>
        </w:rPr>
        <w:t>A green parity microbench is SELF-CONSISTENT: it validates op MATH at the shapes the author CHOSE, so a wrong-but-consistent or hallucinated shape still passes (softmax-pool, flash-attention etc. are shape-generic). Op tensor/GEMM shapes must therefore be grounded in the REAL model — not hand-picked, and not merely inferred from the config.</w:t>
      </w:r>
    </w:p>
    <w:p>
      <w:pPr>
        <w:spacing w:after="80"/>
      </w:pPr>
      <w:r>
        <w:rPr>
          <w:b w:val="0"/>
          <w:color w:val="555555"/>
          <w:sz w:val="21"/>
        </w:rPr>
        <w:t>Provenance ladder (trust increases down; a kernel is trusted only at the bottom rung):</w:t>
      </w:r>
    </w:p>
    <w:p>
      <w:pPr>
        <w:pStyle w:val="ListBullet"/>
        <w:spacing w:after="40"/>
      </w:pPr>
      <w:r>
        <w:t>hand-picked microbench shapes — REJECT as evidence (self-consistent only).</w:t>
      </w:r>
    </w:p>
    <w:p>
      <w:pPr>
        <w:pStyle w:val="ListBullet"/>
        <w:spacing w:after="40"/>
      </w:pPr>
      <w:r>
        <w:t>config-spec dims — weak (a declared config can be wrong or regenerated).</w:t>
      </w:r>
    </w:p>
    <w:p>
      <w:pPr>
        <w:pStyle w:val="ListBullet"/>
        <w:spacing w:after="40"/>
      </w:pPr>
      <w:r>
        <w:t>module-constructor-derived dims — better (the model computes op dims from config deterministically).</w:t>
      </w:r>
    </w:p>
    <w:p>
      <w:pPr>
        <w:pStyle w:val="ListBullet"/>
        <w:spacing w:after="40"/>
      </w:pPr>
      <w:r>
        <w:t>CAPTURED tensors from a real forward (dummy weights OK) — REQUIRED: dump {op, tensor, shape, dtype, stride, layer_id} at every op boundary and DRIVE the microbench from these.</w:t>
      </w:r>
    </w:p>
    <w:p>
      <w:pPr>
        <w:pStyle w:val="ListBullet"/>
        <w:spacing w:after="40"/>
      </w:pPr>
      <w:r>
        <w:t>Kernel shape-contract asserts (check each dim vs the captured/expected value) so a wrong shape fails loudly, not silently.</w:t>
      </w:r>
    </w:p>
    <w:p>
      <w:pPr>
        <w:pStyle w:val="ListBullet"/>
        <w:spacing w:after="40"/>
      </w:pPr>
      <w:r>
        <w:t>Emit a reviewable SHAPE MANIFEST (per-op captured shapes + their source) that a HUMAN signs off before the kernel is trusted — the manifest + op-math-vs-reference together are the human-audit gate.</w:t>
      </w:r>
    </w:p>
    <w:p>
      <w:pPr>
        <w:spacing w:after="80"/>
      </w:pPr>
      <w:r>
        <w:rPr>
          <w:b w:val="0"/>
          <w:color w:val="555555"/>
          <w:sz w:val="21"/>
        </w:rPr>
        <w:t>Consequence: performance numbers measured at non-captured shapes are NOT trustworthy — an attention kernel at the wrong head_dim/head_count can flip which variant wins. Re-measure at captured shapes. Never re-GUESS a shape after finding one wrong (same failure mode) — CAPTURE it.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Shape-provenance gate (every kernel's shapes CAPTURED from the real forward + human-signed manifest, before trust/perf-claims)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