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CPU Model Enablement + Optimization Playbook</w:t>
      </w:r>
    </w:p>
    <w:p>
      <w:pPr>
        <w:jc w:val="center"/>
      </w:pPr>
      <w:r>
        <w:rPr>
          <w:color w:val="555555"/>
          <w:sz w:val="24"/>
        </w:rPr>
        <w:t>Scale-stratified methodology — DeepSeek-V4-Flash tree pilot (EMR)</w:t>
      </w:r>
    </w:p>
    <w:p>
      <w:pPr>
        <w:jc w:val="center"/>
      </w:pPr>
      <w:r>
        <w:rPr>
          <w:color w:val="555555"/>
          <w:sz w:val="18"/>
        </w:rPr>
        <w:t>Reference build — 2026-10-07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run CPU enablement AND optimization end-to-end for any model, with final wall-time driven toward the sum of kernel roofline times — framework overhead squeezed out and every kept kernel at its ceiling.</w:t>
      </w:r>
    </w:p>
    <w:p>
      <w:pPr>
        <w:spacing w:after="80"/>
      </w:pPr>
      <w:r>
        <w:rPr>
          <w:b/>
          <w:sz w:val="21"/>
        </w:rPr>
        <w:t>Two theses, one plugin (SGLang external model package, override by __name__,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— </w:t>
      </w:r>
      <w:r>
        <w:t>models whose ops are fully covered by existing AMX/CPU kernels are enabled by wiring + validation only (capability inheritance: bf16/int8, AMX, prepack/VNNI, FusedMoE).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— </w:t>
      </w:r>
      <w:r>
        <w:t>genuinely novel ops get an AI-written, roofline-tuned C/C++ kernel, human-gated.</w:t>
      </w:r>
    </w:p>
    <w:p>
      <w:pPr>
        <w:spacing w:after="80"/>
      </w:pPr>
      <w:r>
        <w:rPr>
          <w:b w:val="0"/>
          <w:color w:val="555555"/>
          <w:sz w:val="21"/>
        </w:rPr>
        <w:t>Scope-discovery (coverage-gate) is the router; the spine-leaf performance tree (macro/meso/micro roofline loop) is the engine. One pipeline.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C/C++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system pathology first (OpenMP spin-wait, thread-cap, NUMA bind, allocator, dispatch,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node → measured machine_constants: per-NUMA-domain memory BW, per-dtype compute peak, ridge = peak/BW, NUMA/SNC, ISA. No hardcoded constants.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bf16 via fused dequant.</w:t>
      </w:r>
    </w:p>
    <w:p>
      <w:pPr>
        <w:pStyle w:val="ListBullet"/>
        <w:spacing w:after="40"/>
      </w:pPr>
      <w:r>
        <w:t>Capacity pre-flight: resident weights + activations + KV/state vs per-domain RAM floor → tp/EP (EP-first for MoE; CPU tp&gt;1 hurts latency-bound decode).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Coverage-gate assigns each op a lane: A = covered on CPU (donor); B = missing on CPU but GPU/XPU reference exists (oracle); C = missing, author from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C/C++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 (Gate 2): confirm the predicted class/ceiling in-engine (dummy weights for perf, full depth, target ISA). Mismatch → the paper model omitted a cost; update it.</w:t>
      </w:r>
    </w:p>
    <w:p>
      <w:pPr>
        <w:pStyle w:val="ListBullet"/>
        <w:spacing w:after="40"/>
      </w:pPr>
      <w:r>
        <w:t>Accuracy oracle finale: real-weight per-token parity vs HF → task accuracy (gsm8k) → GPU-vs-CPU cross-check sign-off.</w:t>
      </w:r>
    </w:p>
    <w:p>
      <w:pPr>
        <w:pStyle w:val="ListBullet"/>
        <w:spacing w:after="40"/>
      </w:pPr>
      <w:r>
        <w:t>Enablement certificate (op→kernel→donor provenance + parity gates); peer-relative roofline (efficiency vs a shipped donor ≥ 0.90); ship as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CPU dummy bit-identical to the GPU/torch dummy reference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CPU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(ignore DSA selection → dense, force-dense MoE, swap kernel ↔ torch reference).</w:t>
      </w:r>
    </w:p>
    <w:p>
      <w:pPr>
        <w:pStyle w:val="ListBullet"/>
        <w:spacing w:after="40"/>
      </w:pPr>
      <w:r>
        <w:t>Reduces-to-identity checks (sparse attend → exact dense at top-k=all) and low-bit dtype-bridge parity vs an independent torch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GPU-vs-CPU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L2-resident; GPU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Accuracy-oracle gate · Human-gate (novel kernels)</w:t>
      </w:r>
    </w:p>
    <w:p>
      <w:pPr>
        <w:pStyle w:val="Heading1"/>
      </w:pPr>
      <w:r>
        <w:rPr>
          <w:color w:val="1F3764"/>
          <w:sz w:val="30"/>
        </w:rPr>
        <w:t>Pilot platform — EMR (measured)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(measured 2026-10-07, pcl-spr10)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</w:t>
            </w:r>
          </w:p>
        </w:tc>
        <w:tc>
          <w:tcPr>
            <w:tcW w:type="dxa" w:w="4320"/>
          </w:tcPr>
          <w:p>
            <w:r>
              <w:t>214.4 GB/s per domain (stream-triad)</w:t>
            </w:r>
          </w:p>
        </w:tc>
      </w:tr>
      <w:tr>
        <w:tc>
          <w:tcPr>
            <w:tcW w:type="dxa" w:w="4320"/>
          </w:tcPr>
          <w:p>
            <w:r>
              <w:t>AMX bf16 peak</w:t>
            </w:r>
          </w:p>
        </w:tc>
        <w:tc>
          <w:tcPr>
            <w:tcW w:type="dxa" w:w="4320"/>
          </w:tcPr>
          <w:p>
            <w:r>
              <w:t>40.3 TFLOP/s (torch.matmul plateau @16384³; ~32% of theoretical; conservative)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~188 FLOP/byte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Note — divergence from the published tree</w:t>
      </w:r>
    </w:p>
    <w:p>
      <w:pPr>
        <w:spacing w:after="80"/>
      </w:pPr>
      <w:r>
        <w:rPr>
          <w:b w:val="0"/>
          <w:color w:val="555555"/>
          <w:sz w:val="21"/>
        </w:rPr>
        <w:t>The codified tree ROI-skips low-share ops (“dominant kernel at roofline”). This pilot requires all ops at their ceiling (Phase A) before wall-time/Amdahl ordering (Phase B). This is reported to the tree owner as a methodology item; the pilot does not edit the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