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764"/>
          <w:sz w:val="40"/>
        </w:rPr>
        <w:t>Model- &amp; Platform-Agnostic Enablement + Optimization Playbook</w:t>
      </w:r>
    </w:p>
    <w:p>
      <w:pPr>
        <w:jc w:val="center"/>
      </w:pPr>
      <w:r>
        <w:rPr>
          <w:color w:val="555555"/>
          <w:sz w:val="24"/>
        </w:rPr>
        <w:t>A reusable methodology for enabling AND optimizing any model on any accelerator (CPU shown; the same loop applies to other CPUs and to GPUs)</w:t>
      </w:r>
    </w:p>
    <w:p>
      <w:pPr>
        <w:jc w:val="center"/>
      </w:pPr>
      <w:r>
        <w:rPr>
          <w:color w:val="555555"/>
          <w:sz w:val="18"/>
        </w:rPr>
        <w:t>Platform and model constants are INPUTS, not assumptions. The concrete pilot instantiation (DeepSeek-V4-Flash on Intel Xeon / EMR) lives in the per-platform spec + roofline artifacts, not in this method.</w:t>
      </w:r>
    </w:p>
    <w:p>
      <w:pPr>
        <w:pStyle w:val="Heading1"/>
      </w:pPr>
      <w:r>
        <w:rPr>
          <w:color w:val="1F3764"/>
          <w:sz w:val="30"/>
        </w:rPr>
        <w:t>Overview</w:t>
      </w:r>
    </w:p>
    <w:p>
      <w:pPr>
        <w:spacing w:after="80"/>
      </w:pPr>
      <w:r>
        <w:rPr>
          <w:b w:val="0"/>
          <w:color w:val="555555"/>
          <w:sz w:val="21"/>
        </w:rPr>
        <w:t>Goal: from a bare model config + checkpoint, enable AND optimize the model end-to-end on a target accelerator, driving final wall-time toward the sum of the per-op roofline floors — platform/runtime overhead squeezed out and every kept kernel at its ceiling. Nothing here is specific to one model or one chip: the platform constants, the op set, and the native-kernel library are INPUTS.</w:t>
      </w:r>
    </w:p>
    <w:p>
      <w:pPr>
        <w:spacing w:after="80"/>
      </w:pPr>
      <w:r>
        <w:rPr>
          <w:b/>
          <w:sz w:val="21"/>
        </w:rPr>
        <w:t>Two theses, one plugin (wire into the serving stack via its external/plugin mechanism — no fork):</w:t>
      </w:r>
    </w:p>
    <w:p>
      <w:pPr>
        <w:pStyle w:val="ListBullet"/>
        <w:spacing w:after="40"/>
      </w:pPr>
      <w:r>
        <w:rPr>
          <w:b/>
          <w:color w:val="1F3764"/>
        </w:rPr>
        <w:t xml:space="preserve">Thesis 1 (covered) — </w:t>
      </w:r>
      <w:r>
        <w:t>ops already covered by the target's native high-throughput kernels (e.g. AMX/oneDNN on CPU, Tensor-Core/cuBLAS/Triton on GPU) are enabled by wiring + validation only (capability inheritance: dtype, prepack/layout, fused-MoE).</w:t>
      </w:r>
    </w:p>
    <w:p>
      <w:pPr>
        <w:pStyle w:val="ListBullet"/>
        <w:spacing w:after="40"/>
      </w:pPr>
      <w:r>
        <w:rPr>
          <w:b/>
          <w:color w:val="1F3764"/>
        </w:rPr>
        <w:t xml:space="preserve">Thesis 2 (novel) — </w:t>
      </w:r>
      <w:r>
        <w:t>genuinely novel ops get an AI-written, roofline-tuned native kernel (C/C++ for CPU, CUDA/Triton for GPU), human-gated.</w:t>
      </w:r>
    </w:p>
    <w:p>
      <w:pPr>
        <w:spacing w:after="80"/>
      </w:pPr>
      <w:r>
        <w:rPr>
          <w:b w:val="0"/>
          <w:color w:val="555555"/>
          <w:sz w:val="21"/>
        </w:rPr>
        <w:t>Scope discovery is the router (which ops are covered vs novel); the spine-leaf performance tree — the macro/meso/micro per-op roofline loop — is the engine. One pipeline, re-applied per (model, platform).</w:t>
      </w:r>
    </w:p>
    <w:p>
      <w:pPr>
        <w:spacing w:after="80"/>
      </w:pPr>
      <w:r>
        <w:rPr>
          <w:b/>
          <w:sz w:val="21"/>
        </w:rPr>
        <w:t>Deliverable contract (what the pipeline guarantees):</w:t>
      </w:r>
    </w:p>
    <w:p>
      <w:pPr>
        <w:pStyle w:val="ListBullet"/>
        <w:spacing w:after="40"/>
      </w:pPr>
      <w:r>
        <w:rPr>
          <w:b/>
          <w:color w:val="1F3764"/>
        </w:rPr>
        <w:t xml:space="preserve">1 — </w:t>
      </w:r>
      <w:r>
        <w:t>Every op / fused-op is AUTHORED as a native kernel — a C/C++ torch extension on CPU (CUDA/Triton on GPU). Nothing hot stays in eager python/torch.</w:t>
      </w:r>
    </w:p>
    <w:p>
      <w:pPr>
        <w:pStyle w:val="ListBullet"/>
        <w:spacing w:after="40"/>
      </w:pPr>
      <w:r>
        <w:rPr>
          <w:b/>
          <w:color w:val="1F3764"/>
        </w:rPr>
        <w:t xml:space="preserve">2 — </w:t>
      </w:r>
      <w:r>
        <w:t>Each authored kernel is TESTED standalone (parity + roofline) and ONLY THEN integrated into the serving stack's model behind the cosine-fingerprint gate — wired as a torch op, no fork (the pilot: SGLang external model package / PyTorch).</w:t>
      </w:r>
    </w:p>
    <w:p>
      <w:pPr>
        <w:pStyle w:val="ListBullet"/>
        <w:spacing w:after="40"/>
      </w:pPr>
      <w:r>
        <w:rPr>
          <w:b/>
          <w:color w:val="1F3764"/>
        </w:rPr>
        <w:t xml:space="preserve">3 — </w:t>
      </w:r>
      <w:r>
        <w:t>All end-to-end model runs execute through the serving-stack engine (the pilot: SGLang / sgl.Engine), not a bespoke loop — so wall-time reflects the real inference path.</w:t>
      </w:r>
    </w:p>
    <w:p>
      <w:pPr>
        <w:pStyle w:val="Heading1"/>
      </w:pPr>
      <w:r>
        <w:rPr>
          <w:color w:val="1F3764"/>
          <w:sz w:val="30"/>
        </w:rPr>
        <w:t>Governing principle — two phases</w:t>
      </w:r>
    </w:p>
    <w:p>
      <w:pPr>
        <w:spacing w:after="80"/>
      </w:pPr>
      <w:r>
        <w:rPr>
          <w:b/>
          <w:sz w:val="21"/>
        </w:rPr>
        <w:t>Per-op completeness FIRST, wall-time/ordering SECOND (a deliberate inversion of ROI-skip).</w:t>
      </w:r>
    </w:p>
    <w:p>
      <w:pPr>
        <w:pStyle w:val="Heading2"/>
      </w:pPr>
      <w:r>
        <w:rPr>
          <w:color w:val="2E5BA8"/>
          <w:sz w:val="24"/>
        </w:rPr>
        <w:t>Phase A — per-op peaking (ALL ops, including fused ops)</w:t>
      </w:r>
    </w:p>
    <w:p>
      <w:pPr>
        <w:pStyle w:val="ListNumber"/>
        <w:spacing w:after="40"/>
      </w:pPr>
      <w:r>
        <w:t>Discover every op in the layer, including fused ops — a fused op is a first-class unit with its own roofline.</w:t>
      </w:r>
    </w:p>
    <w:p>
      <w:pPr>
        <w:pStyle w:val="ListNumber"/>
        <w:spacing w:after="40"/>
      </w:pPr>
      <w:r>
        <w:t>Per op/fused-op: roofline + binding resource (BW / compute / latency) on the target platform (measured constants).</w:t>
      </w:r>
    </w:p>
    <w:p>
      <w:pPr>
        <w:pStyle w:val="ListNumber"/>
        <w:spacing w:after="40"/>
      </w:pPr>
      <w:r>
        <w:t>Arithmetic-intensity improvability: can the binding resource be moved by a lever (increase M/batch, fusion)? Record the achievable ceiling.</w:t>
      </w:r>
    </w:p>
    <w:p>
      <w:pPr>
        <w:pStyle w:val="ListNumber"/>
        <w:spacing w:after="40"/>
      </w:pPr>
      <w:r>
        <w:t>Implement the op in the target's native kernel language (C/C++ on CPU, CUDA/Triton on GPU) and optimize to a reasonable extent, driving it to its ceiling (BW peak / compute peak / latency floor).</w:t>
      </w:r>
    </w:p>
    <w:p>
      <w:pPr>
        <w:pStyle w:val="ListNumber"/>
        <w:spacing w:after="40"/>
      </w:pPr>
      <w:r>
        <w:t>If the gap to roofline cannot be bridged by known techniques → surface to the user for review.</w:t>
      </w:r>
    </w:p>
    <w:p>
      <w:pPr>
        <w:pStyle w:val="ListNumber"/>
        <w:spacing w:after="40"/>
      </w:pPr>
      <w:r>
        <w:t>Every op done this way — none skipped. Completion gate = every op/fused-op at its ceiling.</w:t>
      </w:r>
    </w:p>
    <w:p>
      <w:pPr>
        <w:pStyle w:val="Heading2"/>
      </w:pPr>
      <w:r>
        <w:rPr>
          <w:color w:val="2E5BA8"/>
          <w:sz w:val="24"/>
        </w:rPr>
        <w:t>Phase B — wall-time + ordering (only after Phase A completes)</w:t>
      </w:r>
    </w:p>
    <w:p>
      <w:pPr>
        <w:pStyle w:val="ListNumber"/>
        <w:spacing w:after="40"/>
      </w:pPr>
      <w:r>
        <w:t>Switch to wall-time; fix platform/runtime pathology first (CPU: OpenMP spin-wait/affinity, NUMA bind, allocator; GPU: launch/stream config, occupancy, memory pool; plus dispatch &amp; batching) until kernel-domination clears the bar.</w:t>
      </w:r>
    </w:p>
    <w:p>
      <w:pPr>
        <w:pStyle w:val="ListNumber"/>
        <w:spacing w:after="40"/>
      </w:pPr>
      <w:r>
        <w:t>Apply Amdahl ordering — prioritize/aggregate high-share work. Ordering is sequencing, not exclusion.</w:t>
      </w:r>
    </w:p>
    <w:p>
      <w:pPr>
        <w:spacing w:after="80"/>
      </w:pPr>
      <w:r>
        <w:rPr>
          <w:b w:val="0"/>
          <w:color w:val="555555"/>
          <w:sz w:val="21"/>
        </w:rPr>
        <w:t>Bounding valves that keep Phase A finite: “reasonable extent” + “surface if can’t bridge.” Latency-bound “peak” = the dispatch/overhead floor (fuse/batch launches), not an AI target.</w:t>
      </w:r>
    </w:p>
    <w:p>
      <w:pPr>
        <w:pStyle w:val="Heading1"/>
      </w:pPr>
      <w:r>
        <w:rPr>
          <w:color w:val="1F3764"/>
          <w:sz w:val="30"/>
        </w:rPr>
        <w:t>Pipeline phases (in order)</w:t>
      </w:r>
    </w:p>
    <w:p>
      <w:pPr>
        <w:pStyle w:val="Heading2"/>
      </w:pPr>
      <w:r>
        <w:rPr>
          <w:color w:val="2E5BA8"/>
          <w:sz w:val="24"/>
        </w:rPr>
        <w:t>Phase 0 — Platform scan + intake + capacity/precision pre-flight (Gate 0)</w:t>
      </w:r>
    </w:p>
    <w:p>
      <w:pPr>
        <w:pStyle w:val="ListBullet"/>
        <w:spacing w:after="40"/>
      </w:pPr>
      <w:r>
        <w:t>Run the uArch probe on the target device → measured machine constants: per-memory-domain BW, per-dtype compute peak, ridge = peak/BW, topology (CPU: NUMA/SNC; GPU: devices/interconnect), ISA/occupancy. No hardcoded constants — swap the spec file to retarget.</w:t>
      </w:r>
    </w:p>
    <w:p>
      <w:pPr>
        <w:pStyle w:val="ListBullet"/>
        <w:spacing w:after="40"/>
      </w:pPr>
      <w:r>
        <w:t>Data-type audit from the real checkpoint (metadata-only first): {op, stored dtype, target compute dtype, kernel, inflation?, dtype-bridge, parity gate}. Never inflate a native low-bit checkpoint; sub-tile dtypes are moved low-bit and computed in the native compute dtype via fused dequant.</w:t>
      </w:r>
    </w:p>
    <w:p>
      <w:pPr>
        <w:pStyle w:val="ListBullet"/>
        <w:spacing w:after="40"/>
      </w:pPr>
      <w:r>
        <w:t>Capacity pre-flight: resident weights + activations + KV/state vs per-domain memory floor → parallelism map (tp/EP; EP-first for MoE). On CPU tp&gt;1 hurts latency-bound decode; on GPU pick tp/EP by memory fit + interconnect.</w:t>
      </w:r>
    </w:p>
    <w:p>
      <w:pPr>
        <w:pStyle w:val="Heading2"/>
      </w:pPr>
      <w:r>
        <w:rPr>
          <w:color w:val="2E5BA8"/>
          <w:sz w:val="24"/>
        </w:rPr>
        <w:t>Phase 1 — Op scope discovery + decomposition (Gate 1)</w:t>
      </w:r>
    </w:p>
    <w:p>
      <w:pPr>
        <w:pStyle w:val="ListBullet"/>
        <w:spacing w:after="40"/>
      </w:pPr>
      <w:r>
        <w:t>Enumerate every op (walk each layer index — heterogeneity is easy to miss); 100% compute coverage; anything unclassifiable is UNKNOWN → treated as a gap.</w:t>
      </w:r>
    </w:p>
    <w:p>
      <w:pPr>
        <w:pStyle w:val="ListBullet"/>
        <w:spacing w:after="40"/>
      </w:pPr>
      <w:r>
        <w:t>Dependency-closure for non-compute substrate (KV pool, backends, novel non-attention families).</w:t>
      </w:r>
    </w:p>
    <w:p>
      <w:pPr>
        <w:pStyle w:val="ListBullet"/>
        <w:spacing w:after="40"/>
      </w:pPr>
      <w:r>
        <w:t>Scope discovery assigns each op a lane: A = covered by a native kernel on the target (donor); B = missing on the target but a reference impl exists elsewhere (numerical oracle); C = missing, author from the math spec.</w:t>
      </w:r>
    </w:p>
    <w:p>
      <w:pPr>
        <w:pStyle w:val="Heading2"/>
      </w:pPr>
      <w:r>
        <w:rPr>
          <w:color w:val="2E5BA8"/>
          <w:sz w:val="24"/>
        </w:rPr>
        <w:t>Phase 2 — Fusion pass → roofline (per op, target platform)</w:t>
      </w:r>
    </w:p>
    <w:p>
      <w:pPr>
        <w:pStyle w:val="ListBullet"/>
        <w:spacing w:after="40"/>
      </w:pPr>
      <w:r>
        <w:t>Fusion analysis first (vertical / horizontal / epilogue). For each candidate: consult the GPU/XPU implementation where available — runnable fused code is a numerical ORACLE; a performance claim without code is a HINT only — OR derive the benefit MATHEMATICALLY on the roofline (bytes saved + AI before→after + L2-resident gate) where no reference exists. Absence of a GPU reference is not a reason to skip (CPU is more BW-bound, so a CPU-only fusion may pay).</w:t>
      </w:r>
    </w:p>
    <w:p>
      <w:pPr>
        <w:pStyle w:val="ListBullet"/>
        <w:spacing w:after="40"/>
      </w:pPr>
      <w:r>
        <w:t>Map each fusion: COVERED (donor fused kernel) / NEW-C++ (→ kernel authoring) / SKIP (record why).</w:t>
      </w:r>
    </w:p>
    <w:p>
      <w:pPr>
        <w:pStyle w:val="ListBullet"/>
        <w:spacing w:after="40"/>
      </w:pPr>
      <w:r>
        <w:t>Per-op and per-fused-op roofline: FLOPs, weight+activation+KV bytes, arithmetic intensity, binding resource, achievable ceiling, and the native-kernel implementation lane. Phase-split prefill vs decode.</w:t>
      </w:r>
    </w:p>
    <w:p>
      <w:pPr>
        <w:pStyle w:val="Heading2"/>
      </w:pPr>
      <w:r>
        <w:rPr>
          <w:color w:val="2E5BA8"/>
          <w:sz w:val="24"/>
        </w:rPr>
        <w:t>Phase A / Phase B — execute per the governing principle above</w:t>
      </w:r>
    </w:p>
    <w:p>
      <w:pPr>
        <w:pStyle w:val="Heading1"/>
      </w:pPr>
      <w:r>
        <w:rPr>
          <w:color w:val="1F3764"/>
          <w:sz w:val="30"/>
        </w:rPr>
        <w:t>Progressive wall-time tracking (publication ledger)</w:t>
      </w:r>
    </w:p>
    <w:p>
      <w:pPr>
        <w:spacing w:after="80"/>
      </w:pPr>
      <w:r>
        <w:rPr>
          <w:b/>
          <w:sz w:val="21"/>
        </w:rPr>
        <w:t>Each optimization is proven end-to-end, not just in a microbench. We keep a running wall-time ledger from the unoptimized baseline through every integrated op, so the final publication shows a monotonic, correctness-gated speed-up curve.</w:t>
      </w:r>
    </w:p>
    <w:p>
      <w:pPr>
        <w:spacing w:after="80"/>
      </w:pPr>
      <w:r>
        <w:rPr>
          <w:b w:val="0"/>
          <w:color w:val="555555"/>
          <w:sz w:val="21"/>
        </w:rPr>
        <w:t>Use the CHEAPEST representative proxy at every altitude, wherever feasible, and recover the full-scale number ANALYTICALLY — validated by ONE full run at the end: (a) op optimization uses the isolated-op microbench at real op dims (and reduced context S where the op scales trivially in S); (b) wall-time uses the depth-reduced model with linear depth-scaling to full N. Proxies move us faster; the single full-depth run at phase end confirms the analytical scaling held.</w:t>
      </w:r>
    </w:p>
    <w:p>
      <w:pPr>
        <w:spacing w:after="80"/>
      </w:pPr>
      <w:r>
        <w:rPr>
          <w:b w:val="0"/>
          <w:color w:val="555555"/>
          <w:sz w:val="21"/>
        </w:rPr>
        <w:t>Ledger artifact: plugin/validate/results/wall_time_progress.json (baseline row + one row per op, filled after each integration).</w:t>
      </w:r>
    </w:p>
    <w:p>
      <w:pPr>
        <w:pStyle w:val="Heading2"/>
      </w:pPr>
      <w:r>
        <w:rPr>
          <w:color w:val="2E5BA8"/>
          <w:sz w:val="24"/>
        </w:rPr>
        <w:t>Parallel authoring, serial integration, per-pass record</w:t>
      </w:r>
    </w:p>
    <w:p>
      <w:pPr>
        <w:spacing w:after="80"/>
      </w:pPr>
      <w:r>
        <w:rPr>
          <w:b w:val="0"/>
          <w:color w:val="555555"/>
          <w:sz w:val="21"/>
        </w:rPr>
        <w:t>Ops are independent work items (distinct kernel, distinct microbench), so AUTHOR THEM IN PARALLEL (one op per idle node) and QUEUE the finished best-of versions. INTEGRATION stays serial: dequeue one op at a time, cosine-gate, re-run the wall-time ledger. Only the integrated re-profile is serial.</w:t>
      </w:r>
    </w:p>
    <w:p>
      <w:pPr>
        <w:pStyle w:val="ListBullet"/>
        <w:spacing w:after="40"/>
      </w:pPr>
      <w:r>
        <w:t>Per op, record EVERY optimization pass (before/after): approach, off-machine-peak and vs-reference per M, correctness (cosine / set-match), kept?, commit. The final KEPT pass is the best-of, reported against the roofline (at-ceiling, or surfaced-as-plateaued with the residual-gap cause).</w:t>
      </w:r>
    </w:p>
    <w:p>
      <w:pPr>
        <w:pStyle w:val="ListBullet"/>
        <w:spacing w:after="40"/>
      </w:pPr>
      <w:r>
        <w:t>Per-op pass ledgers: plugin/validate/results/op_passes/&lt;op&gt;.json (schema in _schema.json).</w:t>
      </w:r>
    </w:p>
    <w:p>
      <w:pPr>
        <w:pStyle w:val="ListBullet"/>
        <w:spacing w:after="40"/>
      </w:pPr>
      <w:r>
        <w:t>Torch/donor fallback registry: every point where the kept best-of falls back to torch (or a donor) instead of the custom path is recorded with its reason + limit justification (plugin/validate/results/torch_fallbacks.json). A fallback is legitimate only if strictly best-of (no regression at that point) OR at the measured limit with no lever left. The WHOLE registry is SURFACED FOR REVIEW at the end of the optimization + integration phase.</w:t>
      </w:r>
    </w:p>
    <w:p>
      <w:pPr>
        <w:pStyle w:val="Heading2"/>
      </w:pPr>
      <w:r>
        <w:rPr>
          <w:color w:val="2E5BA8"/>
          <w:sz w:val="24"/>
        </w:rPr>
        <w:t>The loop (repeat per op, in Phase-A order)</w:t>
      </w:r>
    </w:p>
    <w:p>
      <w:pPr>
        <w:pStyle w:val="ListNumber"/>
        <w:spacing w:after="40"/>
      </w:pPr>
      <w:r>
        <w:rPr>
          <w:b/>
          <w:color w:val="1F3764"/>
        </w:rPr>
        <w:t xml:space="preserve">0 — </w:t>
      </w:r>
      <w:r>
        <w:t>Baseline wall time FIRST: run the model end-to-end (depth proxy, deterministic-dummy weights) and record the steady-state median latency at each M (step 0 = the reference; never time the cold step).</w:t>
      </w:r>
    </w:p>
    <w:p>
      <w:pPr>
        <w:pStyle w:val="ListNumber"/>
        <w:spacing w:after="40"/>
      </w:pPr>
      <w:r>
        <w:rPr>
          <w:b/>
          <w:color w:val="1F3764"/>
        </w:rPr>
        <w:t xml:space="preserve">1 — </w:t>
      </w:r>
      <w:r>
        <w:t>Optimize the op standalone to its machine-peak ceiling (author → measure → iterate → keep best-of), then surface-and-stop when levers are exhausted.</w:t>
      </w:r>
    </w:p>
    <w:p>
      <w:pPr>
        <w:pStyle w:val="ListNumber"/>
        <w:spacing w:after="40"/>
      </w:pPr>
      <w:r>
        <w:rPr>
          <w:b/>
          <w:color w:val="1F3764"/>
        </w:rPr>
        <w:t xml:space="preserve">2 — </w:t>
      </w:r>
      <w:r>
        <w:t>Integrate the kept kernel into the model behind a COSINE FINGERPRINT gate: per-layer + per-op cosine vs a trusted reference (eager / GPU / HF) on the SAME dummy weights must stay ≥ 0.9999 (set-match for top-k ops). The first layer/op below threshold localizes a break — do not proceed until it passes.</w:t>
      </w:r>
    </w:p>
    <w:p>
      <w:pPr>
        <w:pStyle w:val="ListNumber"/>
        <w:spacing w:after="40"/>
      </w:pPr>
      <w:r>
        <w:rPr>
          <w:b/>
          <w:color w:val="1F3764"/>
        </w:rPr>
        <w:t xml:space="preserve">3 — </w:t>
      </w:r>
      <w:r>
        <w:t>Re-run the model end-to-end (dummy weights, same M sweep) and record the new wall time + the delta vs the previous row and the cumulative speed-up vs baseline.</w:t>
      </w:r>
    </w:p>
    <w:p>
      <w:pPr>
        <w:pStyle w:val="ListNumber"/>
        <w:spacing w:after="40"/>
      </w:pPr>
      <w:r>
        <w:rPr>
          <w:b/>
          <w:color w:val="1F3764"/>
        </w:rPr>
        <w:t xml:space="preserve">4 — </w:t>
      </w:r>
      <w:r>
        <w:t>Repeat for the next op. The ledger accumulates to the final published curve: baseline → op-by-op → fully-optimized.</w:t>
      </w:r>
    </w:p>
    <w:p>
      <w:pPr>
        <w:pStyle w:val="Heading2"/>
      </w:pPr>
      <w:r>
        <w:rPr>
          <w:color w:val="2E5BA8"/>
          <w:sz w:val="24"/>
        </w:rPr>
        <w:t>Depth-proxy timing + analytical scaling to full depth</w:t>
      </w:r>
    </w:p>
    <w:p>
      <w:pPr>
        <w:spacing w:after="80"/>
      </w:pPr>
      <w:r>
        <w:rPr>
          <w:b w:val="0"/>
          <w:color w:val="555555"/>
          <w:sz w:val="21"/>
        </w:rPr>
        <w:t>Perf runs use DUMMY weights (no real load) AND a depth-reduced proxy. When the layer stack is a repeated archetype (homogeneous transformer — the common case), end-to-end wall time is LINEAR in depth, t(L) = t_fixed + L·t_layer, so a few-layer proxy is representative (pilot: 4 layers vs the full N). For HETEROGENEOUS stacks, include each distinct archetype at least once and scale per-archetype.</w:t>
      </w:r>
    </w:p>
    <w:p>
      <w:pPr>
        <w:pStyle w:val="ListBullet"/>
        <w:spacing w:after="40"/>
      </w:pPr>
      <w:r>
        <w:t>Calibrate ONCE at baseline from two proxy depths p and q: t_layer = (t_q − t_p)/(q − p) and t_fixed = t_p − p·t_layer, where t_fixed is the non-layer cost (embed + output head + framework/sampling). (pilot p=4, q=8.)</w:t>
      </w:r>
    </w:p>
    <w:p>
      <w:pPr>
        <w:pStyle w:val="ListBullet"/>
        <w:spacing w:after="40"/>
      </w:pPr>
      <w:r>
        <w:t>Each iteration records BOTH: (a) the MEASURED proxy wall time, and (b) the full-depth wall time derived ANALYTICALLY — t_layer(iter) = (t_proxy(iter) − t_fixed)/p, predicted full = t_fixed + N·t_layer(iter). Report proxy and full-scaled speed-up curves side by side (they differ because the fixed overhead does not scale).</w:t>
      </w:r>
    </w:p>
    <w:p>
      <w:pPr>
        <w:pStyle w:val="ListBullet"/>
        <w:spacing w:after="40"/>
      </w:pPr>
      <w:r>
        <w:t>t_fixed is config-invariant across per-layer optimizations; recalibrate only if a NON-layer op (e.g. the output head) is optimized.</w:t>
      </w:r>
    </w:p>
    <w:p>
      <w:pPr>
        <w:pStyle w:val="ListBullet"/>
        <w:spacing w:after="40"/>
      </w:pPr>
      <w:r>
        <w:t>END VALIDATION: after all ops are integrated, do ONE full-depth dummy run (all N layers) and compare the MEASURED full-depth wall time against the analytically predicted value — small error confirms the whole depth-scaled progression.</w:t>
      </w:r>
    </w:p>
    <w:p>
      <w:pPr>
        <w:pStyle w:val="Heading2"/>
      </w:pPr>
      <w:r>
        <w:rPr>
          <w:color w:val="2E5BA8"/>
          <w:sz w:val="24"/>
        </w:rPr>
        <w:t>Framework / dispatch / OpenMP overhead — the proxy studies these too (Phase B on the proxy)</w:t>
      </w:r>
    </w:p>
    <w:p>
      <w:pPr>
        <w:spacing w:after="80"/>
      </w:pPr>
      <w:r>
        <w:rPr>
          <w:b w:val="0"/>
          <w:color w:val="555555"/>
          <w:sz w:val="21"/>
        </w:rPr>
        <w:t>The depth proxy is the right instrument for system overhead, not just op math: the depth-independent t_fixed term IS the framework/dispatch/sampling cost, and per-op dispatch + OpenMP-barrier overhead lives in t_layer and is incurred every layer — both are fully present at depth 4. Global OMP pathologies are depth-invariant, so the proxy reproduces them at a fraction of the cost.</w:t>
      </w:r>
    </w:p>
    <w:p>
      <w:pPr>
        <w:pStyle w:val="ListNumber"/>
        <w:spacing w:after="40"/>
      </w:pPr>
      <w:r>
        <w:rPr>
          <w:b/>
          <w:color w:val="1F3764"/>
        </w:rPr>
        <w:t xml:space="preserve">Order — </w:t>
      </w:r>
      <w:r>
        <w:t>Finish ALL ops/fused-ops to their roofline ceiling and integrate them into the proxy (end of Phase A); record the fully-integrated proxy + full-scaled wall time.</w:t>
      </w:r>
    </w:p>
    <w:p>
      <w:pPr>
        <w:pStyle w:val="ListNumber"/>
        <w:spacing w:after="40"/>
      </w:pPr>
      <w:r>
        <w:t>THEN attack framework/dispatch/OMP overhead on that integrated proxy (this is Phase B). Bit-exact gate: an overhead fix must not change tokens.</w:t>
      </w:r>
    </w:p>
    <w:p>
      <w:pPr>
        <w:pStyle w:val="ListNumber"/>
        <w:spacing w:after="40"/>
      </w:pPr>
      <w:r>
        <w:t>Show the wall-time improvement from the overhead work (proxy + full-scaled), SURFACE it, and only THEN launch the single full-depth run.</w:t>
      </w:r>
    </w:p>
    <w:p>
      <w:pPr>
        <w:pStyle w:val="ListBullet"/>
        <w:spacing w:after="40"/>
      </w:pPr>
      <w:r>
        <w:t>Bind threads ONCE at init — never per-forward torch.set_num_threads (it rebuilds the OpenMP pool and LOSES CPU affinity → unpinned contention inflates the whole forward uniformly; invisible per-op).</w:t>
      </w:r>
    </w:p>
    <w:p>
      <w:pPr>
        <w:pStyle w:val="ListBullet"/>
        <w:spacing w:after="40"/>
      </w:pPr>
      <w:r>
        <w:t>Collapse many tiny torch ops into fewer/bigger parallel regions — at N threads each tiny op pays a barrier, so ~100 ops/layer is a ~10-20x dispatch tax; fuse into one parallel region.</w:t>
      </w:r>
    </w:p>
    <w:p>
      <w:pPr>
        <w:pStyle w:val="ListBullet"/>
        <w:spacing w:after="40"/>
      </w:pPr>
      <w:r>
        <w:t>Clear the usual systemic levers: OMP spin-wait (OMP_WAIT_POLICY), allocator (tcmalloc/jemalloc), NUMA first-touch into the rank's own domain, thread-cap, CPU-freq/cold-start; remove dtype-cast and dispatch churn on the hot path. A global-config pathology masquerades as uniform per-op cost — clear it before trusting any per-op ranking.</w:t>
      </w:r>
    </w:p>
    <w:p>
      <w:pPr>
        <w:pStyle w:val="Heading2"/>
      </w:pPr>
      <w:r>
        <w:rPr>
          <w:color w:val="2E5BA8"/>
          <w:sz w:val="24"/>
        </w:rPr>
        <w:t>MoE mode-collapse — the input tensor matters</w:t>
      </w:r>
    </w:p>
    <w:p>
      <w:pPr>
        <w:spacing w:after="80"/>
      </w:pPr>
      <w:r>
        <w:rPr>
          <w:b w:val="0"/>
          <w:color w:val="555555"/>
          <w:sz w:val="21"/>
        </w:rPr>
        <w:t>The dummy-weight run must exercise a REPRESENTATIVE set of routed experts. With tiny random gate weights, a non-diverse input (e.g. one hidden vector broadcast across the batch) collapses routing to the same top-k experts every token — only ~topk of the E experts run, so the measured MoE wall time is unrepresentatively low and the roofline's expert traffic is never incurred.</w:t>
      </w:r>
    </w:p>
    <w:p>
      <w:pPr>
        <w:pStyle w:val="ListBullet"/>
        <w:spacing w:after="40"/>
      </w:pPr>
      <w:r>
        <w:t>Build the input with plugin/validate/moe_balanced_input.build_verified_input(M, gate_weight): per-token i.i.d. hidden states (NOT a broadcast), falling back to round-robin gate-row alignment.</w:t>
      </w:r>
    </w:p>
    <w:p>
      <w:pPr>
        <w:pStyle w:val="ListBullet"/>
        <w:spacing w:after="40"/>
      </w:pPr>
      <w:r>
        <w:t>VERIFY (not assume) dispersion: realized distinct-experts must track the uniform expectation E·(1−(1−1/E)^(topk·M)) and no expert may absorb an outsized share — a collapse gate asserts this before the timing is trusted. (pilot E=256: checked M=8→43, 16→81, 32→138, 64→209 distinct vs expected 43.8/80.2/135.3/199; the broadcast trap collapses to 6 and is rejected.)</w:t>
      </w:r>
    </w:p>
    <w:p>
      <w:pPr>
        <w:pStyle w:val="ListBullet"/>
        <w:spacing w:after="40"/>
      </w:pPr>
      <w:r>
        <w:t>Instrument the real router during the E2E run to confirm the same spread in-engine (per-forward distinct-expert count), so the proxy input is validated against the actual model path.</w:t>
      </w:r>
    </w:p>
    <w:p>
      <w:pPr>
        <w:pStyle w:val="Heading2"/>
      </w:pPr>
      <w:r>
        <w:rPr>
          <w:color w:val="2E5BA8"/>
          <w:sz w:val="24"/>
        </w:rPr>
        <w:t>Phase 6 — Validate, certify, deliver</w:t>
      </w:r>
    </w:p>
    <w:p>
      <w:pPr>
        <w:pStyle w:val="ListBullet"/>
        <w:spacing w:after="40"/>
      </w:pPr>
      <w:r>
        <w:t>Validate-by-run: confirm the predicted class/ceiling in-engine (dummy weights for perf, full depth, target backend). Mismatch → the paper model omitted a cost; update it.</w:t>
      </w:r>
    </w:p>
    <w:p>
      <w:pPr>
        <w:pStyle w:val="ListBullet"/>
        <w:spacing w:after="40"/>
      </w:pPr>
      <w:r>
        <w:t>Accuracy finale: real-weight per-token parity vs a trusted reference → task accuracy (e.g. gsm8k) → reference-vs-target cross-check sign-off.</w:t>
      </w:r>
    </w:p>
    <w:p>
      <w:pPr>
        <w:pStyle w:val="ListBullet"/>
        <w:spacing w:after="40"/>
      </w:pPr>
      <w:r>
        <w:t>Provenance record (op→kernel→donor + parity gates) and a peer-relative check where an already-shipped model shares the same kernels (efficiency within tolerance); ship as a plugin override (no fork).</w:t>
      </w:r>
    </w:p>
    <w:p>
      <w:pPr>
        <w:pStyle w:val="Heading1"/>
      </w:pPr>
      <w:r>
        <w:rPr>
          <w:color w:val="1F3764"/>
          <w:sz w:val="30"/>
        </w:rPr>
        <w:t>Correctness debugging toolkit (localize cheaply before real-weight runs)</w:t>
      </w:r>
    </w:p>
    <w:p>
      <w:pPr>
        <w:pStyle w:val="ListBullet"/>
        <w:spacing w:after="40"/>
      </w:pPr>
      <w:r>
        <w:t>Deterministic-dummy weights: (a) skip the real checkpoint load for fast perf iteration; (b) make the target dummy bit-identical to the reference dummy so a per-layer diff is valid without real weights.</w:t>
      </w:r>
    </w:p>
    <w:p>
      <w:pPr>
        <w:pStyle w:val="ListBullet"/>
        <w:spacing w:after="40"/>
      </w:pPr>
      <w:r>
        <w:t>Layer-by-layer cosine fingerprint: capture a per-layer reference, run the target with the same dummy weights, diff per-layer hidden states by cosine similarity; the first layer below ~0.999 localizes the break.</w:t>
      </w:r>
    </w:p>
    <w:p>
      <w:pPr>
        <w:pStyle w:val="ListBullet"/>
        <w:spacing w:after="40"/>
      </w:pPr>
      <w:r>
        <w:t>Per-op fingerprint (shape + norm + cosine/checksum) to pinpoint the op within the bad layer.</w:t>
      </w:r>
    </w:p>
    <w:p>
      <w:pPr>
        <w:pStyle w:val="ListBullet"/>
        <w:spacing w:after="40"/>
      </w:pPr>
      <w:r>
        <w:t>Isolation switches to bisect novel ops (e.g. bypass sparse selection → dense, force-dense MoE, swap kernel ↔ reference).</w:t>
      </w:r>
    </w:p>
    <w:p>
      <w:pPr>
        <w:pStyle w:val="ListBullet"/>
        <w:spacing w:after="40"/>
      </w:pPr>
      <w:r>
        <w:t>Reduces-to-identity checks (e.g. sparse attend → exact dense at top-k=all) and low-bit dtype-bridge parity vs an independent dequant oracle.</w:t>
      </w:r>
    </w:p>
    <w:p>
      <w:pPr>
        <w:pStyle w:val="ListBullet"/>
        <w:spacing w:after="40"/>
      </w:pPr>
      <w:r>
        <w:t>Escalation order: L0 coherence → per-layer cosine (dummy, no load) → per-op fingerprint + isolation → component/reduces-to-identity parity → real-weight per-token parity → task accuracy → reference-vs-target sign-off.</w:t>
      </w:r>
    </w:p>
    <w:p>
      <w:pPr>
        <w:pStyle w:val="Heading1"/>
      </w:pPr>
      <w:r>
        <w:rPr>
          <w:color w:val="1F3764"/>
          <w:sz w:val="30"/>
        </w:rPr>
        <w:t>Shape &amp; semantics provenance — ground kernels in the PUBLISHED reference (human-auditable)</w:t>
      </w:r>
    </w:p>
    <w:p>
      <w:pPr>
        <w:spacing w:after="80"/>
      </w:pPr>
      <w:r>
        <w:rPr>
          <w:b/>
          <w:sz w:val="21"/>
        </w:rPr>
        <w:t>A green parity microbench is SELF-CONSISTENT only: it validates op MATH at shapes the AUTHOR chose. Shape-generic ops (softmax-pool, flash-attention) pass cos=1.0 at ANY dims, so a hallucinated shape OR a missing semantic (an overlap window, an attention sink, MQA-vs-MHA) still passes. Ground every kernel's shapes AND semantics in the model author's PUBLISHED reference, not in author-chosen shapes and not in inference from the config alone.</w:t>
      </w:r>
    </w:p>
    <w:p>
      <w:pPr>
        <w:pStyle w:val="Heading2"/>
      </w:pPr>
      <w:r>
        <w:rPr>
          <w:color w:val="2E5BA8"/>
          <w:sz w:val="24"/>
        </w:rPr>
        <w:t>The method (model-agnostic, in order)</w:t>
      </w:r>
    </w:p>
    <w:p>
      <w:pPr>
        <w:pStyle w:val="ListNumber"/>
        <w:spacing w:after="40"/>
      </w:pPr>
      <w:r>
        <w:rPr>
          <w:b/>
          <w:color w:val="1F3764"/>
        </w:rPr>
        <w:t xml:space="preserve">1 — </w:t>
      </w:r>
      <w:r>
        <w:t>PIN the published reference model definition (the author's own model.py / modeling_*.py) at a fixed revision. This is the architecture a human reviewer already trusts — the audit anchor.</w:t>
      </w:r>
    </w:p>
    <w:p>
      <w:pPr>
        <w:pStyle w:val="ListNumber"/>
        <w:spacing w:after="40"/>
      </w:pPr>
      <w:r>
        <w:rPr>
          <w:b/>
          <w:color w:val="1F3764"/>
        </w:rPr>
        <w:t xml:space="preserve">2 — </w:t>
      </w:r>
      <w:r>
        <w:t>Derive, per op, a CONTRACT from it: shapes as f(config, per-layer variant, phase, TP, batch) AND the SEMANTICS (fusions, gating, sinks, overlap windows, MQA/MHA, two-of-a-kind modules). Cite the source line.</w:t>
      </w:r>
    </w:p>
    <w:p>
      <w:pPr>
        <w:pStyle w:val="ListNumber"/>
        <w:spacing w:after="40"/>
      </w:pPr>
      <w:r>
        <w:rPr>
          <w:b/>
          <w:color w:val="1F3764"/>
        </w:rPr>
        <w:t xml:space="preserve">3 — </w:t>
      </w:r>
      <w:r>
        <w:t>BIND numeric constants from the real checkpoint config.json — the reference's defaults are often a TOY example (e.g. fewer layers/experts). CROSS-CHECK config vs reference defaults and reconcile any divergence; this also audits a regenerated/proxy config.</w:t>
      </w:r>
    </w:p>
    <w:p>
      <w:pPr>
        <w:pStyle w:val="ListNumber"/>
        <w:spacing w:after="40"/>
      </w:pPr>
      <w:r>
        <w:rPr>
          <w:b/>
          <w:color w:val="1F3764"/>
        </w:rPr>
        <w:t xml:space="preserve">4 — </w:t>
      </w:r>
      <w:r>
        <w:t>SWEEP the contract over the REAL variation axes — per-layer variants (e.g. per-layer compression ratios), prefill vs decode, TP, batch M — and assert each shape is VALID and EQUALS the kernel's contract (equality, not mere internal validity).</w:t>
      </w:r>
    </w:p>
    <w:p>
      <w:pPr>
        <w:pStyle w:val="ListNumber"/>
        <w:spacing w:after="40"/>
      </w:pPr>
      <w:r>
        <w:rPr>
          <w:b/>
          <w:color w:val="1F3764"/>
        </w:rPr>
        <w:t xml:space="preserve">5 — </w:t>
      </w:r>
      <w:r>
        <w:t>Port the published forward as the NUMERICAL ORACLE (exact parity, not a re-derived reference) so a SEMANTIC error, not just a shape error, is caught.</w:t>
      </w:r>
    </w:p>
    <w:p>
      <w:pPr>
        <w:pStyle w:val="ListNumber"/>
        <w:spacing w:after="40"/>
      </w:pPr>
      <w:r>
        <w:rPr>
          <w:b/>
          <w:color w:val="1F3764"/>
        </w:rPr>
        <w:t xml:space="preserve">6 — </w:t>
      </w:r>
      <w:r>
        <w:t>RUNTIME-CAPTURE (module-level now, full-forward at integration) to CONFIRM the serving stack's actual layout matches the contract — the serving path may repack/absorb/shard differently from the reference.</w:t>
      </w:r>
    </w:p>
    <w:p>
      <w:pPr>
        <w:spacing w:after="80"/>
      </w:pPr>
      <w:r>
        <w:rPr>
          <w:b w:val="0"/>
          <w:color w:val="555555"/>
          <w:sz w:val="21"/>
        </w:rPr>
        <w:t>Why it survives human audit: every shape and semantic traces to a line in the PUBLISHED model + the real config; the sweep, validity and equality checks are mechanical; the oracle gives exact numbers. The reviewer checks FACTS and CITATIONS, not the agent's reading.</w:t>
      </w:r>
    </w:p>
    <w:p>
      <w:pPr>
        <w:spacing w:after="80"/>
      </w:pPr>
      <w:r>
        <w:rPr>
          <w:b w:val="0"/>
          <w:color w:val="555555"/>
          <w:sz w:val="21"/>
        </w:rPr>
        <w:t>Anti-patterns (each is a silent-failure trap): trusting a parity microbench at author-chosen shapes; inferring dims from config alone (misses semantics — overlap, sink, MQA); treating the reference's toy defaults as the real constants; and the cardinal sin — RE-GUESSING a shape after finding one wrong instead of capturing it from the published model.</w:t>
      </w:r>
    </w:p>
    <w:p>
      <w:pPr>
        <w:pStyle w:val="Heading1"/>
      </w:pPr>
      <w:r>
        <w:rPr>
          <w:color w:val="1F3764"/>
          <w:sz w:val="30"/>
        </w:rPr>
        <w:t>Roofline accounting discipline — an invariant-tested, self-consistent model</w:t>
      </w:r>
    </w:p>
    <w:p>
      <w:pPr>
        <w:spacing w:after="80"/>
      </w:pPr>
      <w:r>
        <w:rPr>
          <w:b/>
          <w:sz w:val="21"/>
        </w:rPr>
        <w:t>An analytical roofline is trustworthy only if its FLOP/byte accounting is internally consistent. These rules are model-agnostic and must be encoded as INVARIANT TESTS that GATE report generation — a model that fails an invariant is not published.</w:t>
      </w:r>
    </w:p>
    <w:p>
      <w:pPr>
        <w:pStyle w:val="ListBullet"/>
        <w:spacing w:after="40"/>
      </w:pPr>
      <w:r>
        <w:t>ONE tensor inventory: capacity AND per-op cost derive from the SAME op list — never a second hardcoded capacity formula that can drift from the op dimensions.</w:t>
      </w:r>
    </w:p>
    <w:p>
      <w:pPr>
        <w:pStyle w:val="ListBullet"/>
        <w:spacing w:after="40"/>
      </w:pPr>
      <w:r>
        <w:t>DECLARE the workload: independent requests vs shared-prefix, what is reused, dtype per tensor. An optimistic model is acceptable only if the assumption is stated.</w:t>
      </w:r>
    </w:p>
    <w:p>
      <w:pPr>
        <w:pStyle w:val="ListBullet"/>
        <w:spacing w:after="40"/>
      </w:pPr>
      <w:r>
        <w:t>Independent-request state (KV, activations) scales with batch M; weights are read once per step (M-independent). TEST: independent-request bytes are linear in M.</w:t>
      </w:r>
    </w:p>
    <w:p>
      <w:pPr>
        <w:pStyle w:val="ListBullet"/>
        <w:spacing w:after="40"/>
      </w:pPr>
      <w:r>
        <w:t>FUSION removes round-trips, not weights: a fused op counts ALL its matrices (a SwiGLU expert is three), and a flash/fused op carries NO intermediate-score DRAM. TEST both structurally.</w:t>
      </w:r>
    </w:p>
    <w:p>
      <w:pPr>
        <w:pStyle w:val="ListBullet"/>
        <w:spacing w:after="40"/>
      </w:pPr>
      <w:r>
        <w:t>RIDGE crossing solves the REAL arithmetic intensity (weights + activations) and returns “no crossing” when AI saturates below the ridge — not a weight-only approximation.</w:t>
      </w:r>
    </w:p>
    <w:p>
      <w:pPr>
        <w:pStyle w:val="ListBullet"/>
        <w:spacing w:after="40"/>
      </w:pPr>
      <w:r>
        <w:t>Per-layer INVOCATION counts come from the config (per-layer variants/phases), not a uniform ×num_layers. Verify against the model; print per-call cost, calls/step, and per-step cost.</w:t>
      </w:r>
    </w:p>
    <w:p>
      <w:pPr>
        <w:pStyle w:val="ListBullet"/>
        <w:spacing w:after="40"/>
      </w:pPr>
      <w:r>
        <w:t>Include quantization metadata (scale/padding bytes) in traffic AND capacity; low-bit storage is not native low-bit compute.</w:t>
      </w:r>
    </w:p>
    <w:p>
      <w:pPr>
        <w:pStyle w:val="ListBullet"/>
        <w:spacing w:after="40"/>
      </w:pPr>
      <w:r>
        <w:t>Latency rows are MEASURED, justified-analytical, or EXPLICITLY-UNMODELED — never invented floors; zero FLOPs/bytes does not establish latency as the binding resource.</w:t>
      </w:r>
    </w:p>
    <w:p>
      <w:pPr>
        <w:pStyle w:val="ListBullet"/>
        <w:spacing w:after="40"/>
      </w:pPr>
      <w:r>
        <w:t>Record hardware-profile PROVENANCE (node, memory type, clock); never mix measurements across configurations. The ideal roofline is an optimization TARGET, not an achievability claim.</w:t>
      </w:r>
    </w:p>
    <w:p>
      <w:pPr>
        <w:pStyle w:val="ListBullet"/>
        <w:spacing w:after="40"/>
      </w:pPr>
      <w:r>
        <w:t>Report latency and useful throughput as PRIMARY; track useful-vs-executed FLOPs/traffic separately; use distance-from-roof only DIAGNOSTICALLY (a fused kernel can be faster at LOWER achieved bandwidth). Emit a roofline-VS-measured join per authored op.</w:t>
      </w:r>
    </w:p>
    <w:p>
      <w:pPr>
        <w:pStyle w:val="ListBullet"/>
        <w:spacing w:after="40"/>
      </w:pPr>
      <w:r>
        <w:t>PROCESS: read external reviews/commits that touch your area BEFORE building on them — a rebase is not a read.</w:t>
      </w:r>
    </w:p>
    <w:p>
      <w:pPr>
        <w:pStyle w:val="Heading2"/>
      </w:pPr>
      <w:r>
        <w:rPr>
          <w:color w:val="2E5BA8"/>
          <w:sz w:val="24"/>
        </w:rPr>
        <w:t>Open-item disposition (never silently approximate)</w:t>
      </w:r>
    </w:p>
    <w:p>
      <w:pPr>
        <w:spacing w:after="80"/>
      </w:pPr>
      <w:r>
        <w:rPr>
          <w:b w:val="0"/>
          <w:color w:val="555555"/>
          <w:sz w:val="21"/>
        </w:rPr>
        <w:t>Every quantity in the model is exactly one of: MODELED (derived, cite the source line), MEASURED (microbench), or EXPLICITLY-UNMODELED (declared + tracked + surfaced at review with a reason and a plan). No silent placeholders or invented constants. Unmodeled items are listed in the review, never hidden inside a number. Prefer MODELED when the reference gives a formula; fall back to EXPLICITLY-UNMODELED only when it genuinely cannot be derived yet.</w:t>
      </w:r>
    </w:p>
    <w:p>
      <w:pPr>
        <w:pStyle w:val="Heading1"/>
      </w:pPr>
      <w:r>
        <w:rPr>
          <w:color w:val="1F3764"/>
          <w:sz w:val="30"/>
        </w:rPr>
        <w:t>Gates</w:t>
      </w:r>
    </w:p>
    <w:p>
      <w:pPr>
        <w:pStyle w:val="ListBullet"/>
        <w:spacing w:after="40"/>
      </w:pPr>
      <w:r>
        <w:t>G0 — capacity / precision (every launch)</w:t>
      </w:r>
    </w:p>
    <w:p>
      <w:pPr>
        <w:pStyle w:val="ListBullet"/>
        <w:spacing w:after="40"/>
      </w:pPr>
      <w:r>
        <w:t>G1 — coverage / lane (routes Thesis 1 vs 2 per op)</w:t>
      </w:r>
    </w:p>
    <w:p>
      <w:pPr>
        <w:pStyle w:val="ListBullet"/>
        <w:spacing w:after="40"/>
      </w:pPr>
      <w:r>
        <w:t>Fusion roofline gate (bytes saved + AI lift + cache-resident; reference oracle where available)</w:t>
      </w:r>
    </w:p>
    <w:p>
      <w:pPr>
        <w:pStyle w:val="ListBullet"/>
        <w:spacing w:after="40"/>
      </w:pPr>
      <w:r>
        <w:t>Shape-provenance gate (every kernel's shapes CAPTURED from the real forward + human-signed manifest, before trust/perf-claims)</w:t>
      </w:r>
    </w:p>
    <w:p>
      <w:pPr>
        <w:pStyle w:val="ListBullet"/>
        <w:spacing w:after="40"/>
      </w:pPr>
      <w:r>
        <w:t>Roofline-accounting gate (invariant self-test passes + one inventory + every quantity MODELED/MEASURED/EXPLICITLY-UNMODELED, before the report is published)</w:t>
      </w:r>
    </w:p>
    <w:p>
      <w:pPr>
        <w:pStyle w:val="ListBullet"/>
        <w:spacing w:after="40"/>
      </w:pPr>
      <w:r>
        <w:t>Phase-A ceiling-or-surface (every op at its ceiling, else surface to user)</w:t>
      </w:r>
    </w:p>
    <w:p>
      <w:pPr>
        <w:pStyle w:val="ListBullet"/>
        <w:spacing w:after="40"/>
      </w:pPr>
      <w:r>
        <w:t>G2 — validate-by-run (confirm the paper model in-engine)</w:t>
      </w:r>
    </w:p>
    <w:p>
      <w:pPr>
        <w:pStyle w:val="ListBullet"/>
        <w:spacing w:after="40"/>
      </w:pPr>
      <w:r>
        <w:t>G2.5 — system-pathology (kernel-domination ≥ bar before per-op work)</w:t>
      </w:r>
    </w:p>
    <w:p>
      <w:pPr>
        <w:pStyle w:val="ListBullet"/>
        <w:spacing w:after="40"/>
      </w:pPr>
      <w:r>
        <w:t>Accuracy gate · Human-gate (novel kernels)</w:t>
      </w:r>
    </w:p>
    <w:p>
      <w:pPr>
        <w:pStyle w:val="Heading1"/>
      </w:pPr>
      <w:r>
        <w:rPr>
          <w:color w:val="1F3764"/>
          <w:sz w:val="30"/>
        </w:rPr>
        <w:t>Platform card — an INPUT, filled per target by the probe</w:t>
      </w:r>
    </w:p>
    <w:p>
      <w:pPr>
        <w:spacing w:after="80"/>
      </w:pPr>
      <w:r>
        <w:rPr>
          <w:b w:val="0"/>
          <w:color w:val="555555"/>
          <w:sz w:val="21"/>
        </w:rPr>
        <w:t>The method assumes NO specific values. Below is the pilot's instantiation (produced by the uArch probe); retarget by swapping the per-platform spec file. Every number here is measured, not assumed.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 (pilot example)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 (DeepSeek-V4-Flash on Intel Xeon EMR, measured 2026-10-07)</w:t>
            </w:r>
          </w:p>
        </w:tc>
      </w:tr>
      <w:tr>
        <w:tc>
          <w:tcPr>
            <w:tcW w:type="dxa" w:w="4320"/>
          </w:tcPr>
          <w:p>
            <w:r>
              <w:t>CPU</w:t>
            </w:r>
          </w:p>
        </w:tc>
        <w:tc>
          <w:tcPr>
            <w:tcW w:type="dxa" w:w="4320"/>
          </w:tcPr>
          <w:p>
            <w:r>
              <w:t>Intel Xeon Platinum 8592+ (Emerald Rapids)</w:t>
            </w:r>
          </w:p>
        </w:tc>
      </w:tr>
      <w:tr>
        <w:tc>
          <w:tcPr>
            <w:tcW w:type="dxa" w:w="4320"/>
          </w:tcPr>
          <w:p>
            <w:r>
              <w:t>Topology</w:t>
            </w:r>
          </w:p>
        </w:tc>
        <w:tc>
          <w:tcPr>
            <w:tcW w:type="dxa" w:w="4320"/>
          </w:tcPr>
          <w:p>
            <w:r>
              <w:t>2 sockets × 64 cores; 1 NUMA domain per socket (SNC off)</w:t>
            </w:r>
          </w:p>
        </w:tc>
      </w:tr>
      <w:tr>
        <w:tc>
          <w:tcPr>
            <w:tcW w:type="dxa" w:w="4320"/>
          </w:tcPr>
          <w:p>
            <w:r>
              <w:t>Per-domain RAM</w:t>
            </w:r>
          </w:p>
        </w:tc>
        <w:tc>
          <w:tcPr>
            <w:tcW w:type="dxa" w:w="4320"/>
          </w:tcPr>
          <w:p>
            <w:r>
              <w:t>~503 GB (capacity floor)</w:t>
            </w:r>
          </w:p>
        </w:tc>
      </w:tr>
      <w:tr>
        <w:tc>
          <w:tcPr>
            <w:tcW w:type="dxa" w:w="4320"/>
          </w:tcPr>
          <w:p>
            <w:r>
              <w:t>Memory BW (roofline ceiling)</w:t>
            </w:r>
          </w:p>
        </w:tc>
        <w:tc>
          <w:tcPr>
            <w:tcW w:type="dxa" w:w="4320"/>
          </w:tcPr>
          <w:p>
            <w:r>
              <w:t>358.4 GB/s machine peak (8ch × DDR5-5600 × 8B); measured floor 214.4 GB/s = 60% of peak</w:t>
            </w:r>
          </w:p>
        </w:tc>
      </w:tr>
      <w:tr>
        <w:tc>
          <w:tcPr>
            <w:tcW w:type="dxa" w:w="4320"/>
          </w:tcPr>
          <w:p>
            <w:r>
              <w:t>AMX bf16 (roofline ceiling)</w:t>
            </w:r>
          </w:p>
        </w:tc>
        <w:tc>
          <w:tcPr>
            <w:tcW w:type="dxa" w:w="4320"/>
          </w:tcPr>
          <w:p>
            <w:r>
              <w:t>124.6 TFLOP/s machine peak (64c × 1024 FLOP/cyc × 1.9 GHz base); measured floor 40.3 TFLOP/s = 32% of peak</w:t>
            </w:r>
          </w:p>
        </w:tc>
      </w:tr>
      <w:tr>
        <w:tc>
          <w:tcPr>
            <w:tcW w:type="dxa" w:w="4320"/>
          </w:tcPr>
          <w:p>
            <w:r>
              <w:t>Ridge (AI*)</w:t>
            </w:r>
          </w:p>
        </w:tc>
        <w:tc>
          <w:tcPr>
            <w:tcW w:type="dxa" w:w="4320"/>
          </w:tcPr>
          <w:p>
            <w:r>
              <w:t>~348 FLOP/byte (machine peak)</w:t>
            </w:r>
          </w:p>
        </w:tc>
      </w:tr>
      <w:tr>
        <w:tc>
          <w:tcPr>
            <w:tcW w:type="dxa" w:w="4320"/>
          </w:tcPr>
          <w:p>
            <w:r>
              <w:t>Optimization basis</w:t>
            </w:r>
          </w:p>
        </w:tc>
        <w:tc>
          <w:tcPr>
            <w:tcW w:type="dxa" w:w="4320"/>
          </w:tcPr>
          <w:p>
            <w:r>
              <w:t>Optimize every op toward MACHINE PEAK; when levers are exhausted and it plateaus below peak, surface the residual gap and stop that op</w:t>
            </w:r>
          </w:p>
        </w:tc>
      </w:tr>
      <w:tr>
        <w:tc>
          <w:tcPr>
            <w:tcW w:type="dxa" w:w="4320"/>
          </w:tcPr>
          <w:p>
            <w:r>
              <w:t>Implication</w:t>
            </w:r>
          </w:p>
        </w:tc>
        <w:tc>
          <w:tcPr>
            <w:tcW w:type="dxa" w:w="4320"/>
          </w:tcPr>
          <w:p>
            <w:r>
              <w:t>Decode weight-streaming GEMMs are BW-bound across M∈{1,8,16,32,64}; only attention/sparse-attend are compute-bound</w:t>
            </w:r>
          </w:p>
        </w:tc>
      </w:tr>
    </w:tbl>
    <w:p>
      <w:pPr>
        <w:pStyle w:val="Heading1"/>
      </w:pPr>
      <w:r>
        <w:rPr>
          <w:color w:val="1F3764"/>
          <w:sz w:val="30"/>
        </w:rPr>
        <w:t>Method note — all-ops-to-ceiling before wall-time ordering</w:t>
      </w:r>
    </w:p>
    <w:p>
      <w:pPr>
        <w:spacing w:after="80"/>
      </w:pPr>
      <w:r>
        <w:rPr>
          <w:b w:val="0"/>
          <w:color w:val="555555"/>
          <w:sz w:val="21"/>
        </w:rPr>
        <w:t>This playbook requires EVERY op at its roofline ceiling (Phase A) BEFORE wall-time / Amdahl ordering (Phase B), rather than ROI-skipping low-share ops up front. The inversion is deliberate: a cheap op can hide a systemic pathology, and completeness-first makes the Phase-B wall-time attribution trustworthy. Applies unchanged across models and platforms.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