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CPU Model Enablement + Optimization Playbook</w:t>
      </w:r>
    </w:p>
    <w:p>
      <w:pPr>
        <w:jc w:val="center"/>
      </w:pPr>
      <w:r>
        <w:rPr>
          <w:color w:val="555555"/>
          <w:sz w:val="24"/>
        </w:rPr>
        <w:t>Scale-stratified methodology — DeepSeek-V4-Flash tree pilot (EMR)</w:t>
      </w:r>
    </w:p>
    <w:p>
      <w:pPr>
        <w:jc w:val="center"/>
      </w:pPr>
      <w:r>
        <w:rPr>
          <w:color w:val="555555"/>
          <w:sz w:val="18"/>
        </w:rPr>
        <w:t>Reference build — 2026-10-07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run CPU enablement AND optimization end-to-end for any model, with final wall-time driven toward the sum of kernel roofline times — framework overhead squeezed out and every kept kernel at its ceiling.</w:t>
      </w:r>
    </w:p>
    <w:p>
      <w:pPr>
        <w:spacing w:after="80"/>
      </w:pPr>
      <w:r>
        <w:rPr>
          <w:b/>
          <w:sz w:val="21"/>
        </w:rPr>
        <w:t>Two theses, one plugin (SGLang external model package, override by __name__,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— </w:t>
      </w:r>
      <w:r>
        <w:t>models whose ops are fully covered by existing AMX/CPU kernels are enabled by wiring + validation only (capability inheritance: bf16/int8, AMX, prepack/VNNI, FusedMoE).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— </w:t>
      </w:r>
      <w:r>
        <w:t>genuinely novel ops get an AI-written, roofline-tuned C/C++ kernel, human-gated.</w:t>
      </w:r>
    </w:p>
    <w:p>
      <w:pPr>
        <w:spacing w:after="80"/>
      </w:pPr>
      <w:r>
        <w:rPr>
          <w:b w:val="0"/>
          <w:color w:val="555555"/>
          <w:sz w:val="21"/>
        </w:rPr>
        <w:t>Scope-discovery (coverage-gate) is the router; the spine-leaf performance tree (macro/meso/micro roofline loop) is the engine. One pipeline.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C/C++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system pathology first (OpenMP spin-wait, thread-cap, NUMA bind, allocator, dispatch,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node → measured machine_constants: per-NUMA-domain memory BW, per-dtype compute peak, ridge = peak/BW, NUMA/SNC, ISA. No hardcoded constants.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bf16 via fused dequant.</w:t>
      </w:r>
    </w:p>
    <w:p>
      <w:pPr>
        <w:pStyle w:val="ListBullet"/>
        <w:spacing w:after="40"/>
      </w:pPr>
      <w:r>
        <w:t>Capacity pre-flight: resident weights + activations + KV/state vs per-domain RAM floor → tp/EP (EP-first for MoE; CPU tp&gt;1 hurts latency-bound decode).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Coverage-gate assigns each op a lane: A = covered on CPU (donor); B = missing on CPU but GPU/XPU reference exists (oracle); C = missing, author from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C/C++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1"/>
      </w:pPr>
      <w:r>
        <w:rPr>
          <w:color w:val="1F3764"/>
          <w:sz w:val="30"/>
        </w:rPr>
        <w:t>Progressive wall-time tracking (publication ledger)</w:t>
      </w:r>
    </w:p>
    <w:p>
      <w:pPr>
        <w:spacing w:after="80"/>
      </w:pPr>
      <w:r>
        <w:rPr>
          <w:b/>
          <w:sz w:val="21"/>
        </w:rPr>
        <w:t>Each optimization is proven end-to-end, not just in a microbench. We keep a running wall-time ledger from the unoptimized baseline through every integrated op, so the final publication shows a monotonic, correctness-gated speed-up curve.</w:t>
      </w:r>
    </w:p>
    <w:p>
      <w:pPr>
        <w:spacing w:after="80"/>
      </w:pPr>
      <w:r>
        <w:rPr>
          <w:b w:val="0"/>
          <w:color w:val="555555"/>
          <w:sz w:val="21"/>
        </w:rPr>
        <w:t>Ledger artifact: plugin/validate/results/wall_time_progress.json (baseline row + one row per op, filled after each integration).</w:t>
      </w:r>
    </w:p>
    <w:p>
      <w:pPr>
        <w:pStyle w:val="Heading2"/>
      </w:pPr>
      <w:r>
        <w:rPr>
          <w:color w:val="2E5BA8"/>
          <w:sz w:val="24"/>
        </w:rPr>
        <w:t>The loop (repeat per op, in Phase-A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0 — </w:t>
      </w:r>
      <w:r>
        <w:t>Baseline wall time FIRST: run the full model end-to-end with deterministic-dummy weights and record the steady-state median latency at each M (step 0 = the reference; never time the cold step).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Optimize the op standalone to its machine-peak ceiling (author → measure → iterate → keep best-of), then surface-and-stop when levers are exhausted.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Integrate the kept kernel into the model behind a COSINE FINGERPRINT gate: per-layer + per-op cosine vs the torch/GPU reference on the SAME dummy weights must stay ≥ 0.9999 (set-match for top-k ops). The first layer/op below threshold localizes a break — do not proceed until it passes.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Re-run the model end-to-end (dummy weights, same M sweep) and record the new wall time + the delta vs the previous row and the cumulative speed-up vs baseline.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Repeat for the next op. The ledger accumulates to the final published curve: baseline → op-by-op → fully-optimized.</w:t>
      </w:r>
    </w:p>
    <w:p>
      <w:pPr>
        <w:pStyle w:val="Heading2"/>
      </w:pPr>
      <w:r>
        <w:rPr>
          <w:color w:val="2E5BA8"/>
          <w:sz w:val="24"/>
        </w:rPr>
        <w:t>MoE mode-collapse — the input tensor matters</w:t>
      </w:r>
    </w:p>
    <w:p>
      <w:pPr>
        <w:spacing w:after="80"/>
      </w:pPr>
      <w:r>
        <w:rPr>
          <w:b w:val="0"/>
          <w:color w:val="555555"/>
          <w:sz w:val="21"/>
        </w:rPr>
        <w:t>The dummy-weight run must exercise a REPRESENTATIVE set of routed experts. With tiny random gate weights, a non-diverse input (e.g. one hidden vector broadcast across the batch) collapses routing to the same top-k experts every token — only ~topk of the E=256 experts run, so the measured MoE wall time is unrepresentatively low and the roofline's expert traffic is never incurred.</w:t>
      </w:r>
    </w:p>
    <w:p>
      <w:pPr>
        <w:pStyle w:val="ListBullet"/>
        <w:spacing w:after="40"/>
      </w:pPr>
      <w:r>
        <w:t>Build the input with plugin/validate/moe_balanced_input.build_verified_input(M, gate_weight): per-token i.i.d. hidden states (NOT a broadcast), falling back to round-robin gate-row alignment.</w:t>
      </w:r>
    </w:p>
    <w:p>
      <w:pPr>
        <w:pStyle w:val="ListBullet"/>
        <w:spacing w:after="40"/>
      </w:pPr>
      <w:r>
        <w:t>VERIFY (not assume) dispersion: realized distinct-experts must track the uniform expectation E·(1−(1−1/E)^(topk·M)) and no expert may absorb an outsized share — a collapse gate asserts this before the timing is trusted. (Checked M=8→43, 16→81, 32→138, 64→209 distinct vs expected 43.8/80.2/135.3/199; the broadcast trap collapses to 6 and is rejected.)</w:t>
      </w:r>
    </w:p>
    <w:p>
      <w:pPr>
        <w:pStyle w:val="ListBullet"/>
        <w:spacing w:after="40"/>
      </w:pPr>
      <w:r>
        <w:t>Instrument the real router during the E2E run to confirm the same spread in-engine (per-forward distinct-expert count), so the proxy input is validated against the actual model path.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 (Gate 2): confirm the predicted class/ceiling in-engine (dummy weights for perf, full depth, target ISA). Mismatch → the paper model omitted a cost; update it.</w:t>
      </w:r>
    </w:p>
    <w:p>
      <w:pPr>
        <w:pStyle w:val="ListBullet"/>
        <w:spacing w:after="40"/>
      </w:pPr>
      <w:r>
        <w:t>Accuracy oracle finale: real-weight per-token parity vs HF → task accuracy (gsm8k) → GPU-vs-CPU cross-check sign-off.</w:t>
      </w:r>
    </w:p>
    <w:p>
      <w:pPr>
        <w:pStyle w:val="ListBullet"/>
        <w:spacing w:after="40"/>
      </w:pPr>
      <w:r>
        <w:t>Enablement certificate (op→kernel→donor provenance + parity gates); peer-relative roofline (efficiency vs a shipped donor ≥ 0.90); ship as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CPU dummy bit-identical to the GPU/torch dummy reference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CPU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(ignore DSA selection → dense, force-dense MoE, swap kernel ↔ torch reference).</w:t>
      </w:r>
    </w:p>
    <w:p>
      <w:pPr>
        <w:pStyle w:val="ListBullet"/>
        <w:spacing w:after="40"/>
      </w:pPr>
      <w:r>
        <w:t>Reduces-to-identity checks (sparse attend → exact dense at top-k=all) and low-bit dtype-bridge parity vs an independent torch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GPU-vs-CPU sign-off.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L2-resident; GPU oracle where available)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Accuracy-oracle gate · Human-gate (novel kernels)</w:t>
      </w:r>
    </w:p>
    <w:p>
      <w:pPr>
        <w:pStyle w:val="Heading1"/>
      </w:pPr>
      <w:r>
        <w:rPr>
          <w:color w:val="1F3764"/>
          <w:sz w:val="30"/>
        </w:rPr>
        <w:t>Pilot platform — EMR (measured)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(measured 2026-10-07, pcl-spr10)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 (roofline ceiling)</w:t>
            </w:r>
          </w:p>
        </w:tc>
        <w:tc>
          <w:tcPr>
            <w:tcW w:type="dxa" w:w="4320"/>
          </w:tcPr>
          <w:p>
            <w:r>
              <w:t>358.4 GB/s machine peak (8ch × DDR5-5600 × 8B); measured floor 214.4 GB/s = 60% of peak</w:t>
            </w:r>
          </w:p>
        </w:tc>
      </w:tr>
      <w:tr>
        <w:tc>
          <w:tcPr>
            <w:tcW w:type="dxa" w:w="4320"/>
          </w:tcPr>
          <w:p>
            <w:r>
              <w:t>AMX bf16 (roofline ceiling)</w:t>
            </w:r>
          </w:p>
        </w:tc>
        <w:tc>
          <w:tcPr>
            <w:tcW w:type="dxa" w:w="4320"/>
          </w:tcPr>
          <w:p>
            <w:r>
              <w:t>124.6 TFLOP/s machine peak (64c × 1024 FLOP/cyc × 1.9 GHz base); measured floor 40.3 TFLOP/s = 32% of peak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~348 FLOP/byte (machine peak)</w:t>
            </w:r>
          </w:p>
        </w:tc>
      </w:tr>
      <w:tr>
        <w:tc>
          <w:tcPr>
            <w:tcW w:type="dxa" w:w="4320"/>
          </w:tcPr>
          <w:p>
            <w:r>
              <w:t>Optimization basis</w:t>
            </w:r>
          </w:p>
        </w:tc>
        <w:tc>
          <w:tcPr>
            <w:tcW w:type="dxa" w:w="4320"/>
          </w:tcPr>
          <w:p>
            <w:r>
              <w:t>Optimize every op toward MACHINE PEAK; when levers are exhausted and it plateaus below peak, surface the residual gap and stop that op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Note — divergence from the published tree</w:t>
      </w:r>
    </w:p>
    <w:p>
      <w:pPr>
        <w:spacing w:after="80"/>
      </w:pPr>
      <w:r>
        <w:rPr>
          <w:b w:val="0"/>
          <w:color w:val="555555"/>
          <w:sz w:val="21"/>
        </w:rPr>
        <w:t>The codified tree ROI-skips low-share ops (“dominant kernel at roofline”). This pilot requires all ops at their ceiling (Phase A) before wall-time/Amdahl ordering (Phase B). This is reported to the tree owner as a methodology item; the pilot does not edit the tree.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