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Parallel authoring, serial integration, per-pass record</w:t>
      </w:r>
    </w:p>
    <w:p>
      <w:pPr>
        <w:spacing w:after="80"/>
      </w:pPr>
      <w:r>
        <w:rPr>
          <w:b w:val="0"/>
          <w:color w:val="555555"/>
          <w:sz w:val="21"/>
        </w:rPr>
        <w:t>Ops are independent work items (distinct kernel, distinct microbench), so AUTHOR THEM IN PARALLEL (one op per idle node) and QUEUE the finished best-of versions. INTEGRATION stays serial: dequeue one op at a time, cosine-gate, re-run the wall-time ledger. Only the integrated re-profile is serial.</w:t>
      </w:r>
    </w:p>
    <w:p>
      <w:pPr>
        <w:pStyle w:val="ListBullet"/>
        <w:spacing w:after="40"/>
      </w:pPr>
      <w:r>
        <w:t>Per op, record EVERY optimization pass (before/after): approach, off-machine-peak and vs-reference per M, correctness (cosine / set-match), kept?, commit. The final KEPT pass is the best-of, reported against the roofline (at-ceiling, or surfaced-as-plateaued with the residual-gap cause).</w:t>
      </w:r>
    </w:p>
    <w:p>
      <w:pPr>
        <w:pStyle w:val="ListBullet"/>
        <w:spacing w:after="40"/>
      </w:pPr>
      <w:r>
        <w:t>Per-op pass ledgers: plugin/validate/results/op_passes/&lt;op&gt;.json (schema in _schema.json).</w:t>
      </w:r>
    </w:p>
    <w:p>
      <w:pPr>
        <w:pStyle w:val="ListBullet"/>
        <w:spacing w:after="40"/>
      </w:pPr>
      <w:r>
        <w:t>Torch/donor fallback registry: every point where the kept best-of falls back to torch (or a donor) instead of the custom path is recorded with its reason + limit justification (plugin/validate/results/torch_fallbacks.json). A fallback is legitimate only if strictly best-of (no regression at that point) OR at the measured limit with no lever left. The WHOLE registry is SURFACED FOR REVIEW at the end of the optimization + integration phase.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