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764"/>
          <w:sz w:val="40"/>
        </w:rPr>
        <w:t>CPU Model Enablement + Optimization Playbook</w:t>
      </w:r>
    </w:p>
    <w:p>
      <w:pPr>
        <w:jc w:val="center"/>
      </w:pPr>
      <w:r>
        <w:rPr>
          <w:color w:val="555555"/>
          <w:sz w:val="24"/>
        </w:rPr>
        <w:t>Scale-stratified methodology — DeepSeek-V4-Flash tree pilot (EMR)</w:t>
      </w:r>
    </w:p>
    <w:p>
      <w:pPr>
        <w:jc w:val="center"/>
      </w:pPr>
      <w:r>
        <w:rPr>
          <w:color w:val="555555"/>
          <w:sz w:val="18"/>
        </w:rPr>
        <w:t>Reference build — 2026-10-07</w:t>
      </w:r>
    </w:p>
    <w:p>
      <w:pPr>
        <w:pStyle w:val="Heading1"/>
      </w:pPr>
      <w:r>
        <w:rPr>
          <w:color w:val="1F3764"/>
          <w:sz w:val="30"/>
        </w:rPr>
        <w:t>Overview</w:t>
      </w:r>
    </w:p>
    <w:p>
      <w:pPr>
        <w:spacing w:after="80"/>
      </w:pPr>
      <w:r>
        <w:rPr>
          <w:b w:val="0"/>
          <w:color w:val="555555"/>
          <w:sz w:val="21"/>
        </w:rPr>
        <w:t>Goal: from a bare model config + checkpoint, run CPU enablement AND optimization end-to-end for any model, with final wall-time driven toward the sum of kernel roofline times — framework overhead squeezed out and every kept kernel at its ceiling.</w:t>
      </w:r>
    </w:p>
    <w:p>
      <w:pPr>
        <w:spacing w:after="80"/>
      </w:pPr>
      <w:r>
        <w:rPr>
          <w:b/>
          <w:sz w:val="21"/>
        </w:rPr>
        <w:t>Two theses, one plugin (SGLang external model package, override by __name__, no fork):</w:t>
      </w:r>
    </w:p>
    <w:p>
      <w:pPr>
        <w:pStyle w:val="ListBullet"/>
        <w:spacing w:after="40"/>
      </w:pPr>
      <w:r>
        <w:rPr>
          <w:b/>
          <w:color w:val="1F3764"/>
        </w:rPr>
        <w:t xml:space="preserve">Thesis 1 — </w:t>
      </w:r>
      <w:r>
        <w:t>models whose ops are fully covered by existing AMX/CPU kernels are enabled by wiring + validation only (capability inheritance: bf16/int8, AMX, prepack/VNNI, FusedMoE).</w:t>
      </w:r>
    </w:p>
    <w:p>
      <w:pPr>
        <w:pStyle w:val="ListBullet"/>
        <w:spacing w:after="40"/>
      </w:pPr>
      <w:r>
        <w:rPr>
          <w:b/>
          <w:color w:val="1F3764"/>
        </w:rPr>
        <w:t xml:space="preserve">Thesis 2 — </w:t>
      </w:r>
      <w:r>
        <w:t>genuinely novel ops get an AI-written, roofline-tuned C/C++ kernel, human-gated.</w:t>
      </w:r>
    </w:p>
    <w:p>
      <w:pPr>
        <w:spacing w:after="80"/>
      </w:pPr>
      <w:r>
        <w:rPr>
          <w:b w:val="0"/>
          <w:color w:val="555555"/>
          <w:sz w:val="21"/>
        </w:rPr>
        <w:t>Scope-discovery (coverage-gate) is the router; the spine-leaf performance tree (macro/meso/micro roofline loop) is the engine. One pipeline.</w:t>
      </w:r>
    </w:p>
    <w:p>
      <w:pPr>
        <w:pStyle w:val="Heading1"/>
      </w:pPr>
      <w:r>
        <w:rPr>
          <w:color w:val="1F3764"/>
          <w:sz w:val="30"/>
        </w:rPr>
        <w:t>Governing principle — two phases</w:t>
      </w:r>
    </w:p>
    <w:p>
      <w:pPr>
        <w:spacing w:after="80"/>
      </w:pPr>
      <w:r>
        <w:rPr>
          <w:b/>
          <w:sz w:val="21"/>
        </w:rPr>
        <w:t>Per-op completeness FIRST, wall-time/ordering SECOND (a deliberate inversion of ROI-skip).</w:t>
      </w:r>
    </w:p>
    <w:p>
      <w:pPr>
        <w:pStyle w:val="Heading2"/>
      </w:pPr>
      <w:r>
        <w:rPr>
          <w:color w:val="2E5BA8"/>
          <w:sz w:val="24"/>
        </w:rPr>
        <w:t>Phase A — per-op peaking (ALL ops, including fused ops)</w:t>
      </w:r>
    </w:p>
    <w:p>
      <w:pPr>
        <w:pStyle w:val="ListNumber"/>
        <w:spacing w:after="40"/>
      </w:pPr>
      <w:r>
        <w:t>Discover every op in the layer, including fused ops — a fused op is a first-class unit with its own roofline.</w:t>
      </w:r>
    </w:p>
    <w:p>
      <w:pPr>
        <w:pStyle w:val="ListNumber"/>
        <w:spacing w:after="40"/>
      </w:pPr>
      <w:r>
        <w:t>Per op/fused-op: roofline + binding resource (BW / compute / latency) on the target platform (measured constants).</w:t>
      </w:r>
    </w:p>
    <w:p>
      <w:pPr>
        <w:pStyle w:val="ListNumber"/>
        <w:spacing w:after="40"/>
      </w:pPr>
      <w:r>
        <w:t>Arithmetic-intensity improvability: can the binding resource be moved by a lever (increase M/batch, fusion)? Record the achievable ceiling.</w:t>
      </w:r>
    </w:p>
    <w:p>
      <w:pPr>
        <w:pStyle w:val="ListNumber"/>
        <w:spacing w:after="40"/>
      </w:pPr>
      <w:r>
        <w:t>Implement the op in C/C++ and optimize to a reasonable extent, driving it to its ceiling (BW peak / compute peak / latency floor).</w:t>
      </w:r>
    </w:p>
    <w:p>
      <w:pPr>
        <w:pStyle w:val="ListNumber"/>
        <w:spacing w:after="40"/>
      </w:pPr>
      <w:r>
        <w:t>If the gap to roofline cannot be bridged by known techniques → surface to the user for review.</w:t>
      </w:r>
    </w:p>
    <w:p>
      <w:pPr>
        <w:pStyle w:val="ListNumber"/>
        <w:spacing w:after="40"/>
      </w:pPr>
      <w:r>
        <w:t>Every op done this way — none skipped. Completion gate = every op/fused-op at its ceiling.</w:t>
      </w:r>
    </w:p>
    <w:p>
      <w:pPr>
        <w:pStyle w:val="Heading2"/>
      </w:pPr>
      <w:r>
        <w:rPr>
          <w:color w:val="2E5BA8"/>
          <w:sz w:val="24"/>
        </w:rPr>
        <w:t>Phase B — wall-time + ordering (only after Phase A completes)</w:t>
      </w:r>
    </w:p>
    <w:p>
      <w:pPr>
        <w:pStyle w:val="ListNumber"/>
        <w:spacing w:after="40"/>
      </w:pPr>
      <w:r>
        <w:t>Switch to wall-time; fix system pathology first (OpenMP spin-wait, thread-cap, NUMA bind, allocator, dispatch, batching) until kernel-domination clears the bar.</w:t>
      </w:r>
    </w:p>
    <w:p>
      <w:pPr>
        <w:pStyle w:val="ListNumber"/>
        <w:spacing w:after="40"/>
      </w:pPr>
      <w:r>
        <w:t>Apply Amdahl ordering — prioritize/aggregate high-share work. Ordering is sequencing, not exclusion.</w:t>
      </w:r>
    </w:p>
    <w:p>
      <w:pPr>
        <w:spacing w:after="80"/>
      </w:pPr>
      <w:r>
        <w:rPr>
          <w:b w:val="0"/>
          <w:color w:val="555555"/>
          <w:sz w:val="21"/>
        </w:rPr>
        <w:t>Bounding valves that keep Phase A finite: “reasonable extent” + “surface if can’t bridge.” Latency-bound “peak” = the dispatch/overhead floor (fuse/batch launches), not an AI target.</w:t>
      </w:r>
    </w:p>
    <w:p>
      <w:pPr>
        <w:pStyle w:val="Heading1"/>
      </w:pPr>
      <w:r>
        <w:rPr>
          <w:color w:val="1F3764"/>
          <w:sz w:val="30"/>
        </w:rPr>
        <w:t>Pipeline phases (in order)</w:t>
      </w:r>
    </w:p>
    <w:p>
      <w:pPr>
        <w:pStyle w:val="Heading2"/>
      </w:pPr>
      <w:r>
        <w:rPr>
          <w:color w:val="2E5BA8"/>
          <w:sz w:val="24"/>
        </w:rPr>
        <w:t>Phase 0 — Platform scan + intake + capacity/precision pre-flight (Gate 0)</w:t>
      </w:r>
    </w:p>
    <w:p>
      <w:pPr>
        <w:pStyle w:val="ListBullet"/>
        <w:spacing w:after="40"/>
      </w:pPr>
      <w:r>
        <w:t>Run the uArch probe on the target node → measured machine_constants: per-NUMA-domain memory BW, per-dtype compute peak, ridge = peak/BW, NUMA/SNC, ISA. No hardcoded constants.</w:t>
      </w:r>
    </w:p>
    <w:p>
      <w:pPr>
        <w:pStyle w:val="ListBullet"/>
        <w:spacing w:after="40"/>
      </w:pPr>
      <w:r>
        <w:t>Data-type audit from the real checkpoint (metadata-only first): {op, stored dtype, target compute dtype, kernel, inflation?, dtype-bridge, parity gate}. Never inflate a native low-bit checkpoint; sub-tile dtypes are moved low-bit and computed bf16 via fused dequant.</w:t>
      </w:r>
    </w:p>
    <w:p>
      <w:pPr>
        <w:pStyle w:val="ListBullet"/>
        <w:spacing w:after="40"/>
      </w:pPr>
      <w:r>
        <w:t>Capacity pre-flight: resident weights + activations + KV/state vs per-domain RAM floor → tp/EP (EP-first for MoE; CPU tp&gt;1 hurts latency-bound decode).</w:t>
      </w:r>
    </w:p>
    <w:p>
      <w:pPr>
        <w:pStyle w:val="Heading2"/>
      </w:pPr>
      <w:r>
        <w:rPr>
          <w:color w:val="2E5BA8"/>
          <w:sz w:val="24"/>
        </w:rPr>
        <w:t>Phase 1 — Op scope discovery + decomposition (Gate 1)</w:t>
      </w:r>
    </w:p>
    <w:p>
      <w:pPr>
        <w:pStyle w:val="ListBullet"/>
        <w:spacing w:after="40"/>
      </w:pPr>
      <w:r>
        <w:t>Enumerate every op (walk each layer index — heterogeneity is easy to miss); 100% compute coverage; anything unclassifiable is UNKNOWN → treated as a gap.</w:t>
      </w:r>
    </w:p>
    <w:p>
      <w:pPr>
        <w:pStyle w:val="ListBullet"/>
        <w:spacing w:after="40"/>
      </w:pPr>
      <w:r>
        <w:t>Dependency-closure for non-compute substrate (KV pool, backends, novel non-attention families).</w:t>
      </w:r>
    </w:p>
    <w:p>
      <w:pPr>
        <w:pStyle w:val="ListBullet"/>
        <w:spacing w:after="40"/>
      </w:pPr>
      <w:r>
        <w:t>Coverage-gate assigns each op a lane: A = covered on CPU (donor); B = missing on CPU but GPU/XPU reference exists (oracle); C = missing, author from math spec.</w:t>
      </w:r>
    </w:p>
    <w:p>
      <w:pPr>
        <w:pStyle w:val="Heading2"/>
      </w:pPr>
      <w:r>
        <w:rPr>
          <w:color w:val="2E5BA8"/>
          <w:sz w:val="24"/>
        </w:rPr>
        <w:t>Phase 2 — Fusion pass → roofline (per op, target platform)</w:t>
      </w:r>
    </w:p>
    <w:p>
      <w:pPr>
        <w:pStyle w:val="ListBullet"/>
        <w:spacing w:after="40"/>
      </w:pPr>
      <w:r>
        <w:t>Fusion analysis first (vertical / horizontal / epilogue). For each candidate: consult the GPU/XPU implementation where available — runnable fused code is a numerical ORACLE; a performance claim without code is a HINT only — OR derive the benefit MATHEMATICALLY on the roofline (bytes saved + AI before→after + L2-resident gate) where no reference exists. Absence of a GPU reference is not a reason to skip (CPU is more BW-bound, so a CPU-only fusion may pay).</w:t>
      </w:r>
    </w:p>
    <w:p>
      <w:pPr>
        <w:pStyle w:val="ListBullet"/>
        <w:spacing w:after="40"/>
      </w:pPr>
      <w:r>
        <w:t>Map each fusion: COVERED (donor fused kernel) / NEW-C++ (→ kernel authoring) / SKIP (record why).</w:t>
      </w:r>
    </w:p>
    <w:p>
      <w:pPr>
        <w:pStyle w:val="ListBullet"/>
        <w:spacing w:after="40"/>
      </w:pPr>
      <w:r>
        <w:t>Per-op and per-fused-op roofline: FLOPs, weight+activation+KV bytes, arithmetic intensity, binding resource, achievable ceiling, and the C/C++ implementation lane. Phase-split prefill vs decode.</w:t>
      </w:r>
    </w:p>
    <w:p>
      <w:pPr>
        <w:pStyle w:val="Heading2"/>
      </w:pPr>
      <w:r>
        <w:rPr>
          <w:color w:val="2E5BA8"/>
          <w:sz w:val="24"/>
        </w:rPr>
        <w:t>Phase A / Phase B — execute per the governing principle above</w:t>
      </w:r>
    </w:p>
    <w:p>
      <w:pPr>
        <w:pStyle w:val="Heading1"/>
      </w:pPr>
      <w:r>
        <w:rPr>
          <w:color w:val="1F3764"/>
          <w:sz w:val="30"/>
        </w:rPr>
        <w:t>Progressive wall-time tracking (publication ledger)</w:t>
      </w:r>
    </w:p>
    <w:p>
      <w:pPr>
        <w:spacing w:after="80"/>
      </w:pPr>
      <w:r>
        <w:rPr>
          <w:b/>
          <w:sz w:val="21"/>
        </w:rPr>
        <w:t>Each optimization is proven end-to-end, not just in a microbench. We keep a running wall-time ledger from the unoptimized baseline through every integrated op, so the final publication shows a monotonic, correctness-gated speed-up curve.</w:t>
      </w:r>
    </w:p>
    <w:p>
      <w:pPr>
        <w:spacing w:after="80"/>
      </w:pPr>
      <w:r>
        <w:rPr>
          <w:b w:val="0"/>
          <w:color w:val="555555"/>
          <w:sz w:val="21"/>
        </w:rPr>
        <w:t>Ledger artifact: plugin/validate/results/wall_time_progress.json (baseline row + one row per op, filled after each integration).</w:t>
      </w:r>
    </w:p>
    <w:p>
      <w:pPr>
        <w:pStyle w:val="Heading2"/>
      </w:pPr>
      <w:r>
        <w:rPr>
          <w:color w:val="2E5BA8"/>
          <w:sz w:val="24"/>
        </w:rPr>
        <w:t>The loop (repeat per op, in Phase-A order)</w:t>
      </w:r>
    </w:p>
    <w:p>
      <w:pPr>
        <w:pStyle w:val="ListNumber"/>
        <w:spacing w:after="40"/>
      </w:pPr>
      <w:r>
        <w:rPr>
          <w:b/>
          <w:color w:val="1F3764"/>
        </w:rPr>
        <w:t xml:space="preserve">0 — </w:t>
      </w:r>
      <w:r>
        <w:t>Baseline wall time FIRST: run the full model end-to-end with deterministic-dummy weights and record the steady-state median latency at each M (step 0 = the reference; never time the cold step).</w:t>
      </w:r>
    </w:p>
    <w:p>
      <w:pPr>
        <w:pStyle w:val="ListNumber"/>
        <w:spacing w:after="40"/>
      </w:pPr>
      <w:r>
        <w:rPr>
          <w:b/>
          <w:color w:val="1F3764"/>
        </w:rPr>
        <w:t xml:space="preserve">1 — </w:t>
      </w:r>
      <w:r>
        <w:t>Optimize the op standalone to its machine-peak ceiling (author → measure → iterate → keep best-of), then surface-and-stop when levers are exhausted.</w:t>
      </w:r>
    </w:p>
    <w:p>
      <w:pPr>
        <w:pStyle w:val="ListNumber"/>
        <w:spacing w:after="40"/>
      </w:pPr>
      <w:r>
        <w:rPr>
          <w:b/>
          <w:color w:val="1F3764"/>
        </w:rPr>
        <w:t xml:space="preserve">2 — </w:t>
      </w:r>
      <w:r>
        <w:t>Integrate the kept kernel into the model behind a COSINE FINGERPRINT gate: per-layer + per-op cosine vs the torch/GPU reference on the SAME dummy weights must stay ≥ 0.9999 (set-match for top-k ops). The first layer/op below threshold localizes a break — do not proceed until it passes.</w:t>
      </w:r>
    </w:p>
    <w:p>
      <w:pPr>
        <w:pStyle w:val="ListNumber"/>
        <w:spacing w:after="40"/>
      </w:pPr>
      <w:r>
        <w:rPr>
          <w:b/>
          <w:color w:val="1F3764"/>
        </w:rPr>
        <w:t xml:space="preserve">3 — </w:t>
      </w:r>
      <w:r>
        <w:t>Re-run the model end-to-end (dummy weights, same M sweep) and record the new wall time + the delta vs the previous row and the cumulative speed-up vs baseline.</w:t>
      </w:r>
    </w:p>
    <w:p>
      <w:pPr>
        <w:pStyle w:val="ListNumber"/>
        <w:spacing w:after="40"/>
      </w:pPr>
      <w:r>
        <w:rPr>
          <w:b/>
          <w:color w:val="1F3764"/>
        </w:rPr>
        <w:t xml:space="preserve">4 — </w:t>
      </w:r>
      <w:r>
        <w:t>Repeat for the next op. The ledger accumulates to the final published curve: baseline → op-by-op → fully-optimized.</w:t>
      </w:r>
    </w:p>
    <w:p>
      <w:pPr>
        <w:pStyle w:val="Heading2"/>
      </w:pPr>
      <w:r>
        <w:rPr>
          <w:color w:val="2E5BA8"/>
          <w:sz w:val="24"/>
        </w:rPr>
        <w:t>Depth-proxy timing + analytical scaling to full depth</w:t>
      </w:r>
    </w:p>
    <w:p>
      <w:pPr>
        <w:spacing w:after="80"/>
      </w:pPr>
      <w:r>
        <w:rPr>
          <w:b w:val="0"/>
          <w:color w:val="555555"/>
          <w:sz w:val="21"/>
        </w:rPr>
        <w:t>Perf runs use DUMMY weights (no real load) AND a depth-reduced proxy: every DSv4 layer is the identical MoE+MLA+DSA archetype (first_k_dense_replace=0, moe_layer_freq=1), so end-to-end wall time is LINEAR in depth, t(L) = t_fixed + L·t_layer. This keeps every iteration cheap (4 layers, not 43) while still reporting a full-depth number.</w:t>
      </w:r>
    </w:p>
    <w:p>
      <w:pPr>
        <w:pStyle w:val="ListBullet"/>
        <w:spacing w:after="40"/>
      </w:pPr>
      <w:r>
        <w:t>Calibrate ONCE at baseline from two proxy depths (4 and 8 layers): t_layer = (t₈ − t₄)/4 and t_fixed = t₄ − 4·t_layer, where t_fixed is the non-layer cost (embed + lm_head + framework/sampling).</w:t>
      </w:r>
    </w:p>
    <w:p>
      <w:pPr>
        <w:pStyle w:val="ListBullet"/>
        <w:spacing w:after="40"/>
      </w:pPr>
      <w:r>
        <w:t>Each iteration records BOTH: (a) the MEASURED proxy-4 wall time, and (b) the full-depth wall time derived ANALYTICALLY — t_layer(iter) = (t_proxy4(iter) − t_fixed)/4, predicted full = t_fixed + 43·t_layer(iter). Report proxy and full-scaled speed-up curves side by side (they differ because the fixed overhead does not scale).</w:t>
      </w:r>
    </w:p>
    <w:p>
      <w:pPr>
        <w:pStyle w:val="ListBullet"/>
        <w:spacing w:after="40"/>
      </w:pPr>
      <w:r>
        <w:t>t_fixed is config-invariant across per-layer optimizations; recalibrate only if a NON-layer op (e.g. lm_head) is optimized.</w:t>
      </w:r>
    </w:p>
    <w:p>
      <w:pPr>
        <w:pStyle w:val="ListBullet"/>
        <w:spacing w:after="40"/>
      </w:pPr>
      <w:r>
        <w:t>END VALIDATION: after all ops are integrated, do ONE full-depth dummy run (43 layers) and compare the MEASURED full-depth wall time against the analytically predicted value — small error confirms the whole depth-scaled progression. Ledger: plugin/validate/results/wall_time_progress.json.</w:t>
      </w:r>
    </w:p>
    <w:p>
      <w:pPr>
        <w:pStyle w:val="Heading2"/>
      </w:pPr>
      <w:r>
        <w:rPr>
          <w:color w:val="2E5BA8"/>
          <w:sz w:val="24"/>
        </w:rPr>
        <w:t>Framework / dispatch / OpenMP overhead — the proxy studies these too (Phase B on the proxy)</w:t>
      </w:r>
    </w:p>
    <w:p>
      <w:pPr>
        <w:spacing w:after="80"/>
      </w:pPr>
      <w:r>
        <w:rPr>
          <w:b w:val="0"/>
          <w:color w:val="555555"/>
          <w:sz w:val="21"/>
        </w:rPr>
        <w:t>The depth proxy is the right instrument for system overhead, not just op math: the depth-independent t_fixed term IS the framework/dispatch/sampling cost, and per-op dispatch + OpenMP-barrier overhead lives in t_layer and is incurred every layer — both are fully present at depth 4. Global OMP pathologies are depth-invariant, so the proxy reproduces them at a fraction of the cost.</w:t>
      </w:r>
    </w:p>
    <w:p>
      <w:pPr>
        <w:pStyle w:val="ListNumber"/>
        <w:spacing w:after="40"/>
      </w:pPr>
      <w:r>
        <w:rPr>
          <w:b/>
          <w:color w:val="1F3764"/>
        </w:rPr>
        <w:t xml:space="preserve">Order — </w:t>
      </w:r>
      <w:r>
        <w:t>Finish ALL ops/fused-ops to their roofline ceiling and integrate them into the proxy (end of Phase A); record the fully-integrated proxy + full-scaled wall time.</w:t>
      </w:r>
    </w:p>
    <w:p>
      <w:pPr>
        <w:pStyle w:val="ListNumber"/>
        <w:spacing w:after="40"/>
      </w:pPr>
      <w:r>
        <w:t>THEN attack framework/dispatch/OMP overhead on that integrated proxy (this is Phase B). Bit-exact gate: an overhead fix must not change tokens.</w:t>
      </w:r>
    </w:p>
    <w:p>
      <w:pPr>
        <w:pStyle w:val="ListNumber"/>
        <w:spacing w:after="40"/>
      </w:pPr>
      <w:r>
        <w:t>Show the wall-time improvement from the overhead work (proxy + full-scaled), SURFACE it, and only THEN launch the single full-depth run.</w:t>
      </w:r>
    </w:p>
    <w:p>
      <w:pPr>
        <w:pStyle w:val="ListBullet"/>
        <w:spacing w:after="40"/>
      </w:pPr>
      <w:r>
        <w:t>Bind threads ONCE at init — never per-forward torch.set_num_threads (it rebuilds the OpenMP pool and LOSES CPU affinity → unpinned contention inflates the whole forward uniformly; invisible per-op).</w:t>
      </w:r>
    </w:p>
    <w:p>
      <w:pPr>
        <w:pStyle w:val="ListBullet"/>
        <w:spacing w:after="40"/>
      </w:pPr>
      <w:r>
        <w:t>Collapse many tiny torch ops into fewer/bigger parallel regions — at N threads each tiny op pays a barrier, so ~100 ops/layer is a ~10-20x dispatch tax; fuse into one parallel region.</w:t>
      </w:r>
    </w:p>
    <w:p>
      <w:pPr>
        <w:pStyle w:val="ListBullet"/>
        <w:spacing w:after="40"/>
      </w:pPr>
      <w:r>
        <w:t>Clear the usual systemic levers: OMP spin-wait (OMP_WAIT_POLICY), allocator (tcmalloc/jemalloc), NUMA first-touch into the rank's own domain, thread-cap, CPU-freq/cold-start; remove dtype-cast and dispatch churn on the hot path. A global-config pathology masquerades as uniform per-op cost — clear it before trusting any per-op ranking.</w:t>
      </w:r>
    </w:p>
    <w:p>
      <w:pPr>
        <w:pStyle w:val="Heading2"/>
      </w:pPr>
      <w:r>
        <w:rPr>
          <w:color w:val="2E5BA8"/>
          <w:sz w:val="24"/>
        </w:rPr>
        <w:t>MoE mode-collapse — the input tensor matters</w:t>
      </w:r>
    </w:p>
    <w:p>
      <w:pPr>
        <w:spacing w:after="80"/>
      </w:pPr>
      <w:r>
        <w:rPr>
          <w:b w:val="0"/>
          <w:color w:val="555555"/>
          <w:sz w:val="21"/>
        </w:rPr>
        <w:t>The dummy-weight run must exercise a REPRESENTATIVE set of routed experts. With tiny random gate weights, a non-diverse input (e.g. one hidden vector broadcast across the batch) collapses routing to the same top-k experts every token — only ~topk of the E=256 experts run, so the measured MoE wall time is unrepresentatively low and the roofline's expert traffic is never incurred.</w:t>
      </w:r>
    </w:p>
    <w:p>
      <w:pPr>
        <w:pStyle w:val="ListBullet"/>
        <w:spacing w:after="40"/>
      </w:pPr>
      <w:r>
        <w:t>Build the input with plugin/validate/moe_balanced_input.build_verified_input(M, gate_weight): per-token i.i.d. hidden states (NOT a broadcast), falling back to round-robin gate-row alignment.</w:t>
      </w:r>
    </w:p>
    <w:p>
      <w:pPr>
        <w:pStyle w:val="ListBullet"/>
        <w:spacing w:after="40"/>
      </w:pPr>
      <w:r>
        <w:t>VERIFY (not assume) dispersion: realized distinct-experts must track the uniform expectation E·(1−(1−1/E)^(topk·M)) and no expert may absorb an outsized share — a collapse gate asserts this before the timing is trusted. (Checked M=8→43, 16→81, 32→138, 64→209 distinct vs expected 43.8/80.2/135.3/199; the broadcast trap collapses to 6 and is rejected.)</w:t>
      </w:r>
    </w:p>
    <w:p>
      <w:pPr>
        <w:pStyle w:val="ListBullet"/>
        <w:spacing w:after="40"/>
      </w:pPr>
      <w:r>
        <w:t>Instrument the real router during the E2E run to confirm the same spread in-engine (per-forward distinct-expert count), so the proxy input is validated against the actual model path.</w:t>
      </w:r>
    </w:p>
    <w:p>
      <w:pPr>
        <w:pStyle w:val="Heading2"/>
      </w:pPr>
      <w:r>
        <w:rPr>
          <w:color w:val="2E5BA8"/>
          <w:sz w:val="24"/>
        </w:rPr>
        <w:t>Phase 6 — Validate, certify, deliver</w:t>
      </w:r>
    </w:p>
    <w:p>
      <w:pPr>
        <w:pStyle w:val="ListBullet"/>
        <w:spacing w:after="40"/>
      </w:pPr>
      <w:r>
        <w:t>Validate-by-run (Gate 2): confirm the predicted class/ceiling in-engine (dummy weights for perf, full depth, target ISA). Mismatch → the paper model omitted a cost; update it.</w:t>
      </w:r>
    </w:p>
    <w:p>
      <w:pPr>
        <w:pStyle w:val="ListBullet"/>
        <w:spacing w:after="40"/>
      </w:pPr>
      <w:r>
        <w:t>Accuracy oracle finale: real-weight per-token parity vs HF → task accuracy (gsm8k) → GPU-vs-CPU cross-check sign-off.</w:t>
      </w:r>
    </w:p>
    <w:p>
      <w:pPr>
        <w:pStyle w:val="ListBullet"/>
        <w:spacing w:after="40"/>
      </w:pPr>
      <w:r>
        <w:t>Enablement certificate (op→kernel→donor provenance + parity gates); peer-relative roofline (efficiency vs a shipped donor ≥ 0.90); ship as plugin override (no fork).</w:t>
      </w:r>
    </w:p>
    <w:p>
      <w:pPr>
        <w:pStyle w:val="Heading1"/>
      </w:pPr>
      <w:r>
        <w:rPr>
          <w:color w:val="1F3764"/>
          <w:sz w:val="30"/>
        </w:rPr>
        <w:t>Correctness debugging toolkit (localize cheaply before real-weight runs)</w:t>
      </w:r>
    </w:p>
    <w:p>
      <w:pPr>
        <w:pStyle w:val="ListBullet"/>
        <w:spacing w:after="40"/>
      </w:pPr>
      <w:r>
        <w:t>Deterministic-dummy weights: (a) skip the real checkpoint load for fast perf iteration; (b) make CPU dummy bit-identical to the GPU/torch dummy reference so a per-layer diff is valid without real weights.</w:t>
      </w:r>
    </w:p>
    <w:p>
      <w:pPr>
        <w:pStyle w:val="ListBullet"/>
        <w:spacing w:after="40"/>
      </w:pPr>
      <w:r>
        <w:t>Layer-by-layer cosine fingerprint: capture a per-layer reference, run CPU with the same dummy weights, diff per-layer hidden states by cosine similarity; the first layer below ~0.999 localizes the break.</w:t>
      </w:r>
    </w:p>
    <w:p>
      <w:pPr>
        <w:pStyle w:val="ListBullet"/>
        <w:spacing w:after="40"/>
      </w:pPr>
      <w:r>
        <w:t>Per-op fingerprint (shape + norm + cosine/checksum) to pinpoint the op within the bad layer.</w:t>
      </w:r>
    </w:p>
    <w:p>
      <w:pPr>
        <w:pStyle w:val="ListBullet"/>
        <w:spacing w:after="40"/>
      </w:pPr>
      <w:r>
        <w:t>Isolation switches to bisect novel ops (ignore DSA selection → dense, force-dense MoE, swap kernel ↔ torch reference).</w:t>
      </w:r>
    </w:p>
    <w:p>
      <w:pPr>
        <w:pStyle w:val="ListBullet"/>
        <w:spacing w:after="40"/>
      </w:pPr>
      <w:r>
        <w:t>Reduces-to-identity checks (sparse attend → exact dense at top-k=all) and low-bit dtype-bridge parity vs an independent torch dequant oracle.</w:t>
      </w:r>
    </w:p>
    <w:p>
      <w:pPr>
        <w:pStyle w:val="ListBullet"/>
        <w:spacing w:after="40"/>
      </w:pPr>
      <w:r>
        <w:t>Escalation order: L0 coherence → per-layer cosine (dummy, no load) → per-op fingerprint + isolation → component/reduces-to-identity parity → real-weight per-token parity → task accuracy → GPU-vs-CPU sign-off.</w:t>
      </w:r>
    </w:p>
    <w:p>
      <w:pPr>
        <w:pStyle w:val="Heading1"/>
      </w:pPr>
      <w:r>
        <w:rPr>
          <w:color w:val="1F3764"/>
          <w:sz w:val="30"/>
        </w:rPr>
        <w:t>Gates</w:t>
      </w:r>
    </w:p>
    <w:p>
      <w:pPr>
        <w:pStyle w:val="ListBullet"/>
        <w:spacing w:after="40"/>
      </w:pPr>
      <w:r>
        <w:t>G0 — capacity / precision (every launch)</w:t>
      </w:r>
    </w:p>
    <w:p>
      <w:pPr>
        <w:pStyle w:val="ListBullet"/>
        <w:spacing w:after="40"/>
      </w:pPr>
      <w:r>
        <w:t>G1 — coverage / lane (routes Thesis 1 vs 2 per op)</w:t>
      </w:r>
    </w:p>
    <w:p>
      <w:pPr>
        <w:pStyle w:val="ListBullet"/>
        <w:spacing w:after="40"/>
      </w:pPr>
      <w:r>
        <w:t>Fusion roofline gate (bytes saved + AI lift + L2-resident; GPU oracle where available)</w:t>
      </w:r>
    </w:p>
    <w:p>
      <w:pPr>
        <w:pStyle w:val="ListBullet"/>
        <w:spacing w:after="40"/>
      </w:pPr>
      <w:r>
        <w:t>Phase-A ceiling-or-surface (every op at its ceiling, else surface to user)</w:t>
      </w:r>
    </w:p>
    <w:p>
      <w:pPr>
        <w:pStyle w:val="ListBullet"/>
        <w:spacing w:after="40"/>
      </w:pPr>
      <w:r>
        <w:t>G2 — validate-by-run (confirm the paper model in-engine)</w:t>
      </w:r>
    </w:p>
    <w:p>
      <w:pPr>
        <w:pStyle w:val="ListBullet"/>
        <w:spacing w:after="40"/>
      </w:pPr>
      <w:r>
        <w:t>G2.5 — system-pathology (kernel-domination ≥ bar before per-op work)</w:t>
      </w:r>
    </w:p>
    <w:p>
      <w:pPr>
        <w:pStyle w:val="ListBullet"/>
        <w:spacing w:after="40"/>
      </w:pPr>
      <w:r>
        <w:t>Accuracy-oracle gate · Human-gate (novel kernels)</w:t>
      </w:r>
    </w:p>
    <w:p>
      <w:pPr>
        <w:pStyle w:val="Heading1"/>
      </w:pPr>
      <w:r>
        <w:rPr>
          <w:color w:val="1F3764"/>
          <w:sz w:val="30"/>
        </w:rPr>
        <w:t>Pilot platform — EMR (measured)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 (measured 2026-10-07, pcl-spr10)</w:t>
            </w:r>
          </w:p>
        </w:tc>
      </w:tr>
      <w:tr>
        <w:tc>
          <w:tcPr>
            <w:tcW w:type="dxa" w:w="4320"/>
          </w:tcPr>
          <w:p>
            <w:r>
              <w:t>CPU</w:t>
            </w:r>
          </w:p>
        </w:tc>
        <w:tc>
          <w:tcPr>
            <w:tcW w:type="dxa" w:w="4320"/>
          </w:tcPr>
          <w:p>
            <w:r>
              <w:t>Intel Xeon Platinum 8592+ (Emerald Rapids)</w:t>
            </w:r>
          </w:p>
        </w:tc>
      </w:tr>
      <w:tr>
        <w:tc>
          <w:tcPr>
            <w:tcW w:type="dxa" w:w="4320"/>
          </w:tcPr>
          <w:p>
            <w:r>
              <w:t>Topology</w:t>
            </w:r>
          </w:p>
        </w:tc>
        <w:tc>
          <w:tcPr>
            <w:tcW w:type="dxa" w:w="4320"/>
          </w:tcPr>
          <w:p>
            <w:r>
              <w:t>2 sockets × 64 cores; 1 NUMA domain per socket (SNC off)</w:t>
            </w:r>
          </w:p>
        </w:tc>
      </w:tr>
      <w:tr>
        <w:tc>
          <w:tcPr>
            <w:tcW w:type="dxa" w:w="4320"/>
          </w:tcPr>
          <w:p>
            <w:r>
              <w:t>Per-domain RAM</w:t>
            </w:r>
          </w:p>
        </w:tc>
        <w:tc>
          <w:tcPr>
            <w:tcW w:type="dxa" w:w="4320"/>
          </w:tcPr>
          <w:p>
            <w:r>
              <w:t>~503 GB (capacity floor)</w:t>
            </w:r>
          </w:p>
        </w:tc>
      </w:tr>
      <w:tr>
        <w:tc>
          <w:tcPr>
            <w:tcW w:type="dxa" w:w="4320"/>
          </w:tcPr>
          <w:p>
            <w:r>
              <w:t>Memory BW (roofline ceiling)</w:t>
            </w:r>
          </w:p>
        </w:tc>
        <w:tc>
          <w:tcPr>
            <w:tcW w:type="dxa" w:w="4320"/>
          </w:tcPr>
          <w:p>
            <w:r>
              <w:t>358.4 GB/s machine peak (8ch × DDR5-5600 × 8B); measured floor 214.4 GB/s = 60% of peak</w:t>
            </w:r>
          </w:p>
        </w:tc>
      </w:tr>
      <w:tr>
        <w:tc>
          <w:tcPr>
            <w:tcW w:type="dxa" w:w="4320"/>
          </w:tcPr>
          <w:p>
            <w:r>
              <w:t>AMX bf16 (roofline ceiling)</w:t>
            </w:r>
          </w:p>
        </w:tc>
        <w:tc>
          <w:tcPr>
            <w:tcW w:type="dxa" w:w="4320"/>
          </w:tcPr>
          <w:p>
            <w:r>
              <w:t>124.6 TFLOP/s machine peak (64c × 1024 FLOP/cyc × 1.9 GHz base); measured floor 40.3 TFLOP/s = 32% of peak</w:t>
            </w:r>
          </w:p>
        </w:tc>
      </w:tr>
      <w:tr>
        <w:tc>
          <w:tcPr>
            <w:tcW w:type="dxa" w:w="4320"/>
          </w:tcPr>
          <w:p>
            <w:r>
              <w:t>Ridge (AI*)</w:t>
            </w:r>
          </w:p>
        </w:tc>
        <w:tc>
          <w:tcPr>
            <w:tcW w:type="dxa" w:w="4320"/>
          </w:tcPr>
          <w:p>
            <w:r>
              <w:t>~348 FLOP/byte (machine peak)</w:t>
            </w:r>
          </w:p>
        </w:tc>
      </w:tr>
      <w:tr>
        <w:tc>
          <w:tcPr>
            <w:tcW w:type="dxa" w:w="4320"/>
          </w:tcPr>
          <w:p>
            <w:r>
              <w:t>Optimization basis</w:t>
            </w:r>
          </w:p>
        </w:tc>
        <w:tc>
          <w:tcPr>
            <w:tcW w:type="dxa" w:w="4320"/>
          </w:tcPr>
          <w:p>
            <w:r>
              <w:t>Optimize every op toward MACHINE PEAK; when levers are exhausted and it plateaus below peak, surface the residual gap and stop that op</w:t>
            </w:r>
          </w:p>
        </w:tc>
      </w:tr>
      <w:tr>
        <w:tc>
          <w:tcPr>
            <w:tcW w:type="dxa" w:w="4320"/>
          </w:tcPr>
          <w:p>
            <w:r>
              <w:t>Implication</w:t>
            </w:r>
          </w:p>
        </w:tc>
        <w:tc>
          <w:tcPr>
            <w:tcW w:type="dxa" w:w="4320"/>
          </w:tcPr>
          <w:p>
            <w:r>
              <w:t>Decode weight-streaming GEMMs are BW-bound across M∈{1,8,16,32,64}; only attention/sparse-attend are compute-bound</w:t>
            </w:r>
          </w:p>
        </w:tc>
      </w:tr>
    </w:tbl>
    <w:p>
      <w:pPr>
        <w:pStyle w:val="Heading1"/>
      </w:pPr>
      <w:r>
        <w:rPr>
          <w:color w:val="1F3764"/>
          <w:sz w:val="30"/>
        </w:rPr>
        <w:t>Note — divergence from the published tree</w:t>
      </w:r>
    </w:p>
    <w:p>
      <w:pPr>
        <w:spacing w:after="80"/>
      </w:pPr>
      <w:r>
        <w:rPr>
          <w:b w:val="0"/>
          <w:color w:val="555555"/>
          <w:sz w:val="21"/>
        </w:rPr>
        <w:t>The codified tree ROI-skips low-share ops (“dominant kernel at roofline”). This pilot requires all ops at their ceiling (Phase A) before wall-time/Amdahl ordering (Phase B). This is reported to the tree owner as a methodology item; the pilot does not edit the tree.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