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48"/>
          <w:szCs w:val="48"/>
        </w:rPr>
        <w:t xml:space="preserve">DRAM2 Metabolic Annotation</w:t>
      </w:r>
    </w:p>
    <w:p>
      <w:pPr>
        <w:spacing w:after="100"/>
        <w:jc w:val="center"/>
      </w:pPr>
      <w:r>
        <w:rPr>
          <w:rFonts w:ascii="Arial" w:cs="Arial" w:eastAsia="Arial" w:hAnsi="Arial"/>
          <w:b/>
          <w:bCs/>
          <w:color w:val="1A7A6E"/>
          <w:sz w:val="36"/>
          <w:szCs w:val="36"/>
        </w:rPr>
        <w:t xml:space="preserve">Understanding Your Results</w:t>
      </w:r>
    </w:p>
    <w:p>
      <w:pPr>
        <w:spacing w:after="100"/>
        <w:jc w:val="center"/>
      </w:pPr>
      <w:r>
        <w:rPr>
          <w:rFonts w:ascii="Arial" w:cs="Arial" w:eastAsia="Arial" w:hAnsi="Arial"/>
          <w:color w:val="666666"/>
          <w:sz w:val="24"/>
          <w:szCs w:val="24"/>
        </w:rPr>
        <w:t xml:space="preserve">Bharat Patel — POND MAG Analysis</w:t>
      </w:r>
    </w:p>
    <w:p>
      <w:pPr>
        <w:pBdr>
          <w:bottom w:val="single" w:color="1A7A6E" w:sz="6" w:space="1"/>
        </w:pBdr>
        <w:spacing w:after="300"/>
        <w:jc w:val="center"/>
      </w:pPr>
      <w:r>
        <w:rPr>
          <w:rFonts w:ascii="Arial" w:cs="Arial" w:eastAsia="Arial" w:hAnsi="Arial"/>
          <w:color w:val="666666"/>
          <w:sz w:val="22"/>
          <w:szCs w:val="22"/>
        </w:rPr>
        <w:t xml:space="preserve">March 2026</w:t>
      </w:r>
    </w:p>
    <w:p>
      <w:pPr>
        <w:pStyle w:val="Heading1"/>
      </w:pPr>
      <w:r>
        <w:rPr>
          <w:rFonts w:ascii="Arial" w:cs="Arial" w:eastAsia="Arial" w:hAnsi="Arial"/>
          <w:b/>
          <w:bCs/>
          <w:color w:val="2E75B6"/>
          <w:sz w:val="32"/>
          <w:szCs w:val="32"/>
        </w:rPr>
        <w:t xml:space="preserve">1. What is DRAM2?</w:t>
      </w:r>
    </w:p>
    <w:p>
      <w:pPr>
        <w:spacing w:after="120"/>
      </w:pPr>
      <w:r>
        <w:rPr>
          <w:rFonts w:ascii="Arial" w:cs="Arial" w:eastAsia="Arial" w:hAnsi="Arial"/>
          <w:sz w:val="22"/>
          <w:szCs w:val="22"/>
        </w:rPr>
        <w:t xml:space="preserve">DRAM2 (Distilled and Refined Annotation of Metabolism 2) is a Nextflow pipeline developed by the Wrighton Lab at Colorado State University. It takes assembled genomes or MAGs as input and searches them against multiple specialised metabolic databases to answer the question: what can this organism do metabolically?</w:t>
      </w:r>
    </w:p>
    <w:p>
      <w:pPr>
        <w:spacing w:after="120"/>
      </w:pPr>
      <w:r>
        <w:rPr>
          <w:rFonts w:ascii="Arial" w:cs="Arial" w:eastAsia="Arial" w:hAnsi="Arial"/>
          <w:sz w:val="22"/>
          <w:szCs w:val="22"/>
        </w:rPr>
        <w:t xml:space="preserve">Unlike general annotation tools (Prokka, Bakta) that focus on gene names and functions, DRAM2 is specifically designed to reconstruct metabolic pathways and ecological roles — carbon cycling, nitrogen cycling, sulfur cycling, hydrocarbon degradation, iron metabolism, and more.</w:t>
      </w:r>
    </w:p>
    <w:p>
      <w:pPr>
        <w:spacing w:after="120"/>
      </w:pPr>
    </w:p>
    <w:p>
      <w:pPr>
        <w:pStyle w:val="Heading1"/>
      </w:pPr>
      <w:r>
        <w:rPr>
          <w:rFonts w:ascii="Arial" w:cs="Arial" w:eastAsia="Arial" w:hAnsi="Arial"/>
          <w:b/>
          <w:bCs/>
          <w:color w:val="2E75B6"/>
          <w:sz w:val="32"/>
          <w:szCs w:val="32"/>
        </w:rPr>
        <w:t xml:space="preserve">2. What Was Run — bin.21 Test Case</w:t>
      </w:r>
    </w:p>
    <w:p>
      <w:pPr>
        <w:spacing w:after="120"/>
      </w:pPr>
      <w:r>
        <w:rPr>
          <w:rFonts w:ascii="Arial" w:cs="Arial" w:eastAsia="Arial" w:hAnsi="Arial"/>
          <w:sz w:val="22"/>
          <w:szCs w:val="22"/>
        </w:rPr>
        <w:t xml:space="preserve">The following analysis was performed on bin.21 from the POND metagenome (Great Artesian Basin sample):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bin.21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Taxonomy (MetaWRAP)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Gammaproteobacteria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80.27%</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Contamination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Assembly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3.07 Mb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GC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64.7%</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genes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tRNAs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5S rRNA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Binner origin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binsAB (MetaBAT2 + MaxBin2)</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 minutes 38 seconds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Processes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r>
    </w:tbl>
    <w:p>
      <w:pPr>
        <w:spacing w:after="120"/>
      </w:pPr>
    </w:p>
    <w:p>
      <w:pPr>
        <w:pStyle w:val="Heading1"/>
      </w:pPr>
      <w:r>
        <w:rPr>
          <w:rFonts w:ascii="Arial" w:cs="Arial" w:eastAsia="Arial" w:hAnsi="Arial"/>
          <w:b/>
          <w:bCs/>
          <w:color w:val="2E75B6"/>
          <w:sz w:val="32"/>
          <w:szCs w:val="32"/>
        </w:rPr>
        <w:t xml:space="preserve">3. Databases Searched</w:t>
      </w:r>
    </w:p>
    <w:p>
      <w:pPr>
        <w:spacing w:after="120"/>
      </w:pPr>
      <w:r>
        <w:rPr>
          <w:rFonts w:ascii="Arial" w:cs="Arial" w:eastAsia="Arial" w:hAnsi="Arial"/>
          <w:sz w:val="22"/>
          <w:szCs w:val="22"/>
        </w:rPr>
        <w:t xml:space="preserve">The following 11 databases were searched. KEGG (requires paid licence) and UniRef (causes 20+ hour run times) were excluded: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Biological Relevance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KOfam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KEGG Orthology (KO) numbers via HMM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metabolic pathways, KEGG modules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dbCAN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Carbohydrate-Active enZymes (CAZymes)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Carbon cycling, polysaccharide degradation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Carbon metabolism — specialised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Fermentation, acetogenesis, C1 metabolism</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CantHyd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Hydrocarbon degradation genes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Oil/gas degradation, aliphatic/aromatic compounds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 cycling genes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Sulfate reduction, thiosulfate oxidation, sulfur disproportionation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FeGenie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Iron cycling and transport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Iron reduction/oxidation, siderophore production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Metal resistance and cycling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Mercury, arsenic, chromate resistance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Methyl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Methylotrophy pathways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 compounds: methanol, methylamine, TMAO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MEROPS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Peptidases and proteases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degradation, nutrient acquisition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Viral/VOG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 protein homologs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Prophage detection, viral integration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Pfam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family domains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functional annotation</w:t>
            </w:r>
          </w:p>
        </w:tc>
      </w:tr>
    </w:tbl>
    <w:p>
      <w:pPr>
        <w:spacing w:after="120"/>
      </w:pPr>
    </w:p>
    <w:p>
      <w:pPr>
        <w:pStyle w:val="Heading1"/>
      </w:pPr>
      <w:r>
        <w:rPr>
          <w:rFonts w:ascii="Arial" w:cs="Arial" w:eastAsia="Arial" w:hAnsi="Arial"/>
          <w:b/>
          <w:bCs/>
          <w:color w:val="2E75B6"/>
          <w:sz w:val="32"/>
          <w:szCs w:val="32"/>
        </w:rPr>
        <w:t xml:space="preserve">4. Output Files Explained</w:t>
      </w:r>
    </w:p>
    <w:p>
      <w:pPr>
        <w:pStyle w:val="Heading2"/>
      </w:pPr>
      <w:r>
        <w:rPr>
          <w:rFonts w:ascii="Arial" w:cs="Arial" w:eastAsia="Arial" w:hAnsi="Arial"/>
          <w:b/>
          <w:bCs/>
          <w:color w:val="1A7A6E"/>
          <w:sz w:val="28"/>
          <w:szCs w:val="28"/>
        </w:rPr>
        <w:t xml:space="preserve">4.1 product.html — The Metabolic Heatmap</w:t>
      </w:r>
    </w:p>
    <w:p>
      <w:pPr>
        <w:spacing w:after="120"/>
      </w:pPr>
      <w:r>
        <w:rPr>
          <w:rFonts w:ascii="Arial" w:cs="Arial" w:eastAsia="Arial" w:hAnsi="Arial"/>
          <w:sz w:val="22"/>
          <w:szCs w:val="22"/>
        </w:rPr>
        <w:t xml:space="preserve">This is the primary visual output. Open it in any web browser. It shows a colour-coded heatmap where:</w:t>
      </w:r>
    </w:p>
    <w:p>
      <w:pPr>
        <w:pStyle w:val="ListParagraph"/>
        <w:numPr>
          <w:ilvl w:val="0"/>
          <w:numId w:val="2"/>
        </w:numPr>
        <w:spacing w:after="80"/>
      </w:pPr>
      <w:r>
        <w:rPr>
          <w:rFonts w:ascii="Arial" w:cs="Arial" w:eastAsia="Arial" w:hAnsi="Arial"/>
          <w:sz w:val="22"/>
          <w:szCs w:val="22"/>
        </w:rPr>
        <w:t xml:space="preserve">Teal/Green = the metabolic function IS present in the genome</w:t>
      </w:r>
    </w:p>
    <w:p>
      <w:pPr>
        <w:pStyle w:val="ListParagraph"/>
        <w:numPr>
          <w:ilvl w:val="0"/>
          <w:numId w:val="2"/>
        </w:numPr>
        <w:spacing w:after="80"/>
      </w:pPr>
      <w:r>
        <w:rPr>
          <w:rFonts w:ascii="Arial" w:cs="Arial" w:eastAsia="Arial" w:hAnsi="Arial"/>
          <w:sz w:val="22"/>
          <w:szCs w:val="22"/>
        </w:rPr>
        <w:t xml:space="preserve">Grey = the metabolic function is absent</w:t>
      </w:r>
    </w:p>
    <w:p>
      <w:pPr>
        <w:spacing w:after="120"/>
      </w:pPr>
    </w:p>
    <w:p>
      <w:pPr>
        <w:spacing w:after="120"/>
      </w:pPr>
      <w:r>
        <w:rPr>
          <w:rFonts w:ascii="Arial" w:cs="Arial" w:eastAsia="Arial" w:hAnsi="Arial"/>
          <w:sz w:val="22"/>
          <w:szCs w:val="22"/>
        </w:rPr>
        <w:t xml:space="preserve">Each column represents a specific metabolic pathway or function. Each row represents one genome. When you run all 32 POND MAGs together, you will have 32 rows — allowing direct visual comparison of metabolic diversity across your entire community.</w:t>
      </w:r>
    </w:p>
    <w:p>
      <w:pPr>
        <w:spacing w:after="120"/>
      </w:pPr>
    </w:p>
    <w:p>
      <w:pPr>
        <w:pStyle w:val="Heading3"/>
      </w:pPr>
      <w:r>
        <w:rPr>
          <w:rFonts w:ascii="Arial" w:cs="Arial" w:eastAsia="Arial" w:hAnsi="Arial"/>
          <w:b/>
          <w:bCs/>
          <w:color w:val="444444"/>
          <w:sz w:val="24"/>
          <w:szCs w:val="24"/>
        </w:rPr>
        <w:t xml:space="preserve">Column Categories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carbon metabolism: TCA cycle, glycolysis (Embden-Meyerhof), pentose phosphate pathway, glyoxylate cycle, pyruvate metabolism</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I, II, III, IV H, IV L, 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 transport chain complexes: NADH dehydrogenase, succinate dehydrogenase, cytochrome bc1, cytochrome oxidases (aa3, cbb3, bd types), ATPases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Photosynthesis systems I and II — expect absent in heterotrophs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Nitrogen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Nitrogen cycling: ammonia oxidation, nitrate/nitrite reduction, N2O reduction, nitrogen fixation (nifH)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 cycling: sulfate reduction (dsrAB), thiosulfate oxidation (SOX), sulfur disproportionation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Other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TMAO reductase, arsenate reduction, mercury reduction, selenate/chlorate reduction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C1 metabolism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Methane and C1 compound cycling: methanogenesis, methanol oxidation, methylamine metabolism, dimethylsulfide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CAZy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Carbohydrate-Active Enzymes: cellulose, chitin, starch, pectin, xylan, beta-glucan degradation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SCFA/alcohol conversions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Short-chain fatty acid and alcohol metabolism: butyrate, propionate, acetate, lactate production/conversion</w:t>
            </w:r>
          </w:p>
        </w:tc>
      </w:tr>
    </w:tbl>
    <w:p>
      <w:pPr>
        <w:spacing w:after="120"/>
      </w:pPr>
    </w:p>
    <w:p>
      <w:pPr>
        <w:pStyle w:val="Heading2"/>
      </w:pPr>
      <w:r>
        <w:rPr>
          <w:rFonts w:ascii="Arial" w:cs="Arial" w:eastAsia="Arial" w:hAnsi="Arial"/>
          <w:b/>
          <w:bCs/>
          <w:color w:val="1A7A6E"/>
          <w:sz w:val="28"/>
          <w:szCs w:val="28"/>
        </w:rPr>
        <w:t xml:space="preserve">4.2 metabolism_summary.xlsx</w:t>
      </w:r>
    </w:p>
    <w:p>
      <w:pPr>
        <w:spacing w:after="120"/>
      </w:pPr>
      <w:r>
        <w:rPr>
          <w:rFonts w:ascii="Arial" w:cs="Arial" w:eastAsia="Arial" w:hAnsi="Arial"/>
          <w:sz w:val="22"/>
          <w:szCs w:val="22"/>
        </w:rPr>
        <w:t xml:space="preserve">A detailed spreadsheet with one row per annotated gene. Key columns to examine: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gene identifier (e.g. bin21_00001)</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ko_id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KEGG Orthology number (e.g. K00001) — from KOfam search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kegg_hit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KEGG pathway annotation and description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dbcan_hit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CAZyme family assignment (e.g. GH13 = alpha-amylase)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camper_hit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CAMPER carbon metabolism annotation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Sulfur cycling gene annotation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fegenie_hit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Iron cycling gene annotation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canthyd_hit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Hydrocarbon degradation gene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merops_hit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Peptidase/protease family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Viral protein homolog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pfam_hit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Pfam domain annotation</w:t>
            </w:r>
          </w:p>
        </w:tc>
      </w:tr>
    </w:tbl>
    <w:p>
      <w:pPr>
        <w:spacing w:after="120"/>
      </w:pPr>
    </w:p>
    <w:p>
      <w:pPr>
        <w:pStyle w:val="Heading2"/>
      </w:pPr>
      <w:r>
        <w:rPr>
          <w:rFonts w:ascii="Arial" w:cs="Arial" w:eastAsia="Arial" w:hAnsi="Arial"/>
          <w:b/>
          <w:bCs/>
          <w:color w:val="1A7A6E"/>
          <w:sz w:val="28"/>
          <w:szCs w:val="28"/>
        </w:rPr>
        <w:t xml:space="preserve">4.3 traits.xlsx</w:t>
      </w:r>
    </w:p>
    <w:p>
      <w:pPr>
        <w:spacing w:after="120"/>
      </w:pPr>
      <w:r>
        <w:rPr>
          <w:rFonts w:ascii="Arial" w:cs="Arial" w:eastAsia="Arial" w:hAnsi="Arial"/>
          <w:sz w:val="22"/>
          <w:szCs w:val="22"/>
        </w:rPr>
        <w:t xml:space="preserve">A high-level summary table — one row per genome with boolean/scored metabolic traits. Useful for rapid comparison across many bins. Shows whether a genome is predicted to be aerobic/anaerobic, capable of sulfate reduction, methanogenesis, nitrogen fixation etc.</w:t>
      </w:r>
    </w:p>
    <w:p>
      <w:pPr>
        <w:spacing w:after="120"/>
      </w:pPr>
    </w:p>
    <w:p>
      <w:pPr>
        <w:pStyle w:val="Heading2"/>
      </w:pPr>
      <w:r>
        <w:rPr>
          <w:rFonts w:ascii="Arial" w:cs="Arial" w:eastAsia="Arial" w:hAnsi="Arial"/>
          <w:b/>
          <w:bCs/>
          <w:color w:val="1A7A6E"/>
          <w:sz w:val="28"/>
          <w:szCs w:val="28"/>
        </w:rPr>
        <w:t xml:space="preserve">4.4 genome_stats.tsv</w:t>
      </w:r>
    </w:p>
    <w:p>
      <w:pPr>
        <w:spacing w:after="120"/>
      </w:pPr>
      <w:r>
        <w:rPr>
          <w:rFonts w:ascii="Arial" w:cs="Arial" w:eastAsia="Arial" w:hAnsi="Arial"/>
          <w:sz w:val="22"/>
          <w:szCs w:val="22"/>
        </w:rPr>
        <w:t xml:space="preserve">Assembly quality statistics from QUAST, including N50, L50, largest contig, GC content and predicted gene count. Produced as part of the DRAM2 pipeline, complementing CheckM2 quality scores from CompareM2.</w:t>
      </w:r>
    </w:p>
    <w:p>
      <w:pPr>
        <w:spacing w:after="120"/>
      </w:pPr>
    </w:p>
    <w:p>
      <w:pPr>
        <w:pStyle w:val="Heading1"/>
      </w:pPr>
      <w:r>
        <w:rPr>
          <w:rFonts w:ascii="Arial" w:cs="Arial" w:eastAsia="Arial" w:hAnsi="Arial"/>
          <w:b/>
          <w:bCs/>
          <w:color w:val="2E75B6"/>
          <w:sz w:val="32"/>
          <w:szCs w:val="32"/>
        </w:rPr>
        <w:t xml:space="preserve">5. Interpreting bin.21 Results</w:t>
      </w:r>
    </w:p>
    <w:p>
      <w:pPr>
        <w:spacing w:after="120"/>
      </w:pPr>
      <w:r>
        <w:rPr>
          <w:rFonts w:ascii="Arial" w:cs="Arial" w:eastAsia="Arial" w:hAnsi="Arial"/>
          <w:sz w:val="22"/>
          <w:szCs w:val="22"/>
        </w:rPr>
        <w:t xml:space="preserve">Based on the product.html heatmap, bin.21 (Gammaproteobacteria, 64.7% GC, Great Artesian Basin) shows the following metabolic profile:</w:t>
      </w:r>
    </w:p>
    <w:p>
      <w:pPr>
        <w:spacing w:after="120"/>
      </w:pPr>
    </w:p>
    <w:p>
      <w:pPr>
        <w:pStyle w:val="Heading2"/>
      </w:pPr>
      <w:r>
        <w:rPr>
          <w:rFonts w:ascii="Arial" w:cs="Arial" w:eastAsia="Arial" w:hAnsi="Arial"/>
          <w:b/>
          <w:bCs/>
          <w:color w:val="1A7A6E"/>
          <w:sz w:val="28"/>
          <w:szCs w:val="28"/>
        </w:rPr>
        <w:t xml:space="preserve">5.1 Core Carbon Metabolism</w:t>
      </w:r>
    </w:p>
    <w:p>
      <w:pPr>
        <w:pStyle w:val="ListParagraph"/>
        <w:numPr>
          <w:ilvl w:val="0"/>
          <w:numId w:val="2"/>
        </w:numPr>
        <w:spacing w:after="80"/>
      </w:pPr>
      <w:r>
        <w:rPr>
          <w:rFonts w:ascii="Arial" w:cs="Arial" w:eastAsia="Arial" w:hAnsi="Arial"/>
          <w:sz w:val="22"/>
          <w:szCs w:val="22"/>
        </w:rPr>
        <w:t xml:space="preserve">TCA cycle (Krebs cycle) — PRESENT: complete aerobic carbon oxidation pathway</w:t>
      </w:r>
    </w:p>
    <w:p>
      <w:pPr>
        <w:pStyle w:val="ListParagraph"/>
        <w:numPr>
          <w:ilvl w:val="0"/>
          <w:numId w:val="2"/>
        </w:numPr>
        <w:spacing w:after="80"/>
      </w:pPr>
      <w:r>
        <w:rPr>
          <w:rFonts w:ascii="Arial" w:cs="Arial" w:eastAsia="Arial" w:hAnsi="Arial"/>
          <w:sz w:val="22"/>
          <w:szCs w:val="22"/>
        </w:rPr>
        <w:t xml:space="preserve">Embden-Meyerhof pathway (glycolysis) — PRESENT: standard glucose metabolism</w:t>
      </w:r>
    </w:p>
    <w:p>
      <w:pPr>
        <w:pStyle w:val="ListParagraph"/>
        <w:numPr>
          <w:ilvl w:val="0"/>
          <w:numId w:val="2"/>
        </w:numPr>
        <w:spacing w:after="80"/>
      </w:pPr>
      <w:r>
        <w:rPr>
          <w:rFonts w:ascii="Arial" w:cs="Arial" w:eastAsia="Arial" w:hAnsi="Arial"/>
          <w:sz w:val="22"/>
          <w:szCs w:val="22"/>
        </w:rPr>
        <w:t xml:space="preserve">Pentose phosphate pathway — PRESENT: nucleotide synthesis and NADPH production</w:t>
      </w:r>
    </w:p>
    <w:p>
      <w:pPr>
        <w:pStyle w:val="ListParagraph"/>
        <w:numPr>
          <w:ilvl w:val="0"/>
          <w:numId w:val="2"/>
        </w:numPr>
        <w:spacing w:after="80"/>
      </w:pPr>
      <w:r>
        <w:rPr>
          <w:rFonts w:ascii="Arial" w:cs="Arial" w:eastAsia="Arial" w:hAnsi="Arial"/>
          <w:sz w:val="22"/>
          <w:szCs w:val="22"/>
        </w:rPr>
        <w:t xml:space="preserve">Methanogenesis — ABSENT: not a methanogen (consistent with Gammaproteobacteria)</w:t>
      </w:r>
    </w:p>
    <w:p>
      <w:pPr>
        <w:pStyle w:val="ListParagraph"/>
        <w:numPr>
          <w:ilvl w:val="0"/>
          <w:numId w:val="2"/>
        </w:numPr>
        <w:spacing w:after="80"/>
      </w:pPr>
      <w:r>
        <w:rPr>
          <w:rFonts w:ascii="Arial" w:cs="Arial" w:eastAsia="Arial" w:hAnsi="Arial"/>
          <w:sz w:val="22"/>
          <w:szCs w:val="22"/>
        </w:rPr>
        <w:t xml:space="preserve">Photosynthesis — ABSENT: heterotrophic organism</w:t>
      </w:r>
    </w:p>
    <w:p>
      <w:pPr>
        <w:spacing w:after="120"/>
      </w:pPr>
    </w:p>
    <w:p>
      <w:pPr>
        <w:spacing w:after="120"/>
      </w:pPr>
      <w:r>
        <w:rPr>
          <w:rFonts w:ascii="Arial" w:cs="Arial" w:eastAsia="Arial" w:hAnsi="Arial"/>
          <w:sz w:val="22"/>
          <w:szCs w:val="22"/>
        </w:rPr>
        <w:t xml:space="preserve">Interpretation: bin.21 is a classical aerobic heterotroph — it breaks down organic carbon through standard pathways. This is consistent with the Gammaproteobacteria classification.</w:t>
      </w:r>
    </w:p>
    <w:p>
      <w:pPr>
        <w:spacing w:after="120"/>
      </w:pPr>
    </w:p>
    <w:p>
      <w:pPr>
        <w:pStyle w:val="Heading2"/>
      </w:pPr>
      <w:r>
        <w:rPr>
          <w:rFonts w:ascii="Arial" w:cs="Arial" w:eastAsia="Arial" w:hAnsi="Arial"/>
          <w:b/>
          <w:bCs/>
          <w:color w:val="1A7A6E"/>
          <w:sz w:val="28"/>
          <w:szCs w:val="28"/>
        </w:rPr>
        <w:t xml:space="preserve">5.2 Respiratory Complexes</w:t>
      </w:r>
    </w:p>
    <w:p>
      <w:pPr>
        <w:pStyle w:val="ListParagraph"/>
        <w:numPr>
          <w:ilvl w:val="0"/>
          <w:numId w:val="2"/>
        </w:numPr>
        <w:spacing w:after="80"/>
      </w:pPr>
      <w:r>
        <w:rPr>
          <w:rFonts w:ascii="Arial" w:cs="Arial" w:eastAsia="Arial" w:hAnsi="Arial"/>
          <w:sz w:val="22"/>
          <w:szCs w:val="22"/>
        </w:rPr>
        <w:t xml:space="preserve">Multiple cytochrome oxidase types present — indicating versatile aerobic respiration</w:t>
      </w:r>
    </w:p>
    <w:p>
      <w:pPr>
        <w:pStyle w:val="ListParagraph"/>
        <w:numPr>
          <w:ilvl w:val="0"/>
          <w:numId w:val="2"/>
        </w:numPr>
        <w:spacing w:after="80"/>
      </w:pPr>
      <w:r>
        <w:rPr>
          <w:rFonts w:ascii="Arial" w:cs="Arial" w:eastAsia="Arial" w:hAnsi="Arial"/>
          <w:sz w:val="22"/>
          <w:szCs w:val="22"/>
        </w:rPr>
        <w:t xml:space="preserve">F-type and V/A-type ATPases present — proton gradient-based ATP synthesis</w:t>
      </w:r>
    </w:p>
    <w:p>
      <w:pPr>
        <w:pStyle w:val="ListParagraph"/>
        <w:numPr>
          <w:ilvl w:val="0"/>
          <w:numId w:val="2"/>
        </w:numPr>
        <w:spacing w:after="80"/>
      </w:pPr>
      <w:r>
        <w:rPr>
          <w:rFonts w:ascii="Arial" w:cs="Arial" w:eastAsia="Arial" w:hAnsi="Arial"/>
          <w:sz w:val="22"/>
          <w:szCs w:val="22"/>
        </w:rPr>
        <w:t xml:space="preserve">NADH dehydrogenase (Complex I) present — complete electron transport chain</w:t>
      </w:r>
    </w:p>
    <w:p>
      <w:pPr>
        <w:spacing w:after="120"/>
      </w:pPr>
    </w:p>
    <w:p>
      <w:pPr>
        <w:spacing w:after="120"/>
      </w:pPr>
      <w:r>
        <w:rPr>
          <w:rFonts w:ascii="Arial" w:cs="Arial" w:eastAsia="Arial" w:hAnsi="Arial"/>
          <w:sz w:val="22"/>
          <w:szCs w:val="22"/>
        </w:rPr>
        <w:t xml:space="preserve">Interpretation: bin.21 has a fully functional aerobic respiratory chain. The presence of multiple cytochrome oxidase types (aa3, cbb3, bd) suggests the organism can function across different oxygen concentrations — from oxic to microoxic conditions. This is relevant for a geothermal spring environment where oxygen gradients may exist.</w:t>
      </w:r>
    </w:p>
    <w:p>
      <w:pPr>
        <w:spacing w:after="120"/>
      </w:pPr>
    </w:p>
    <w:p>
      <w:pPr>
        <w:pStyle w:val="Heading2"/>
      </w:pPr>
      <w:r>
        <w:rPr>
          <w:rFonts w:ascii="Arial" w:cs="Arial" w:eastAsia="Arial" w:hAnsi="Arial"/>
          <w:b/>
          <w:bCs/>
          <w:color w:val="1A7A6E"/>
          <w:sz w:val="28"/>
          <w:szCs w:val="28"/>
        </w:rPr>
        <w:t xml:space="preserve">5.3 Sulfur Metabolism</w:t>
      </w:r>
    </w:p>
    <w:p>
      <w:pPr>
        <w:pStyle w:val="ListParagraph"/>
        <w:numPr>
          <w:ilvl w:val="0"/>
          <w:numId w:val="2"/>
        </w:numPr>
        <w:spacing w:after="80"/>
      </w:pPr>
      <w:r>
        <w:rPr>
          <w:rFonts w:ascii="Arial" w:cs="Arial" w:eastAsia="Arial" w:hAnsi="Arial"/>
          <w:sz w:val="22"/>
          <w:szCs w:val="22"/>
        </w:rPr>
        <w:t xml:space="preserve">Sulfate reduction pathway — partially present</w:t>
      </w:r>
    </w:p>
    <w:p>
      <w:pPr>
        <w:pStyle w:val="ListParagraph"/>
        <w:numPr>
          <w:ilvl w:val="0"/>
          <w:numId w:val="2"/>
        </w:numPr>
        <w:spacing w:after="80"/>
      </w:pPr>
      <w:r>
        <w:rPr>
          <w:rFonts w:ascii="Arial" w:cs="Arial" w:eastAsia="Arial" w:hAnsi="Arial"/>
          <w:sz w:val="22"/>
          <w:szCs w:val="22"/>
        </w:rPr>
        <w:t xml:space="preserve">Thiosulfate oxidation — present</w:t>
      </w:r>
    </w:p>
    <w:p>
      <w:pPr>
        <w:pStyle w:val="ListParagraph"/>
        <w:numPr>
          <w:ilvl w:val="0"/>
          <w:numId w:val="2"/>
        </w:numPr>
        <w:spacing w:after="80"/>
      </w:pPr>
      <w:r>
        <w:rPr>
          <w:rFonts w:ascii="Arial" w:cs="Arial" w:eastAsia="Arial" w:hAnsi="Arial"/>
          <w:sz w:val="22"/>
          <w:szCs w:val="22"/>
        </w:rPr>
        <w:t xml:space="preserve">TMAO reductase — present</w:t>
      </w:r>
    </w:p>
    <w:p>
      <w:pPr>
        <w:spacing w:after="120"/>
      </w:pPr>
    </w:p>
    <w:p>
      <w:pPr>
        <w:spacing w:after="120"/>
      </w:pPr>
      <w:r>
        <w:rPr>
          <w:rFonts w:ascii="Arial" w:cs="Arial" w:eastAsia="Arial" w:hAnsi="Arial"/>
          <w:sz w:val="22"/>
          <w:szCs w:val="22"/>
        </w:rPr>
        <w:t xml:space="preserve">Interpretation: The sulfur metabolism genes are particularly interesting for a Great Artesian Basin organism. Thiosulfate oxidation suggests the organism may be capable of chemolithotrophy — gaining energy from oxidising reduced sulfur compounds, which are abundant in geothermal environments. This warrants further investigation with dsrAB gene phylogeny.</w:t>
      </w:r>
    </w:p>
    <w:p>
      <w:pPr>
        <w:spacing w:after="120"/>
      </w:pPr>
    </w:p>
    <w:p>
      <w:pPr>
        <w:pStyle w:val="Heading2"/>
      </w:pPr>
      <w:r>
        <w:rPr>
          <w:rFonts w:ascii="Arial" w:cs="Arial" w:eastAsia="Arial" w:hAnsi="Arial"/>
          <w:b/>
          <w:bCs/>
          <w:color w:val="1A7A6E"/>
          <w:sz w:val="28"/>
          <w:szCs w:val="28"/>
        </w:rPr>
        <w:t xml:space="preserve">5.4 C1 Metabolism</w:t>
      </w:r>
    </w:p>
    <w:p>
      <w:pPr>
        <w:pStyle w:val="ListParagraph"/>
        <w:numPr>
          <w:ilvl w:val="0"/>
          <w:numId w:val="2"/>
        </w:numPr>
        <w:spacing w:after="80"/>
      </w:pPr>
      <w:r>
        <w:rPr>
          <w:rFonts w:ascii="Arial" w:cs="Arial" w:eastAsia="Arial" w:hAnsi="Arial"/>
          <w:sz w:val="22"/>
          <w:szCs w:val="22"/>
        </w:rPr>
        <w:t xml:space="preserve">Acetate and methylamine cycling — partially present</w:t>
      </w:r>
    </w:p>
    <w:p>
      <w:pPr>
        <w:pStyle w:val="ListParagraph"/>
        <w:numPr>
          <w:ilvl w:val="0"/>
          <w:numId w:val="2"/>
        </w:numPr>
        <w:spacing w:after="80"/>
      </w:pPr>
      <w:r>
        <w:rPr>
          <w:rFonts w:ascii="Arial" w:cs="Arial" w:eastAsia="Arial" w:hAnsi="Arial"/>
          <w:sz w:val="22"/>
          <w:szCs w:val="22"/>
        </w:rPr>
        <w:t xml:space="preserve">TMAO to trimethylamine conversion — present</w:t>
      </w:r>
    </w:p>
    <w:p>
      <w:pPr>
        <w:pStyle w:val="ListParagraph"/>
        <w:numPr>
          <w:ilvl w:val="0"/>
          <w:numId w:val="2"/>
        </w:numPr>
        <w:spacing w:after="80"/>
      </w:pPr>
      <w:r>
        <w:rPr>
          <w:rFonts w:ascii="Arial" w:cs="Arial" w:eastAsia="Arial" w:hAnsi="Arial"/>
          <w:sz w:val="22"/>
          <w:szCs w:val="22"/>
        </w:rPr>
        <w:t xml:space="preserve">Methanogenesis — absent</w:t>
      </w:r>
    </w:p>
    <w:p>
      <w:pPr>
        <w:spacing w:after="120"/>
      </w:pPr>
    </w:p>
    <w:p>
      <w:pPr>
        <w:spacing w:after="120"/>
      </w:pPr>
      <w:r>
        <w:rPr>
          <w:rFonts w:ascii="Arial" w:cs="Arial" w:eastAsia="Arial" w:hAnsi="Arial"/>
          <w:sz w:val="22"/>
          <w:szCs w:val="22"/>
        </w:rPr>
        <w:t xml:space="preserve">Interpretation: Some C1 compound cycling capability. TMAO reductase is common in marine and aquatic Gammaproteobacteria and may reflect the aquatic environment of origin.</w:t>
      </w:r>
    </w:p>
    <w:p>
      <w:pPr>
        <w:spacing w:after="120"/>
      </w:pPr>
    </w:p>
    <w:p>
      <w:pPr>
        <w:pStyle w:val="Heading2"/>
      </w:pPr>
      <w:r>
        <w:rPr>
          <w:rFonts w:ascii="Arial" w:cs="Arial" w:eastAsia="Arial" w:hAnsi="Arial"/>
          <w:b/>
          <w:bCs/>
          <w:color w:val="1A7A6E"/>
          <w:sz w:val="28"/>
          <w:szCs w:val="28"/>
        </w:rPr>
        <w:t xml:space="preserve">5.5 CAZymes</w:t>
      </w:r>
    </w:p>
    <w:p>
      <w:pPr>
        <w:pStyle w:val="ListParagraph"/>
        <w:numPr>
          <w:ilvl w:val="0"/>
          <w:numId w:val="2"/>
        </w:numPr>
        <w:spacing w:after="80"/>
      </w:pPr>
      <w:r>
        <w:rPr>
          <w:rFonts w:ascii="Arial" w:cs="Arial" w:eastAsia="Arial" w:hAnsi="Arial"/>
          <w:sz w:val="22"/>
          <w:szCs w:val="22"/>
        </w:rPr>
        <w:t xml:space="preserve">Several CAZyme families present — including alpha-glucan and beta-glucan related enzymes</w:t>
      </w:r>
    </w:p>
    <w:p>
      <w:pPr>
        <w:pStyle w:val="ListParagraph"/>
        <w:numPr>
          <w:ilvl w:val="0"/>
          <w:numId w:val="2"/>
        </w:numPr>
        <w:spacing w:after="80"/>
      </w:pPr>
      <w:r>
        <w:rPr>
          <w:rFonts w:ascii="Arial" w:cs="Arial" w:eastAsia="Arial" w:hAnsi="Arial"/>
          <w:sz w:val="22"/>
          <w:szCs w:val="22"/>
        </w:rPr>
        <w:t xml:space="preserve">Chitin degradation — partial</w:t>
      </w:r>
    </w:p>
    <w:p>
      <w:pPr>
        <w:pStyle w:val="ListParagraph"/>
        <w:numPr>
          <w:ilvl w:val="0"/>
          <w:numId w:val="2"/>
        </w:numPr>
        <w:spacing w:after="80"/>
      </w:pPr>
      <w:r>
        <w:rPr>
          <w:rFonts w:ascii="Arial" w:cs="Arial" w:eastAsia="Arial" w:hAnsi="Arial"/>
          <w:sz w:val="22"/>
          <w:szCs w:val="22"/>
        </w:rPr>
        <w:t xml:space="preserve">Starch degradation — present</w:t>
      </w:r>
    </w:p>
    <w:p>
      <w:pPr>
        <w:spacing w:after="120"/>
      </w:pPr>
    </w:p>
    <w:p>
      <w:pPr>
        <w:spacing w:after="120"/>
      </w:pPr>
      <w:r>
        <w:rPr>
          <w:rFonts w:ascii="Arial" w:cs="Arial" w:eastAsia="Arial" w:hAnsi="Arial"/>
          <w:sz w:val="22"/>
          <w:szCs w:val="22"/>
        </w:rPr>
        <w:t xml:space="preserve">Interpretation: bin.21 has moderate carbohydrate degradation capability. The presence of starch-degrading enzymes in a geothermal spring organism may reflect adaptation to plant-derived organic matter entering the spring system.</w:t>
      </w:r>
    </w:p>
    <w:p>
      <w:pPr>
        <w:spacing w:after="120"/>
      </w:pPr>
    </w:p>
    <w:p>
      <w:pPr>
        <w:pStyle w:val="Heading1"/>
      </w:pPr>
      <w:r>
        <w:rPr>
          <w:rFonts w:ascii="Arial" w:cs="Arial" w:eastAsia="Arial" w:hAnsi="Arial"/>
          <w:b/>
          <w:bCs/>
          <w:color w:val="2E75B6"/>
          <w:sz w:val="32"/>
          <w:szCs w:val="32"/>
        </w:rPr>
        <w:t xml:space="preserve">6. What the Results Mean for the POND Community</w:t>
      </w:r>
    </w:p>
    <w:p>
      <w:pPr>
        <w:spacing w:after="120"/>
      </w:pPr>
      <w:r>
        <w:rPr>
          <w:rFonts w:ascii="Arial" w:cs="Arial" w:eastAsia="Arial" w:hAnsi="Arial"/>
          <w:sz w:val="22"/>
          <w:szCs w:val="22"/>
        </w:rPr>
        <w:t xml:space="preserve">Running DRAM2 on a single bin (bin.21) is a proof-of-concept. The real power comes when all 32 POND MAGs are run together. The combined product.html will show:</w:t>
      </w:r>
    </w:p>
    <w:p>
      <w:pPr>
        <w:spacing w:after="120"/>
      </w:pPr>
    </w:p>
    <w:p>
      <w:pPr>
        <w:pStyle w:val="ListParagraph"/>
        <w:numPr>
          <w:ilvl w:val="0"/>
          <w:numId w:val="2"/>
        </w:numPr>
        <w:spacing w:after="80"/>
      </w:pPr>
      <w:r>
        <w:rPr>
          <w:rFonts w:ascii="Arial" w:cs="Arial" w:eastAsia="Arial" w:hAnsi="Arial"/>
          <w:sz w:val="22"/>
          <w:szCs w:val="22"/>
        </w:rPr>
        <w:t xml:space="preserve">Which bins are capable of sulfate reduction — suggesting anaerobic microsites within the pond</w:t>
      </w:r>
    </w:p>
    <w:p>
      <w:pPr>
        <w:pStyle w:val="ListParagraph"/>
        <w:numPr>
          <w:ilvl w:val="0"/>
          <w:numId w:val="2"/>
        </w:numPr>
        <w:spacing w:after="80"/>
      </w:pPr>
      <w:r>
        <w:rPr>
          <w:rFonts w:ascii="Arial" w:cs="Arial" w:eastAsia="Arial" w:hAnsi="Arial"/>
          <w:sz w:val="22"/>
          <w:szCs w:val="22"/>
        </w:rPr>
        <w:t xml:space="preserve">Which bins are involved in nitrogen cycling — important for understanding nutrient dynamics</w:t>
      </w:r>
    </w:p>
    <w:p>
      <w:pPr>
        <w:pStyle w:val="ListParagraph"/>
        <w:numPr>
          <w:ilvl w:val="0"/>
          <w:numId w:val="2"/>
        </w:numPr>
        <w:spacing w:after="80"/>
      </w:pPr>
      <w:r>
        <w:rPr>
          <w:rFonts w:ascii="Arial" w:cs="Arial" w:eastAsia="Arial" w:hAnsi="Arial"/>
          <w:sz w:val="22"/>
          <w:szCs w:val="22"/>
        </w:rPr>
        <w:t xml:space="preserve">Which bins have the most extensive CAZyme repertoires — primary decomposers in the community</w:t>
      </w:r>
    </w:p>
    <w:p>
      <w:pPr>
        <w:pStyle w:val="ListParagraph"/>
        <w:numPr>
          <w:ilvl w:val="0"/>
          <w:numId w:val="2"/>
        </w:numPr>
        <w:spacing w:after="80"/>
      </w:pPr>
      <w:r>
        <w:rPr>
          <w:rFonts w:ascii="Arial" w:cs="Arial" w:eastAsia="Arial" w:hAnsi="Arial"/>
          <w:sz w:val="22"/>
          <w:szCs w:val="22"/>
        </w:rPr>
        <w:t xml:space="preserve">Whether any bins show methanogenic potential — relevant to greenhouse gas production</w:t>
      </w:r>
    </w:p>
    <w:p>
      <w:pPr>
        <w:pStyle w:val="ListParagraph"/>
        <w:numPr>
          <w:ilvl w:val="0"/>
          <w:numId w:val="2"/>
        </w:numPr>
        <w:spacing w:after="80"/>
      </w:pPr>
      <w:r>
        <w:rPr>
          <w:rFonts w:ascii="Arial" w:cs="Arial" w:eastAsia="Arial" w:hAnsi="Arial"/>
          <w:sz w:val="22"/>
          <w:szCs w:val="22"/>
        </w:rPr>
        <w:t xml:space="preserve">Which bins have hydrocarbon degradation genes (CantHyd) — relevant to Great Artesian Basin geochemistry</w:t>
      </w:r>
    </w:p>
    <w:p>
      <w:pPr>
        <w:pStyle w:val="ListParagraph"/>
        <w:numPr>
          <w:ilvl w:val="0"/>
          <w:numId w:val="2"/>
        </w:numPr>
        <w:spacing w:after="80"/>
      </w:pPr>
      <w:r>
        <w:rPr>
          <w:rFonts w:ascii="Arial" w:cs="Arial" w:eastAsia="Arial" w:hAnsi="Arial"/>
          <w:sz w:val="22"/>
          <w:szCs w:val="22"/>
        </w:rPr>
        <w:t xml:space="preserve">Community-level metabolic complementarity — which organisms fill different ecological niches</w:t>
      </w:r>
    </w:p>
    <w:p>
      <w:pPr>
        <w:spacing w:after="120"/>
      </w:pPr>
    </w:p>
    <w:p>
      <w:pPr>
        <w:spacing w:after="120"/>
      </w:pPr>
      <w:r>
        <w:rPr>
          <w:rFonts w:ascii="Arial" w:cs="Arial" w:eastAsia="Arial" w:hAnsi="Arial"/>
          <w:sz w:val="22"/>
          <w:szCs w:val="22"/>
        </w:rPr>
        <w:t xml:space="preserve">This metabolic map, cross-referenced with GTDB taxonomy from CompareM2, will give a comprehensive picture of who is present (taxonomy) and what they are doing (function) in your POND microbial community — which is the fundamental goal of metagenomics.</w:t>
      </w:r>
    </w:p>
    <w:p>
      <w:pPr>
        <w:spacing w:after="120"/>
      </w:pPr>
    </w:p>
    <w:p>
      <w:pPr>
        <w:pStyle w:val="Heading1"/>
      </w:pPr>
      <w:r>
        <w:rPr>
          <w:rFonts w:ascii="Arial" w:cs="Arial" w:eastAsia="Arial" w:hAnsi="Arial"/>
          <w:b/>
          <w:bCs/>
          <w:color w:val="2E75B6"/>
          <w:sz w:val="32"/>
          <w:szCs w:val="32"/>
        </w:rPr>
        <w:t xml:space="preserve">7. Integration with CompareM2</w:t>
      </w:r>
    </w:p>
    <w:p>
      <w:pPr>
        <w:spacing w:after="120"/>
      </w:pPr>
      <w:r>
        <w:rPr>
          <w:rFonts w:ascii="Arial" w:cs="Arial" w:eastAsia="Arial" w:hAnsi="Arial"/>
          <w:sz w:val="22"/>
          <w:szCs w:val="22"/>
        </w:rPr>
        <w:t xml:space="preserve">DRAM2 and CompareM2 are designed to be used together. They are complementary, not redundant: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Answers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CompareM2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report.html — interactive genomic overview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are they? How complete are the genomes? How are they related phylogenetically?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DRAM2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product.html — metabolic heatmap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can they do? What metabolic pathways are present? What is their ecological role?</w:t>
            </w:r>
          </w:p>
        </w:tc>
      </w:tr>
    </w:tbl>
    <w:p>
      <w:pPr>
        <w:spacing w:after="120"/>
      </w:pPr>
    </w:p>
    <w:p>
      <w:pPr>
        <w:spacing w:after="120"/>
      </w:pPr>
      <w:r>
        <w:rPr>
          <w:rFonts w:ascii="Arial" w:cs="Arial" w:eastAsia="Arial" w:hAnsi="Arial"/>
          <w:sz w:val="22"/>
          <w:szCs w:val="22"/>
        </w:rPr>
        <w:t xml:space="preserve">The bin name (e.g. bin.21) is the common key linking both outputs. In a manuscript, you would report:</w:t>
      </w:r>
    </w:p>
    <w:p>
      <w:pPr>
        <w:pStyle w:val="ListParagraph"/>
        <w:numPr>
          <w:ilvl w:val="0"/>
          <w:numId w:val="2"/>
        </w:numPr>
        <w:spacing w:after="80"/>
      </w:pPr>
      <w:r>
        <w:rPr>
          <w:rFonts w:ascii="Arial" w:cs="Arial" w:eastAsia="Arial" w:hAnsi="Arial"/>
          <w:sz w:val="22"/>
          <w:szCs w:val="22"/>
        </w:rPr>
        <w:t xml:space="preserve">Taxonomy and genome quality from CompareM2 (CheckM2 + GTDB-Tk)</w:t>
      </w:r>
    </w:p>
    <w:p>
      <w:pPr>
        <w:pStyle w:val="ListParagraph"/>
        <w:numPr>
          <w:ilvl w:val="0"/>
          <w:numId w:val="2"/>
        </w:numPr>
        <w:spacing w:after="80"/>
      </w:pPr>
      <w:r>
        <w:rPr>
          <w:rFonts w:ascii="Arial" w:cs="Arial" w:eastAsia="Arial" w:hAnsi="Arial"/>
          <w:sz w:val="22"/>
          <w:szCs w:val="22"/>
        </w:rPr>
        <w:t xml:space="preserve">Metabolic capabilities from DRAM2 (product.html + traits.xlsx)</w:t>
      </w:r>
    </w:p>
    <w:p>
      <w:pPr>
        <w:pStyle w:val="ListParagraph"/>
        <w:numPr>
          <w:ilvl w:val="0"/>
          <w:numId w:val="2"/>
        </w:numPr>
        <w:spacing w:after="80"/>
      </w:pPr>
      <w:r>
        <w:rPr>
          <w:rFonts w:ascii="Arial" w:cs="Arial" w:eastAsia="Arial" w:hAnsi="Arial"/>
          <w:sz w:val="22"/>
          <w:szCs w:val="22"/>
        </w:rPr>
        <w:t xml:space="preserve">Cross-reference by bin name to build a complete picture per organism</w:t>
      </w:r>
    </w:p>
    <w:p>
      <w:pPr>
        <w:spacing w:after="120"/>
      </w:pPr>
    </w:p>
    <w:p>
      <w:pPr>
        <w:pStyle w:val="Heading1"/>
      </w:pPr>
      <w:r>
        <w:rPr>
          <w:rFonts w:ascii="Arial" w:cs="Arial" w:eastAsia="Arial" w:hAnsi="Arial"/>
          <w:b/>
          <w:bCs/>
          <w:color w:val="2E75B6"/>
          <w:sz w:val="32"/>
          <w:szCs w:val="32"/>
        </w:rPr>
        <w:t xml:space="preserve">8.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all 32 POND MAGs through DRAM2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DRAM2 (this guide)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all 32 POND MAGs through CompareM2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CompareM2 guide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Cross-reference product.html with CompareM2 report.html by bin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 custom script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key metabolic findings (e.g. sulfur genes in bin.21) with phylogenetic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GToTree / IQ-TREE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 combined taxonomy + function community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Manuscript</w:t>
            </w:r>
          </w:p>
        </w:tc>
      </w:tr>
    </w:tbl>
    <w:p>
      <w:pPr>
        <w:spacing w:after="120"/>
      </w:pPr>
    </w:p>
    <w:p>
      <w:pPr>
        <w:pBdr>
          <w:top w:val="single" w:color="1A7A6E" w:sz="6" w:space="1"/>
        </w:pBdr>
        <w:spacing w:before="400" w:after="100"/>
        <w:jc w:val="center"/>
      </w:pPr>
      <w:r>
        <w:rPr>
          <w:rFonts w:ascii="Arial" w:cs="Arial" w:eastAsia="Arial" w:hAnsi="Arial"/>
          <w:color w:val="888888"/>
          <w:sz w:val="18"/>
          <w:szCs w:val="18"/>
        </w:rPr>
        <w:t xml:space="preserve">taxonomy_bundle — </w:t>
      </w:r>
      <w:r>
        <w:rPr>
          <w:rFonts w:ascii="Arial" w:cs="Arial" w:eastAsia="Arial" w:hAnsi="Arial"/>
          <w:color w:val="2E75B6"/>
          <w:sz w:val="18"/>
          <w:szCs w:val="18"/>
        </w:rPr>
        <w:t xml:space="preserve">https://github.com/bharat1912/taxonomy_bundle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A7A6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2026-03-05T12:40:37.686Z</dcterms:created>
  <dcterms:modified xsi:type="dcterms:W3CDTF">2026-03-05T12:40:37.687Z</dcterms:modified>
</cp:coreProperties>
</file>

<file path=docProps/custom.xml><?xml version="1.0" encoding="utf-8"?>
<Properties xmlns="http://schemas.openxmlformats.org/officeDocument/2006/custom-properties" xmlns:vt="http://schemas.openxmlformats.org/officeDocument/2006/docPropsVTypes"/>
</file>