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360"/>
            <w:shd w:val="clear" w:color="auto" w:fill="024F4F"/>
          </w:tcPr>
          <w:p>
            <w:pPr>
              <w:jc w:val="center"/>
            </w:pPr>
            <w:r>
              <w:rPr>
                <w:b/>
                <w:color w:val="FFFFFF"/>
                <w:sz w:val="18"/>
              </w:rPr>
              <w:t>IT SERVICE MANAGEMENT — COMMERCIAL BANKING</w:t>
            </w:r>
          </w:p>
          <w:p>
            <w:pPr>
              <w:jc w:val="center"/>
            </w:pPr>
            <w:r>
              <w:rPr>
                <w:b/>
                <w:color w:val="FFFFFF"/>
                <w:sz w:val="32"/>
              </w:rPr>
              <w:t>Loan Department IT Systems Register</w:t>
            </w:r>
          </w:p>
          <w:p>
            <w:pPr>
              <w:jc w:val="center"/>
            </w:pPr>
            <w:r>
              <w:rPr>
                <w:color w:val="A7D4D4"/>
                <w:sz w:val="16"/>
              </w:rPr>
              <w:t>IT-SR-2024-LO-Q1   |   Q1 2024 Edition   |   Effective April 2024</w:t>
            </w:r>
          </w:p>
          <w:p>
            <w:pPr>
              <w:jc w:val="center"/>
            </w:pPr>
            <w:r>
              <w:rPr>
                <w:color w:val="A7D4D4"/>
                <w:sz w:val="16"/>
              </w:rPr>
              <w:t>Owner: IT Service Management Office   |   Classification: Internal Use Only</w:t>
            </w:r>
          </w:p>
        </w:tc>
      </w:tr>
    </w:tbl>
    <w:p/>
    <w:p>
      <w:pPr>
        <w:spacing w:before="280" w:after="80"/>
      </w:pPr>
      <w:r>
        <w:rPr>
          <w:b/>
          <w:color w:val="024F4F"/>
          <w:sz w:val="22"/>
        </w:rPr>
        <w:t>1.  Purpose</w:t>
      </w:r>
    </w:p>
    <w:p>
      <w:pPr>
        <w:spacing w:after="80"/>
      </w:pPr>
      <w:r>
        <w:rPr>
          <w:color w:val="1F2D2D"/>
          <w:sz w:val="19"/>
        </w:rPr>
        <w:t>This Register is the authoritative inventory of IT systems used by the Loan Origination Department. It records system ownership, integration relationships, data classification, and compliance status. The Register is the source of truth for system-of-record disputes between operational SOPs and integration documentation.</w:t>
      </w:r>
    </w:p>
    <w:p>
      <w:pPr>
        <w:spacing w:before="280" w:after="80"/>
      </w:pPr>
      <w:r>
        <w:rPr>
          <w:b/>
          <w:color w:val="024F4F"/>
          <w:sz w:val="22"/>
        </w:rPr>
        <w:t>2.  Systems Inventory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36868"/>
          </w:tcPr>
          <w:p>
            <w:pPr>
              <w:jc w:val="left"/>
            </w:pPr>
            <w:r>
              <w:rPr>
                <w:b/>
                <w:color w:val="FFFFFF"/>
                <w:sz w:val="18"/>
              </w:rPr>
              <w:t>System</w:t>
            </w:r>
          </w:p>
        </w:tc>
        <w:tc>
          <w:tcPr>
            <w:tcW w:type="dxa" w:w="3249"/>
            <w:shd w:val="clear" w:color="auto" w:fill="036868"/>
          </w:tcPr>
          <w:p>
            <w:pPr>
              <w:jc w:val="left"/>
            </w:pPr>
            <w:r>
              <w:rPr>
                <w:b/>
                <w:color w:val="FFFFFF"/>
                <w:sz w:val="18"/>
              </w:rPr>
              <w:t>Domain</w:t>
            </w:r>
          </w:p>
        </w:tc>
        <w:tc>
          <w:tcPr>
            <w:tcW w:type="dxa" w:w="3249"/>
            <w:shd w:val="clear" w:color="auto" w:fill="036868"/>
          </w:tcPr>
          <w:p>
            <w:pPr>
              <w:jc w:val="left"/>
            </w:pPr>
            <w:r>
              <w:rPr>
                <w:b/>
                <w:color w:val="FFFFFF"/>
                <w:sz w:val="18"/>
              </w:rPr>
              <w:t>Description and Integrations</w:t>
            </w:r>
          </w:p>
        </w:tc>
      </w:tr>
      <w:tr>
        <w:tc>
          <w:tcPr>
            <w:tcW w:type="dxa" w:w="3249"/>
            <w:shd w:val="clear" w:color="auto" w:fill="F0FAFA"/>
          </w:tcPr>
          <w:p>
            <w:pPr>
              <w:jc w:val="left"/>
            </w:pPr>
            <w:r>
              <w:rPr>
                <w:b/>
                <w:color w:val="024F4F"/>
                <w:sz w:val="18"/>
              </w:rPr>
              <w:t>LoanIQ (LOS)</w:t>
            </w:r>
          </w:p>
        </w:tc>
        <w:tc>
          <w:tcPr>
            <w:tcW w:type="dxa" w:w="3249"/>
            <w:shd w:val="clear" w:color="auto" w:fill="F0FAFA"/>
          </w:tcPr>
          <w:p>
            <w:pPr>
              <w:jc w:val="left"/>
            </w:pPr>
            <w:r>
              <w:rPr>
                <w:b w:val="0"/>
                <w:sz w:val="18"/>
              </w:rPr>
              <w:t>Origination</w:t>
            </w:r>
          </w:p>
        </w:tc>
        <w:tc>
          <w:tcPr>
            <w:tcW w:type="dxa" w:w="3249"/>
            <w:shd w:val="clear" w:color="auto" w:fill="F0FAFA"/>
          </w:tcPr>
          <w:p>
            <w:pPr>
              <w:jc w:val="left"/>
            </w:pPr>
            <w:r>
              <w:rPr>
                <w:b w:val="0"/>
                <w:sz w:val="18"/>
              </w:rPr>
              <w:t>Integrates with AppraisalTrack, Compliance Tracker, and Credit Bureau Gateway. Note: this Register confirms a live, automated LoanIQ ↔ AppraisalTrack integration despite an outstanding TBD note in SOP-LO-004.2 Section 3.5. The integration status was certified by IT Operations on 12 January 2024 and supersedes the SOP entry.</w:t>
            </w:r>
          </w:p>
        </w:tc>
      </w:tr>
      <w:tr>
        <w:tc>
          <w:tcPr>
            <w:tcW w:type="dxa" w:w="3249"/>
            <w:shd w:val="clear" w:color="auto" w:fill="FFFFFF"/>
          </w:tcPr>
          <w:p>
            <w:pPr>
              <w:jc w:val="left"/>
            </w:pPr>
            <w:r>
              <w:rPr>
                <w:b/>
                <w:color w:val="024F4F"/>
                <w:sz w:val="18"/>
              </w:rPr>
              <w:t>Compliance Tracker</w:t>
            </w:r>
          </w:p>
        </w:tc>
        <w:tc>
          <w:tcPr>
            <w:tcW w:type="dxa" w:w="3249"/>
            <w:shd w:val="clear" w:color="auto" w:fill="FFFFFF"/>
          </w:tcPr>
          <w:p>
            <w:pPr>
              <w:jc w:val="left"/>
            </w:pPr>
            <w:r>
              <w:rPr>
                <w:b w:val="0"/>
                <w:sz w:val="18"/>
              </w:rPr>
              <w:t>Financial Crime</w:t>
            </w:r>
          </w:p>
        </w:tc>
        <w:tc>
          <w:tcPr>
            <w:tcW w:type="dxa" w:w="3249"/>
            <w:shd w:val="clear" w:color="auto" w:fill="FFFFFF"/>
          </w:tcPr>
          <w:p>
            <w:pPr>
              <w:jc w:val="left"/>
            </w:pPr>
            <w:r>
              <w:rPr>
                <w:b w:val="0"/>
                <w:sz w:val="18"/>
              </w:rPr>
              <w:t>AML, sanctions, PEP and adverse media screening. Owned by Financial Crime Compliance. Integrates with LoanIQ for Cleared status confirmation.</w:t>
            </w:r>
          </w:p>
        </w:tc>
      </w:tr>
      <w:tr>
        <w:tc>
          <w:tcPr>
            <w:tcW w:type="dxa" w:w="3249"/>
            <w:shd w:val="clear" w:color="auto" w:fill="F0FAFA"/>
          </w:tcPr>
          <w:p>
            <w:pPr>
              <w:jc w:val="left"/>
            </w:pPr>
            <w:r>
              <w:rPr>
                <w:b/>
                <w:color w:val="024F4F"/>
                <w:sz w:val="18"/>
              </w:rPr>
              <w:t>Credit Bureau Gateway</w:t>
            </w:r>
          </w:p>
        </w:tc>
        <w:tc>
          <w:tcPr>
            <w:tcW w:type="dxa" w:w="3249"/>
            <w:shd w:val="clear" w:color="auto" w:fill="F0FAFA"/>
          </w:tcPr>
          <w:p>
            <w:pPr>
              <w:jc w:val="left"/>
            </w:pPr>
            <w:r>
              <w:rPr>
                <w:b w:val="0"/>
                <w:sz w:val="18"/>
              </w:rPr>
              <w:t>Credit</w:t>
            </w:r>
          </w:p>
        </w:tc>
        <w:tc>
          <w:tcPr>
            <w:tcW w:type="dxa" w:w="3249"/>
            <w:shd w:val="clear" w:color="auto" w:fill="F0FAFA"/>
          </w:tcPr>
          <w:p>
            <w:pPr>
              <w:jc w:val="left"/>
            </w:pPr>
            <w:r>
              <w:rPr>
                <w:b w:val="0"/>
                <w:sz w:val="18"/>
              </w:rPr>
              <w:t>API-based dual bureau service (Experian, TransUnion). Invoked by LoanIQ; results filed automatically in the Document Management System.</w:t>
            </w:r>
          </w:p>
        </w:tc>
      </w:tr>
      <w:tr>
        <w:tc>
          <w:tcPr>
            <w:tcW w:type="dxa" w:w="3249"/>
            <w:shd w:val="clear" w:color="auto" w:fill="FFFFFF"/>
          </w:tcPr>
          <w:p>
            <w:pPr>
              <w:jc w:val="left"/>
            </w:pPr>
            <w:r>
              <w:rPr>
                <w:b/>
                <w:color w:val="024F4F"/>
                <w:sz w:val="18"/>
              </w:rPr>
              <w:t>AppraisalTrack</w:t>
            </w:r>
          </w:p>
        </w:tc>
        <w:tc>
          <w:tcPr>
            <w:tcW w:type="dxa" w:w="3249"/>
            <w:shd w:val="clear" w:color="auto" w:fill="FFFFFF"/>
          </w:tcPr>
          <w:p>
            <w:pPr>
              <w:jc w:val="left"/>
            </w:pPr>
            <w:r>
              <w:rPr>
                <w:b w:val="0"/>
                <w:sz w:val="18"/>
              </w:rPr>
              <w:t>Appraisal</w:t>
            </w:r>
          </w:p>
        </w:tc>
        <w:tc>
          <w:tcPr>
            <w:tcW w:type="dxa" w:w="3249"/>
            <w:shd w:val="clear" w:color="auto" w:fill="FFFFFF"/>
          </w:tcPr>
          <w:p>
            <w:pPr>
              <w:jc w:val="left"/>
            </w:pPr>
            <w:r>
              <w:rPr>
                <w:b w:val="0"/>
                <w:sz w:val="18"/>
              </w:rPr>
              <w:t>Vendor-managed appraisal instruction and reporting platform. Replaces the legacy Appraisal Management System referenced in older SOPs.</w:t>
            </w:r>
          </w:p>
        </w:tc>
      </w:tr>
      <w:tr>
        <w:tc>
          <w:tcPr>
            <w:tcW w:type="dxa" w:w="3249"/>
            <w:shd w:val="clear" w:color="auto" w:fill="F0FAFA"/>
          </w:tcPr>
          <w:p>
            <w:pPr>
              <w:jc w:val="left"/>
            </w:pPr>
            <w:r>
              <w:rPr>
                <w:b/>
                <w:color w:val="024F4F"/>
                <w:sz w:val="18"/>
              </w:rPr>
              <w:t>Document Management System (DMS)</w:t>
            </w:r>
          </w:p>
        </w:tc>
        <w:tc>
          <w:tcPr>
            <w:tcW w:type="dxa" w:w="3249"/>
            <w:shd w:val="clear" w:color="auto" w:fill="F0FAFA"/>
          </w:tcPr>
          <w:p>
            <w:pPr>
              <w:jc w:val="left"/>
            </w:pPr>
            <w:r>
              <w:rPr>
                <w:b w:val="0"/>
                <w:sz w:val="18"/>
              </w:rPr>
              <w:t>Records</w:t>
            </w:r>
          </w:p>
        </w:tc>
        <w:tc>
          <w:tcPr>
            <w:tcW w:type="dxa" w:w="3249"/>
            <w:shd w:val="clear" w:color="auto" w:fill="F0FAFA"/>
          </w:tcPr>
          <w:p>
            <w:pPr>
              <w:jc w:val="left"/>
            </w:pPr>
            <w:r>
              <w:rPr>
                <w:b w:val="0"/>
                <w:sz w:val="18"/>
              </w:rPr>
              <w:t>Bank-wide document repository. Holds bureau reports, completeness certificates, commitment letters, appraisal reports, and credit assessment files.</w:t>
            </w:r>
          </w:p>
        </w:tc>
      </w:tr>
      <w:tr>
        <w:tc>
          <w:tcPr>
            <w:tcW w:type="dxa" w:w="3249"/>
            <w:shd w:val="clear" w:color="auto" w:fill="FFFFFF"/>
          </w:tcPr>
          <w:p>
            <w:pPr>
              <w:jc w:val="left"/>
            </w:pPr>
            <w:r>
              <w:rPr>
                <w:b/>
                <w:color w:val="024F4F"/>
                <w:sz w:val="18"/>
              </w:rPr>
              <w:t>Document Management Portal (DMP)</w:t>
            </w:r>
          </w:p>
        </w:tc>
        <w:tc>
          <w:tcPr>
            <w:tcW w:type="dxa" w:w="3249"/>
            <w:shd w:val="clear" w:color="auto" w:fill="FFFFFF"/>
          </w:tcPr>
          <w:p>
            <w:pPr>
              <w:jc w:val="left"/>
            </w:pPr>
            <w:r>
              <w:rPr>
                <w:b w:val="0"/>
                <w:sz w:val="18"/>
              </w:rPr>
              <w:t>Self-Service</w:t>
            </w:r>
          </w:p>
        </w:tc>
        <w:tc>
          <w:tcPr>
            <w:tcW w:type="dxa" w:w="3249"/>
            <w:shd w:val="clear" w:color="auto" w:fill="FFFFFF"/>
          </w:tcPr>
          <w:p>
            <w:pPr>
              <w:jc w:val="left"/>
            </w:pPr>
            <w:r>
              <w:rPr>
                <w:b w:val="0"/>
                <w:sz w:val="18"/>
              </w:rPr>
              <w:t>Customer-facing document submission portal recently commissioned by the Digital Channels team. Allows applicants to upload supporting documentation directly. Not currently referenced in any Loan Origination SOP. Pending review by the Loan Origination process governance group for potential integration into the document collection step.</w:t>
            </w:r>
          </w:p>
        </w:tc>
      </w:tr>
      <w:tr>
        <w:tc>
          <w:tcPr>
            <w:tcW w:type="dxa" w:w="3249"/>
            <w:shd w:val="clear" w:color="auto" w:fill="F0FAFA"/>
          </w:tcPr>
          <w:p>
            <w:pPr>
              <w:jc w:val="left"/>
            </w:pPr>
            <w:r>
              <w:rPr>
                <w:b/>
                <w:color w:val="024F4F"/>
                <w:sz w:val="18"/>
              </w:rPr>
              <w:t>Credit Committee Workflow System</w:t>
            </w:r>
          </w:p>
        </w:tc>
        <w:tc>
          <w:tcPr>
            <w:tcW w:type="dxa" w:w="3249"/>
            <w:shd w:val="clear" w:color="auto" w:fill="F0FAFA"/>
          </w:tcPr>
          <w:p>
            <w:pPr>
              <w:jc w:val="left"/>
            </w:pPr>
            <w:r>
              <w:rPr>
                <w:b w:val="0"/>
                <w:sz w:val="18"/>
              </w:rPr>
              <w:t>Decisioning</w:t>
            </w:r>
          </w:p>
        </w:tc>
        <w:tc>
          <w:tcPr>
            <w:tcW w:type="dxa" w:w="3249"/>
            <w:shd w:val="clear" w:color="auto" w:fill="F0FAFA"/>
          </w:tcPr>
          <w:p>
            <w:pPr>
              <w:jc w:val="left"/>
            </w:pPr>
            <w:r>
              <w:rPr>
                <w:b w:val="0"/>
                <w:sz w:val="18"/>
              </w:rPr>
              <w:t>Workflow platform supporting credit committee deliberation, voting, and decision recording. Integrated with LoanIQ for sanctioning status updates.</w:t>
            </w:r>
          </w:p>
        </w:tc>
      </w:tr>
    </w:tbl>
    <w:p/>
    <w:p>
      <w:pPr>
        <w:spacing w:before="280" w:after="80"/>
      </w:pPr>
      <w:r>
        <w:rPr>
          <w:b/>
          <w:color w:val="024F4F"/>
          <w:sz w:val="22"/>
        </w:rPr>
        <w:t>3.  Change Control</w:t>
      </w:r>
    </w:p>
    <w:p>
      <w:pPr>
        <w:spacing w:after="80"/>
      </w:pPr>
      <w:r>
        <w:rPr>
          <w:color w:val="1F2D2D"/>
          <w:sz w:val="19"/>
        </w:rPr>
        <w:t>Any change to a system listed above — including new integrations, ownership transfer, or decommissioning — must be raised through the IT Change Advisory Board. Operational SOPs must be reviewed and updated to align with this Register following any approved change.</w:t>
      </w:r>
    </w:p>
    <w:p/>
    <w:tbl>
      <w:tblPr>
        <w:tblStyle w:val="TableGrid"/>
        <w:tblW w:type="auto" w:w="0"/>
        <w:tblLook w:firstColumn="1" w:firstRow="1" w:lastColumn="0" w:lastRow="0" w:noHBand="0" w:noVBand="1" w:val="04A0"/>
      </w:tblPr>
      <w:tblGrid>
        <w:gridCol w:w="4873"/>
        <w:gridCol w:w="4873"/>
      </w:tblGrid>
      <w:tr>
        <w:tc>
          <w:tcPr>
            <w:tcW w:type="dxa" w:w="4873"/>
            <w:shd w:val="clear" w:color="auto" w:fill="E6F4F4"/>
          </w:tcPr>
          <w:p>
            <w:pPr>
              <w:jc w:val="left"/>
            </w:pPr>
            <w:r>
              <w:rPr>
                <w:b/>
                <w:color w:val="024F4F"/>
                <w:sz w:val="18"/>
              </w:rPr>
              <w:t>Maintained by</w:t>
            </w:r>
          </w:p>
        </w:tc>
        <w:tc>
          <w:tcPr>
            <w:tcW w:type="dxa" w:w="4873"/>
          </w:tcPr>
          <w:p>
            <w:pPr>
              <w:jc w:val="left"/>
            </w:pPr>
            <w:r>
              <w:rPr>
                <w:b w:val="0"/>
                <w:sz w:val="18"/>
              </w:rPr>
              <w:t>IT Service Management Office</w:t>
            </w:r>
          </w:p>
        </w:tc>
      </w:tr>
      <w:tr>
        <w:tc>
          <w:tcPr>
            <w:tcW w:type="dxa" w:w="4873"/>
            <w:shd w:val="clear" w:color="auto" w:fill="E6F4F4"/>
          </w:tcPr>
          <w:p>
            <w:pPr>
              <w:jc w:val="left"/>
            </w:pPr>
            <w:r>
              <w:rPr>
                <w:b/>
                <w:color w:val="024F4F"/>
                <w:sz w:val="18"/>
              </w:rPr>
              <w:t>Last verified</w:t>
            </w:r>
          </w:p>
        </w:tc>
        <w:tc>
          <w:tcPr>
            <w:tcW w:type="dxa" w:w="4873"/>
          </w:tcPr>
          <w:p>
            <w:pPr>
              <w:jc w:val="left"/>
            </w:pPr>
            <w:r>
              <w:rPr>
                <w:b w:val="0"/>
                <w:sz w:val="18"/>
              </w:rPr>
              <w:t>April 2024</w:t>
            </w:r>
          </w:p>
        </w:tc>
      </w:tr>
      <w:tr>
        <w:tc>
          <w:tcPr>
            <w:tcW w:type="dxa" w:w="4873"/>
            <w:shd w:val="clear" w:color="auto" w:fill="E6F4F4"/>
          </w:tcPr>
          <w:p>
            <w:pPr>
              <w:jc w:val="left"/>
            </w:pPr>
            <w:r>
              <w:rPr>
                <w:b/>
                <w:color w:val="024F4F"/>
                <w:sz w:val="18"/>
              </w:rPr>
              <w:t>Next refresh</w:t>
            </w:r>
          </w:p>
        </w:tc>
        <w:tc>
          <w:tcPr>
            <w:tcW w:type="dxa" w:w="4873"/>
          </w:tcPr>
          <w:p>
            <w:pPr>
              <w:jc w:val="left"/>
            </w:pPr>
            <w:r>
              <w:rPr>
                <w:b w:val="0"/>
                <w:sz w:val="18"/>
              </w:rPr>
              <w:t>Quarterly</w:t>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