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024F4F"/>
          </w:tcPr>
          <w:p>
            <w:pPr>
              <w:jc w:val="center"/>
            </w:pPr>
            <w:r>
              <w:rPr>
                <w:b/>
                <w:color w:val="A7D4D4"/>
                <w:sz w:val="18"/>
              </w:rPr>
              <w:t>METAFORE</w:t>
            </w:r>
          </w:p>
          <w:p>
            <w:pPr>
              <w:jc w:val="center"/>
            </w:pPr>
            <w:r>
              <w:rPr>
                <w:b/>
                <w:color w:val="FFFFFF"/>
                <w:sz w:val="44"/>
              </w:rPr>
              <w:t>Discovery Engine</w:t>
            </w:r>
          </w:p>
          <w:p>
            <w:pPr>
              <w:jc w:val="center"/>
            </w:pPr>
            <w:r>
              <w:rPr>
                <w:b w:val="0"/>
                <w:color w:val="A7D4D4"/>
                <w:sz w:val="26"/>
              </w:rPr>
              <w:t>Demo Script</w:t>
            </w:r>
          </w:p>
          <w:p>
            <w:pPr>
              <w:jc w:val="center"/>
            </w:pPr>
            <w:r>
              <w:rPr>
                <w:color w:val="A7D4D4"/>
                <w:sz w:val="17"/>
              </w:rPr>
              <w:t>Approx. 12 – 15 minutes   |   http://localhost:8083</w:t>
            </w:r>
          </w:p>
        </w:tc>
      </w:tr>
    </w:tbl>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i w:val="0"/>
                <w:color w:val="024F4F"/>
                <w:sz w:val="18"/>
              </w:rPr>
              <w:t>URL</w:t>
            </w:r>
          </w:p>
        </w:tc>
        <w:tc>
          <w:tcPr>
            <w:tcW w:type="dxa" w:w="4873"/>
          </w:tcPr>
          <w:p>
            <w:pPr>
              <w:jc w:val="left"/>
            </w:pPr>
            <w:r>
              <w:rPr>
                <w:b w:val="0"/>
                <w:i w:val="0"/>
                <w:sz w:val="18"/>
              </w:rPr>
              <w:t>http://localhost:8083</w:t>
            </w:r>
          </w:p>
        </w:tc>
      </w:tr>
      <w:tr>
        <w:tc>
          <w:tcPr>
            <w:tcW w:type="dxa" w:w="4873"/>
            <w:shd w:val="clear" w:color="auto" w:fill="E6F4F4"/>
          </w:tcPr>
          <w:p>
            <w:pPr>
              <w:jc w:val="left"/>
            </w:pPr>
            <w:r>
              <w:rPr>
                <w:b/>
                <w:i w:val="0"/>
                <w:color w:val="024F4F"/>
                <w:sz w:val="18"/>
              </w:rPr>
              <w:t>SOP Document</w:t>
            </w:r>
          </w:p>
        </w:tc>
        <w:tc>
          <w:tcPr>
            <w:tcW w:type="dxa" w:w="4873"/>
          </w:tcPr>
          <w:p>
            <w:pPr>
              <w:jc w:val="left"/>
            </w:pPr>
            <w:r>
              <w:rPr>
                <w:b w:val="0"/>
                <w:i w:val="0"/>
                <w:sz w:val="18"/>
              </w:rPr>
              <w:t>sample_docs/commercial_banking_loan_sop.docx</w:t>
            </w:r>
          </w:p>
        </w:tc>
      </w:tr>
      <w:tr>
        <w:tc>
          <w:tcPr>
            <w:tcW w:type="dxa" w:w="4873"/>
            <w:shd w:val="clear" w:color="auto" w:fill="E6F4F4"/>
          </w:tcPr>
          <w:p>
            <w:pPr>
              <w:jc w:val="left"/>
            </w:pPr>
            <w:r>
              <w:rPr>
                <w:b/>
                <w:i w:val="0"/>
                <w:color w:val="024F4F"/>
                <w:sz w:val="18"/>
              </w:rPr>
              <w:t>Audit Document</w:t>
            </w:r>
          </w:p>
        </w:tc>
        <w:tc>
          <w:tcPr>
            <w:tcW w:type="dxa" w:w="4873"/>
          </w:tcPr>
          <w:p>
            <w:pPr>
              <w:jc w:val="left"/>
            </w:pPr>
            <w:r>
              <w:rPr>
                <w:b w:val="0"/>
                <w:i w:val="0"/>
                <w:sz w:val="18"/>
              </w:rPr>
              <w:t>sample_docs/loan_audit_report.docx</w:t>
            </w:r>
          </w:p>
        </w:tc>
      </w:tr>
    </w:tbl>
    <w:p/>
    <w:p>
      <w:pPr>
        <w:spacing w:before="320" w:after="40"/>
        <w:pBdr>
          <w:top w:val="single" w:sz="4" w:space="4" w:color="036868"/>
        </w:pBdr>
      </w:pPr>
      <w:r>
        <w:rPr>
          <w:b/>
          <w:color w:val="036868"/>
          <w:sz w:val="16"/>
        </w:rPr>
        <w:t>OPENING LINE  (30 SECONDS)</w:t>
      </w:r>
    </w:p>
    <w:p/>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i/>
                <w:color w:val="024F4F"/>
                <w:sz w:val="20"/>
              </w:rPr>
              <w:t>"Before you can build or evolve an enterprise application, you need to understand the organisation. The Discovery Engine is how Metafore does that — it reads your existing documents and turns them into a living knowledge graph. Let me show you."</w:t>
            </w:r>
          </w:p>
        </w:tc>
      </w:tr>
    </w:tbl>
    <w:p/>
    <w:p>
      <w:pPr>
        <w:spacing w:before="320" w:after="40"/>
        <w:pBdr>
          <w:top w:val="single" w:sz="4" w:space="4" w:color="036868"/>
        </w:pBdr>
      </w:pPr>
      <w:r>
        <w:rPr>
          <w:b/>
          <w:color w:val="036868"/>
          <w:sz w:val="16"/>
        </w:rPr>
        <w:t>DEMO STEPS</w:t>
      </w:r>
    </w:p>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1  </w:t>
            </w:r>
            <w:r>
              <w:rPr>
                <w:b w:val="0"/>
                <w:i w:val="0"/>
                <w:color w:val="A7D4D4"/>
                <w:sz w:val="20"/>
              </w:rPr>
              <w:t>Multi-Document Upload</w:t>
            </w:r>
          </w:p>
        </w:tc>
        <w:tc>
          <w:tcPr>
            <w:tcW w:type="dxa" w:w="2880"/>
            <w:shd w:val="clear" w:color="auto" w:fill="036868"/>
          </w:tcPr>
          <w:p>
            <w:pPr>
              <w:jc w:val="right"/>
            </w:pPr>
            <w:r>
              <w:rPr>
                <w:b w:val="0"/>
                <w:i w:val="0"/>
                <w:color w:val="A7D4D4"/>
                <w:sz w:val="18"/>
              </w:rPr>
              <w:t>≈ 3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Open http://localhost:8083</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Click Choose Files → select FOUR documents together: commercial_banking_loan_sop.docx, compliance_policy.docx, role_descriptions.docx, it_systems_register.docx</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Watch the file list build up; observe the green 'Combined size: ~13,000 chars' counter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Click Extract Knowledge Graph</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"Most enterprises don't have ONE document describing a process — they have an SOP, a separate compliance policy, a role description from HR, and an IT systems register. The Discovery Engine reads them all together and produces ONE unified graph that links the entities across documents."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5</w:t>
            </w:r>
          </w:p>
        </w:tc>
        <w:tc>
          <w:tcPr>
            <w:tcW w:type="dxa" w:w="8856"/>
            <w:shd w:val="clear" w:color="auto" w:fill="F7FCFC"/>
          </w:tcPr>
          <w:p>
            <w:pPr>
              <w:jc w:val="left"/>
            </w:pPr>
            <w:r>
              <w:rPr>
                <w:b w:val="0"/>
                <w:i w:val="0"/>
                <w:sz w:val="18"/>
              </w:rPr>
              <w:t>While loading (~50s) — narrate (see right →)</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6</w:t>
            </w:r>
          </w:p>
        </w:tc>
        <w:tc>
          <w:tcPr>
            <w:tcW w:type="dxa" w:w="8856"/>
            <w:shd w:val="clear" w:color="auto" w:fill="F7FCFC"/>
          </w:tcPr>
          <w:p>
            <w:pPr>
              <w:jc w:val="left"/>
            </w:pPr>
            <w:r>
              <w:rPr>
                <w:b w:val="0"/>
                <w:i w:val="0"/>
                <w:sz w:val="18"/>
              </w:rPr>
              <w:t>When the graph renders, look top-left of the graph area for: 'Knowledge Graph — 4 documents' + 4 colored 📄 chips, plus a Cross-Document Insights panel</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"Top-left: a chip per source document. The Cross-Document Insights panel below it is the most valuable thing here — the engine has compared the four documents and surfaced gaps you'd otherwise need a senior consultant to find. Read out one or two of the insights — they typically include compliance gaps, role inconsistencies, and orphan systems."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7</w:t>
            </w:r>
          </w:p>
        </w:tc>
        <w:tc>
          <w:tcPr>
            <w:tcW w:type="dxa" w:w="8856"/>
            <w:shd w:val="clear" w:color="auto" w:fill="F7FCFC"/>
          </w:tcPr>
          <w:p>
            <w:pPr>
              <w:jc w:val="left"/>
            </w:pPr>
            <w:r>
              <w:rPr>
                <w:b w:val="0"/>
                <w:i w:val="0"/>
                <w:sz w:val="18"/>
              </w:rPr>
              <w:t>Click each 📄 chip → graph filters to that document's nodes</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"Click a chip and the graph filters to nodes from just that document. This is how you trace which document is the source of truth for any entity."</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8</w:t>
            </w:r>
          </w:p>
        </w:tc>
        <w:tc>
          <w:tcPr>
            <w:tcW w:type="dxa" w:w="8856"/>
            <w:shd w:val="clear" w:color="auto" w:fill="F7FCFC"/>
          </w:tcPr>
          <w:p>
            <w:pPr>
              <w:jc w:val="left"/>
            </w:pPr>
            <w:r>
              <w:rPr>
                <w:b w:val="0"/>
                <w:i w:val="0"/>
                <w:sz w:val="18"/>
              </w:rPr>
              <w:t>Click any node that came from 2+ documents → detail panel shows Sources: file1, file2</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"Sources field on a node tells you it appeared in multiple documents — that means HIGHER confidence. If something is in three out of four documents, you can trust it; if it's in one alone, you might want to verify."</w:t>
            </w:r>
          </w:p>
        </w:tc>
      </w:tr>
    </w:tbl>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i w:val="0"/>
                <w:color w:val="024F4F"/>
                <w:sz w:val="17"/>
              </w:rPr>
              <w:t>Teal circles</w:t>
            </w:r>
          </w:p>
        </w:tc>
        <w:tc>
          <w:tcPr>
            <w:tcW w:type="dxa" w:w="4873"/>
            <w:shd w:val="clear" w:color="auto" w:fill="F7FCFC"/>
          </w:tcPr>
          <w:p>
            <w:pPr>
              <w:jc w:val="left"/>
            </w:pPr>
            <w:r>
              <w:rPr>
                <w:b w:val="0"/>
                <w:i w:val="0"/>
                <w:sz w:val="17"/>
              </w:rPr>
              <w:t>Processes — AML screening, credit bureau pull, sanctioning</w:t>
            </w:r>
          </w:p>
        </w:tc>
      </w:tr>
      <w:tr>
        <w:tc>
          <w:tcPr>
            <w:tcW w:type="dxa" w:w="4873"/>
            <w:shd w:val="clear" w:color="auto" w:fill="E6F4F4"/>
          </w:tcPr>
          <w:p>
            <w:pPr>
              <w:jc w:val="left"/>
            </w:pPr>
            <w:r>
              <w:rPr>
                <w:b/>
                <w:i w:val="0"/>
                <w:color w:val="024F4F"/>
                <w:sz w:val="17"/>
              </w:rPr>
              <w:t>Orange circles</w:t>
            </w:r>
          </w:p>
        </w:tc>
        <w:tc>
          <w:tcPr>
            <w:tcW w:type="dxa" w:w="4873"/>
            <w:shd w:val="clear" w:color="auto" w:fill="F7FCFC"/>
          </w:tcPr>
          <w:p>
            <w:pPr>
              <w:jc w:val="left"/>
            </w:pPr>
            <w:r>
              <w:rPr>
                <w:b w:val="0"/>
                <w:i w:val="0"/>
                <w:sz w:val="17"/>
              </w:rPr>
              <w:t>Roles — Loan Processing Officer, Credit Analyst, Quality Assurance Officer</w:t>
            </w:r>
          </w:p>
        </w:tc>
      </w:tr>
      <w:tr>
        <w:tc>
          <w:tcPr>
            <w:tcW w:type="dxa" w:w="4873"/>
            <w:shd w:val="clear" w:color="auto" w:fill="E6F4F4"/>
          </w:tcPr>
          <w:p>
            <w:pPr>
              <w:jc w:val="left"/>
            </w:pPr>
            <w:r>
              <w:rPr>
                <w:b/>
                <w:i w:val="0"/>
                <w:color w:val="024F4F"/>
                <w:sz w:val="17"/>
              </w:rPr>
              <w:t>Blue circles</w:t>
            </w:r>
          </w:p>
        </w:tc>
        <w:tc>
          <w:tcPr>
            <w:tcW w:type="dxa" w:w="4873"/>
            <w:shd w:val="clear" w:color="auto" w:fill="F7FCFC"/>
          </w:tcPr>
          <w:p>
            <w:pPr>
              <w:jc w:val="left"/>
            </w:pPr>
            <w:r>
              <w:rPr>
                <w:b w:val="0"/>
                <w:i w:val="0"/>
                <w:sz w:val="17"/>
              </w:rPr>
              <w:t>Systems — LoanIQ (LOS), Compliance Tracker, Document Management Portal</w:t>
            </w:r>
          </w:p>
        </w:tc>
      </w:tr>
      <w:tr>
        <w:tc>
          <w:tcPr>
            <w:tcW w:type="dxa" w:w="4873"/>
            <w:shd w:val="clear" w:color="auto" w:fill="E6F4F4"/>
          </w:tcPr>
          <w:p>
            <w:pPr>
              <w:jc w:val="left"/>
            </w:pPr>
            <w:r>
              <w:rPr>
                <w:b/>
                <w:i w:val="0"/>
                <w:color w:val="024F4F"/>
                <w:sz w:val="17"/>
              </w:rPr>
              <w:t>Red circles</w:t>
            </w:r>
          </w:p>
        </w:tc>
        <w:tc>
          <w:tcPr>
            <w:tcW w:type="dxa" w:w="4873"/>
            <w:shd w:val="clear" w:color="auto" w:fill="F7FCFC"/>
          </w:tcPr>
          <w:p>
            <w:pPr>
              <w:jc w:val="left"/>
            </w:pPr>
            <w:r>
              <w:rPr>
                <w:b w:val="0"/>
                <w:i w:val="0"/>
                <w:sz w:val="17"/>
              </w:rPr>
              <w:t>Policies — AML Policy, Sanctioning Timeline Policy, Fair Lending</w:t>
            </w:r>
          </w:p>
        </w:tc>
      </w:tr>
      <w:tr>
        <w:tc>
          <w:tcPr>
            <w:tcW w:type="dxa" w:w="4873"/>
            <w:shd w:val="clear" w:color="auto" w:fill="E6F4F4"/>
          </w:tcPr>
          <w:p>
            <w:pPr>
              <w:jc w:val="left"/>
            </w:pPr>
            <w:r>
              <w:rPr>
                <w:b/>
                <w:i w:val="0"/>
                <w:color w:val="024F4F"/>
                <w:sz w:val="17"/>
              </w:rPr>
              <w:t>📄 chips</w:t>
            </w:r>
          </w:p>
        </w:tc>
        <w:tc>
          <w:tcPr>
            <w:tcW w:type="dxa" w:w="4873"/>
            <w:shd w:val="clear" w:color="auto" w:fill="F7FCFC"/>
          </w:tcPr>
          <w:p>
            <w:pPr>
              <w:jc w:val="left"/>
            </w:pPr>
            <w:r>
              <w:rPr>
                <w:b w:val="0"/>
                <w:i w:val="0"/>
                <w:sz w:val="17"/>
              </w:rPr>
              <w:t>One per uploaded document — colored, clickable, filter the graph</w:t>
            </w:r>
          </w:p>
        </w:tc>
      </w:tr>
      <w:tr>
        <w:tc>
          <w:tcPr>
            <w:tcW w:type="dxa" w:w="4873"/>
            <w:shd w:val="clear" w:color="auto" w:fill="E6F4F4"/>
          </w:tcPr>
          <w:p>
            <w:pPr>
              <w:jc w:val="left"/>
            </w:pPr>
            <w:r>
              <w:rPr>
                <w:b/>
                <w:i w:val="0"/>
                <w:color w:val="024F4F"/>
                <w:sz w:val="17"/>
              </w:rPr>
              <w:t>Cross-Doc panel</w:t>
            </w:r>
          </w:p>
        </w:tc>
        <w:tc>
          <w:tcPr>
            <w:tcW w:type="dxa" w:w="4873"/>
            <w:shd w:val="clear" w:color="auto" w:fill="F7FCFC"/>
          </w:tcPr>
          <w:p>
            <w:pPr>
              <w:jc w:val="left"/>
            </w:pPr>
            <w:r>
              <w:rPr>
                <w:b w:val="0"/>
                <w:i w:val="0"/>
                <w:sz w:val="17"/>
              </w:rPr>
              <w:t>3 cross-document findings — gap / inconsistency / missing / contradiction</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2  </w:t>
            </w:r>
            <w:r>
              <w:rPr>
                <w:b w:val="0"/>
                <w:i w:val="0"/>
                <w:color w:val="A7D4D4"/>
                <w:sz w:val="20"/>
              </w:rPr>
              <w:t>Dashboard — Health Score and Live Operational Data</w:t>
            </w:r>
          </w:p>
        </w:tc>
        <w:tc>
          <w:tcPr>
            <w:tcW w:type="dxa" w:w="2880"/>
            <w:shd w:val="clear" w:color="auto" w:fill="036868"/>
          </w:tcPr>
          <w:p>
            <w:pPr>
              <w:jc w:val="right"/>
            </w:pPr>
            <w:r>
              <w:rPr>
                <w:b w:val="0"/>
                <w:i w:val="0"/>
                <w:color w:val="A7D4D4"/>
                <w:sz w:val="18"/>
              </w:rPr>
              <w:t>≈ 2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the Dashboard nav (after Conformance in the sidebar)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Point to the SVG ring at the top — Overall Health Score (weighted: Coverage 40% / SLA 35% / Conformance 25%)</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Dashboard is the executive view. It aggregates everything the engine has discovered into one health score and a handful of cards. None of this is a new AI call — it all comes from data the engine has already produced."</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Walk through: 3 metric cards · Graph composition bar chart · Top issues · Live Operational Data section · Completeness checklist</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Live Operational Data section is critical. The engine ships with a local SQLite store of real banking-loan operations data — 13 sample applications, 71 step executions across 7 process steps. We use that to ground every other feature in actual numbers, not just what the SOP says should happen."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Click a metric card → it navigates to the source tab</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"Every issue, every quick win, every metric card is click-through — you can drill from this single screen into any feature."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5</w:t>
            </w:r>
          </w:p>
        </w:tc>
        <w:tc>
          <w:tcPr>
            <w:tcW w:type="dxa" w:w="8856"/>
            <w:shd w:val="clear" w:color="auto" w:fill="F7FCFC"/>
          </w:tcPr>
          <w:p>
            <w:pPr>
              <w:jc w:val="left"/>
            </w:pPr>
            <w:r>
              <w:rPr>
                <w:b w:val="0"/>
                <w:i w:val="0"/>
                <w:sz w:val="18"/>
              </w:rPr>
              <w:t>Click a 'Top issue' item → graph highlights the affected nodes and the relevant tab opens</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4  </w:t>
            </w:r>
            <w:r>
              <w:rPr>
                <w:b w:val="0"/>
                <w:i w:val="0"/>
                <w:color w:val="A7D4D4"/>
                <w:sz w:val="20"/>
              </w:rPr>
              <w:t>Gap Analysis</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the Gap Analysis tab (bar chart icon in sidebar)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Results appear instantly — no AI call</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"This is a structural audit of the knowledge graph. It checks: does every process have an owner? Is every policy enforced? Are there orphaned nodes? This runs in milliseconds — no Claude call."</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Point to coverage score — narrate</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score tells us how complete this process model is. A low score means real gaps — processes without assigned roles, policies not linked to any process."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Click a failing check → click View in Graph</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graph highlights exactly which nodes are the problem. No hunting through the document."</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5  </w:t>
            </w:r>
            <w:r>
              <w:rPr>
                <w:b w:val="0"/>
                <w:i w:val="0"/>
                <w:color w:val="A7D4D4"/>
                <w:sz w:val="20"/>
              </w:rPr>
              <w:t>Blueprint</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Still in Gap Analysis — click Generate Blueprint</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Wait ~7 seconds (Haiku model)</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Blueprint turns the gap analysis into an actionable improvement plan. This is the output you'd hand to a process owner or a consulting team."</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Read out one of the next steps</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"It even recommends which documents to upload next to fill the gaps — feeding the Knowledge Fabric."</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6  </w:t>
            </w:r>
            <w:r>
              <w:rPr>
                <w:b w:val="0"/>
                <w:i w:val="0"/>
                <w:color w:val="A7D4D4"/>
                <w:sz w:val="20"/>
              </w:rPr>
              <w:t>Pulse Recommendations</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the bell icon in the top-right header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Drawer slides in — NOW / THIS_WEEK / BACKLOG items shown</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"Pulse is how the Discovery Engine surfaces what needs attention — prioritised by urgency. NOW means act today. It's not a report, it's a recommended action queue."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Click View in Graph on a critical item</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"Clicking View in Graph jumps you directly to the affected nodes — so whoever is responsible can see exactly what's missing."</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7  </w:t>
            </w:r>
            <w:r>
              <w:rPr>
                <w:b w:val="0"/>
                <w:i w:val="0"/>
                <w:color w:val="A7D4D4"/>
                <w:sz w:val="20"/>
              </w:rPr>
              <w:t>Natural Language Query (with live operational context)</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the search icon (NLQ tab) in sidebar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Try a process question: 'Who is responsible for AML screening and what system do they use?'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Wait ~5 seconds (Haiku model)</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"Plain-English questions about the organisation's processes — no SQL, no dashboard config."</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Then try a reality question: 'Which steps have the most SLA breaches and who is performing them?'</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5</w:t>
            </w:r>
          </w:p>
        </w:tc>
        <w:tc>
          <w:tcPr>
            <w:tcW w:type="dxa" w:w="8856"/>
            <w:shd w:val="clear" w:color="auto" w:fill="F7FCFC"/>
          </w:tcPr>
          <w:p>
            <w:pPr>
              <w:jc w:val="left"/>
            </w:pPr>
            <w:r>
              <w:rPr>
                <w:b w:val="0"/>
                <w:i w:val="0"/>
                <w:sz w:val="18"/>
              </w:rPr>
              <w:t>Point to the answer — it cites real numbers (e.g. KYC 15.4% breach, Underwriting 51.8h vs 48h SLA, role mismatches on Credit Check)</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first question pulls from the SOP and graph. The second question is the trick — the engine doesn't just answer from documents, it grounds the response in live operational data from our SQLite store. So instead of saying 'KYC should be done by a Compliance Analyst', the answer can say 'KYC has a 15% breach rate across 13 applications and is sometimes done by a Loan Officer'."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6</w:t>
            </w:r>
          </w:p>
        </w:tc>
        <w:tc>
          <w:tcPr>
            <w:tcW w:type="dxa" w:w="8856"/>
            <w:shd w:val="clear" w:color="auto" w:fill="F7FCFC"/>
          </w:tcPr>
          <w:p>
            <w:pPr>
              <w:jc w:val="left"/>
            </w:pPr>
            <w:r>
              <w:rPr>
                <w:b w:val="0"/>
                <w:i w:val="0"/>
                <w:sz w:val="18"/>
              </w:rPr>
              <w:t>Click one of the follow-up questions it suggests</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answer references specific graph nodes AND specific operational facts — it's grounded, not hallucinated."</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8  </w:t>
            </w:r>
            <w:r>
              <w:rPr>
                <w:b w:val="0"/>
                <w:i w:val="0"/>
                <w:color w:val="A7D4D4"/>
                <w:sz w:val="20"/>
              </w:rPr>
              <w:t>Workflows — ROI, Automation Scoring, Process Variants, Actual vs SOP</w:t>
            </w:r>
          </w:p>
        </w:tc>
        <w:tc>
          <w:tcPr>
            <w:tcW w:type="dxa" w:w="2880"/>
            <w:shd w:val="clear" w:color="auto" w:fill="036868"/>
          </w:tcPr>
          <w:p>
            <w:pPr>
              <w:jc w:val="right"/>
            </w:pPr>
            <w:r>
              <w:rPr>
                <w:b w:val="0"/>
                <w:i w:val="0"/>
                <w:color w:val="A7D4D4"/>
                <w:sz w:val="18"/>
              </w:rPr>
              <w:t>≈ 4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Workflows nav → click Generate (Sonnet model, ~60–90s — narrate while loading)</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When cards appear, expand one (e.g. AML &amp; Compliance Pre-Screening Automation)</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"ONE Sonnet call returns four things at once for every workflow we propose: the AS-IS/TO-BE comparison, an annual ROI estimate, an automation score per step, and 2–4 process variants showing how the workflow actually executes across exception paths. Going from seven calls to one is what makes this tab usable."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Walk down a single card top-to-bottom:</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 xml:space="preserve">  · AS-IS / TO-BE columns — point to a step's 'Actual' sub-block (avg duration / breach % / role mismatches from SQLite)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5</w:t>
            </w:r>
          </w:p>
        </w:tc>
        <w:tc>
          <w:tcPr>
            <w:tcW w:type="dxa" w:w="8856"/>
            <w:shd w:val="clear" w:color="auto" w:fill="F7FCFC"/>
          </w:tcPr>
          <w:p>
            <w:pPr>
              <w:jc w:val="left"/>
            </w:pPr>
            <w:r>
              <w:rPr>
                <w:b w:val="0"/>
                <w:i w:val="0"/>
                <w:sz w:val="18"/>
              </w:rPr>
              <w:t xml:space="preserve">  · Estimated annual value (teal headline) — read out the number</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'Actual' sub-block on each AS-IS step is overlaid from our SQLite operational data. What the SOP says SHOULD happen, vs what's actually happening across recent applications. If a step has a 15% breach rate, you see it RIGHT THERE in the workflow card — you don't have to switch screens."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6</w:t>
            </w:r>
          </w:p>
        </w:tc>
        <w:tc>
          <w:tcPr>
            <w:tcW w:type="dxa" w:w="8856"/>
            <w:shd w:val="clear" w:color="auto" w:fill="F7FCFC"/>
          </w:tcPr>
          <w:p>
            <w:pPr>
              <w:jc w:val="left"/>
            </w:pPr>
            <w:r>
              <w:rPr>
                <w:b w:val="0"/>
                <w:i w:val="0"/>
                <w:sz w:val="18"/>
              </w:rPr>
              <w:t xml:space="preserve">  · Click 'Assumptions used' → show 4–7 banking-grade assumptions (loaded staff cost, NIM, FTE hours)</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"ROI: an annual dollar figure with 4–7 banking-industry assumptions you can defend in a steering committee. Loaded staff cost, NIM, FTE hours, transaction volume — all stated explicitly. No black-box 'Claude said it's $2M.'"</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7</w:t>
            </w:r>
          </w:p>
        </w:tc>
        <w:tc>
          <w:tcPr>
            <w:tcW w:type="dxa" w:w="8856"/>
            <w:shd w:val="clear" w:color="auto" w:fill="F7FCFC"/>
          </w:tcPr>
          <w:p>
            <w:pPr>
              <w:jc w:val="left"/>
            </w:pPr>
            <w:r>
              <w:rPr>
                <w:b w:val="0"/>
                <w:i w:val="0"/>
                <w:sz w:val="18"/>
              </w:rPr>
              <w:t xml:space="preserve">  · Benefits strip (4 boxes)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8</w:t>
            </w:r>
          </w:p>
        </w:tc>
        <w:tc>
          <w:tcPr>
            <w:tcW w:type="dxa" w:w="8856"/>
            <w:shd w:val="clear" w:color="auto" w:fill="F7FCFC"/>
          </w:tcPr>
          <w:p>
            <w:pPr>
              <w:jc w:val="left"/>
            </w:pPr>
            <w:r>
              <w:rPr>
                <w:b w:val="0"/>
                <w:i w:val="0"/>
                <w:sz w:val="18"/>
              </w:rPr>
              <w:t xml:space="preserve">  · Automation Scoring table — point to the 0–10 colored bars and one row's suggested approach (Rule-based RPA / AI-assisted / Human required)</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9</w:t>
            </w:r>
          </w:p>
        </w:tc>
        <w:tc>
          <w:tcPr>
            <w:tcW w:type="dxa" w:w="8856"/>
            <w:shd w:val="clear" w:color="auto" w:fill="F7FCFC"/>
          </w:tcPr>
          <w:p>
            <w:pPr>
              <w:jc w:val="left"/>
            </w:pPr>
            <w:r>
              <w:rPr>
                <w:b w:val="0"/>
                <w:i w:val="0"/>
                <w:sz w:val="18"/>
              </w:rPr>
              <w:t xml:space="preserve">  · Process Variants — point to Variant A frequency, then a non-A variant card</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"Automation scoring: 0–10 per step. Green is rule-based RPA, amber is AI-assisted, red is human-required. The 'Avg score' and '% automatable' summary tell you whether this whole workflow is even a candidate for automation."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10</w:t>
            </w:r>
          </w:p>
        </w:tc>
        <w:tc>
          <w:tcPr>
            <w:tcW w:type="dxa" w:w="8856"/>
            <w:shd w:val="clear" w:color="auto" w:fill="F7FCFC"/>
          </w:tcPr>
          <w:p>
            <w:pPr>
              <w:jc w:val="left"/>
            </w:pPr>
            <w:r>
              <w:rPr>
                <w:b w:val="0"/>
                <w:i w:val="0"/>
                <w:sz w:val="18"/>
              </w:rPr>
              <w:t xml:space="preserve">  · Click any step chip in a variant → graph highlights that node</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"Process Variants is what process mining gets you — the standard happy path is rarely 100% of cases. Variant A is the happy path, then 2–4 exception paths (AML flag, threshold breach, manual override). The frequencies sum to 100. When the divergence point matches a known SQLite step, the variant gets a 'Live data' badge — we cross-check the AI estimate against actual breach rates."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11</w:t>
            </w:r>
          </w:p>
        </w:tc>
        <w:tc>
          <w:tcPr>
            <w:tcW w:type="dxa" w:w="8856"/>
            <w:shd w:val="clear" w:color="auto" w:fill="F7FCFC"/>
          </w:tcPr>
          <w:p>
            <w:pPr>
              <w:jc w:val="left"/>
            </w:pPr>
            <w:r>
              <w:rPr>
                <w:b w:val="0"/>
                <w:i w:val="0"/>
                <w:sz w:val="18"/>
              </w:rPr>
              <w:t xml:space="preserve">  · Click anywhere on the variant card → all variant nodes highlight + banner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12</w:t>
            </w:r>
          </w:p>
        </w:tc>
        <w:tc>
          <w:tcPr>
            <w:tcW w:type="dxa" w:w="8856"/>
            <w:shd w:val="clear" w:color="auto" w:fill="F7FCFC"/>
          </w:tcPr>
          <w:p>
            <w:pPr>
              <w:jc w:val="left"/>
            </w:pPr>
            <w:r>
              <w:rPr>
                <w:b w:val="0"/>
                <w:i w:val="0"/>
                <w:sz w:val="18"/>
              </w:rPr>
              <w:t xml:space="preserve">  · Read out the Variant Summary card (standard path %, exception rate, biggest TAT driver)</w:t>
            </w:r>
          </w:p>
        </w:tc>
      </w:tr>
    </w:tbl>
    <w:tbl>
      <w:tblPr>
        <w:tblW w:type="auto" w:w="0"/>
        <w:tblLook w:firstColumn="1" w:firstRow="1" w:lastColumn="0" w:lastRow="0" w:noHBand="0" w:noVBand="1" w:val="04A0"/>
      </w:tblPr>
      <w:tblGrid>
        <w:gridCol w:w="9746"/>
      </w:tblGrid>
      <w:tr>
        <w:tc>
          <w:tcPr>
            <w:tcW w:type="dxa" w:w="9746"/>
            <w:shd w:val="clear" w:color="auto" w:fill="FFFBEB"/>
            <w:tcBorders>
              <w:left w:val="single" w:sz="12" w:space="0" w:color="D97706"/>
            </w:tcBorders>
          </w:tcPr>
          <w:p>
            <w:r>
              <w:rPr>
                <w:b/>
                <w:i w:val="0"/>
                <w:color w:val="D97706"/>
                <w:sz w:val="17"/>
              </w:rPr>
              <w:t xml:space="preserve">Tips:  </w:t>
            </w:r>
            <w:r>
              <w:rPr>
                <w:b w:val="0"/>
                <w:i w:val="0"/>
                <w:color w:val="783500"/>
                <w:sz w:val="17"/>
              </w:rPr>
              <w:t>Second click on the same upload returns workflows instantly (cached per document hash)  |  If you only have a few minutes, demo Workflows AFTER Dashboard — the customer arrives at this card already understanding the bigger picture</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9  </w:t>
            </w:r>
            <w:r>
              <w:rPr>
                <w:b w:val="0"/>
                <w:i w:val="0"/>
                <w:color w:val="A7D4D4"/>
                <w:sz w:val="20"/>
              </w:rPr>
              <w:t>Conformance Checker (file upload OR live operational data)</w:t>
            </w:r>
          </w:p>
        </w:tc>
        <w:tc>
          <w:tcPr>
            <w:tcW w:type="dxa" w:w="2880"/>
            <w:shd w:val="clear" w:color="auto" w:fill="036868"/>
          </w:tcPr>
          <w:p>
            <w:pPr>
              <w:jc w:val="right"/>
            </w:pPr>
            <w:r>
              <w:rPr>
                <w:b w:val="0"/>
                <w:i w:val="0"/>
                <w:color w:val="A7D4D4"/>
                <w:sz w:val="18"/>
              </w:rPr>
              <w:t>≈ 3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the shield icon in sidebar (Conformance tab)</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"Conformance is where the engine moves from understanding to auditing. We have the SOP as our source of truth. Now we ask: did reality match it?"</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OPTION A — file upload (the classic flow):</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"Two ways to feed in 'reality': drop in an audit report, or use the live operational data we already have in SQLite."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 xml:space="preserve">  · Click Choose File → select loan_audit_report.docx</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 xml:space="preserve">  · Click Run Conformance Check (~35 seconds)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5</w:t>
            </w:r>
          </w:p>
        </w:tc>
        <w:tc>
          <w:tcPr>
            <w:tcW w:type="dxa" w:w="8856"/>
            <w:shd w:val="clear" w:color="auto" w:fill="F7FCFC"/>
          </w:tcPr>
          <w:p>
            <w:pPr>
              <w:jc w:val="left"/>
            </w:pPr>
            <w:r>
              <w:rPr>
                <w:b w:val="0"/>
                <w:i w:val="0"/>
                <w:sz w:val="18"/>
              </w:rPr>
              <w:t>OPTION B — live operational data (the new flow):</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6</w:t>
            </w:r>
          </w:p>
        </w:tc>
        <w:tc>
          <w:tcPr>
            <w:tcW w:type="dxa" w:w="8856"/>
            <w:shd w:val="clear" w:color="auto" w:fill="F7FCFC"/>
          </w:tcPr>
          <w:p>
            <w:pPr>
              <w:jc w:val="left"/>
            </w:pPr>
            <w:r>
              <w:rPr>
                <w:b w:val="0"/>
                <w:i w:val="0"/>
                <w:sz w:val="18"/>
              </w:rPr>
              <w:t xml:space="preserve">  · Below the drop zone, click 'Use live operational data instead'</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"Both paths run through the SAME conformance pipeline — Sonnet checks every node against the evidence and tags it Confirmed, Deviated, or Not Found. The live-data path is the demo killer for stakeholders who don't have an audit report to upload."</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7</w:t>
            </w:r>
          </w:p>
        </w:tc>
        <w:tc>
          <w:tcPr>
            <w:tcW w:type="dxa" w:w="8856"/>
            <w:shd w:val="clear" w:color="auto" w:fill="F7FCFC"/>
          </w:tcPr>
          <w:p>
            <w:pPr>
              <w:jc w:val="left"/>
            </w:pPr>
            <w:r>
              <w:rPr>
                <w:b w:val="0"/>
                <w:i w:val="0"/>
                <w:sz w:val="18"/>
              </w:rPr>
              <w:t xml:space="preserve">  · The engine builds a synthetic evidence document from the SQLite operational store and runs analysis</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8</w:t>
            </w:r>
          </w:p>
        </w:tc>
        <w:tc>
          <w:tcPr>
            <w:tcW w:type="dxa" w:w="8856"/>
            <w:shd w:val="clear" w:color="auto" w:fill="F7FCFC"/>
          </w:tcPr>
          <w:p>
            <w:pPr>
              <w:jc w:val="left"/>
            </w:pPr>
            <w:r>
              <w:rPr>
                <w:b w:val="0"/>
                <w:i w:val="0"/>
                <w:sz w:val="18"/>
              </w:rPr>
              <w:t>Either way: point to conformance rate (~47% on the audit doc, similar on live data)</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9</w:t>
            </w:r>
          </w:p>
        </w:tc>
        <w:tc>
          <w:tcPr>
            <w:tcW w:type="dxa" w:w="8856"/>
            <w:shd w:val="clear" w:color="auto" w:fill="F7FCFC"/>
          </w:tcPr>
          <w:p>
            <w:pPr>
              <w:jc w:val="left"/>
            </w:pPr>
            <w:r>
              <w:rPr>
                <w:b w:val="0"/>
                <w:i w:val="0"/>
                <w:sz w:val="18"/>
              </w:rPr>
              <w:t>Click Show All Overlays → colour-coded graph visible</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"47% conformance on the audit doc — more than half the process wasn't followed correctly. The engine found that automatically; no human had to read both documents and cross-reference."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10</w:t>
            </w:r>
          </w:p>
        </w:tc>
        <w:tc>
          <w:tcPr>
            <w:tcW w:type="dxa" w:w="8856"/>
            <w:shd w:val="clear" w:color="auto" w:fill="F7FCFC"/>
          </w:tcPr>
          <w:p>
            <w:pPr>
              <w:jc w:val="left"/>
            </w:pPr>
            <w:r>
              <w:rPr>
                <w:b w:val="0"/>
                <w:i w:val="0"/>
                <w:sz w:val="18"/>
              </w:rPr>
              <w:t>Click a red deviation card → graph highlight + evidence excerpt in detail panel</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"Every deviation links to a specific node and quotes the exact evidence."</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10  </w:t>
            </w:r>
            <w:r>
              <w:rPr>
                <w:b w:val="0"/>
                <w:i w:val="0"/>
                <w:color w:val="A7D4D4"/>
                <w:sz w:val="20"/>
              </w:rPr>
              <w:t>Object Model  (optional)</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Object Model nav</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Wait ~40s for first generation (cached after that)</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object model is the bridge from understanding to building. The Discovery Engine generates the data schema — Pydantic models, JSON Schema, and a visual entity diagram — that an application built on this process would need. This is an early signal of what the ALM will produce."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Show Pydantic tab, JSON Schema tab, then Entity Diagram tab</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Click Copy on the Pydantic tab</w:t>
            </w:r>
          </w:p>
        </w:tc>
      </w:tr>
    </w:tbl>
    <w:p/>
    <w:tbl>
      <w:tblPr>
        <w:tblW w:type="auto" w:w="0"/>
        <w:tblLook w:firstColumn="1" w:firstRow="1" w:lastColumn="0" w:lastRow="0" w:noHBand="0" w:noVBand="1" w:val="04A0"/>
      </w:tblPr>
      <w:tblGrid>
        <w:gridCol w:w="4873"/>
        <w:gridCol w:w="4873"/>
      </w:tblGrid>
      <w:tr>
        <w:tc>
          <w:tcPr>
            <w:tcW w:type="dxa" w:w="6480"/>
            <w:shd w:val="clear" w:color="auto" w:fill="036868"/>
          </w:tcPr>
          <w:p>
            <w:r>
              <w:rPr>
                <w:b/>
                <w:i w:val="0"/>
                <w:color w:val="FFFFFF"/>
                <w:sz w:val="20"/>
              </w:rPr>
              <w:t xml:space="preserve">Step 11  </w:t>
            </w:r>
            <w:r>
              <w:rPr>
                <w:b w:val="0"/>
                <w:i w:val="0"/>
                <w:color w:val="A7D4D4"/>
                <w:sz w:val="20"/>
              </w:rPr>
              <w:t>Generate Executive Report  (the finale)</w:t>
            </w:r>
          </w:p>
        </w:tc>
        <w:tc>
          <w:tcPr>
            <w:tcW w:type="dxa" w:w="2880"/>
            <w:shd w:val="clear" w:color="auto" w:fill="036868"/>
          </w:tcPr>
          <w:p>
            <w:pPr>
              <w:jc w:val="right"/>
            </w:pPr>
            <w:r>
              <w:rPr>
                <w:b w:val="0"/>
                <w:i w:val="0"/>
                <w:color w:val="A7D4D4"/>
                <w:sz w:val="18"/>
              </w:rPr>
              <w:t>≈ 1 min</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1</w:t>
            </w:r>
          </w:p>
        </w:tc>
        <w:tc>
          <w:tcPr>
            <w:tcW w:type="dxa" w:w="8856"/>
            <w:shd w:val="clear" w:color="auto" w:fill="F7FCFC"/>
          </w:tcPr>
          <w:p>
            <w:pPr>
              <w:jc w:val="left"/>
            </w:pPr>
            <w:r>
              <w:rPr>
                <w:b w:val="0"/>
                <w:i w:val="0"/>
                <w:sz w:val="18"/>
              </w:rPr>
              <w:t>Click 'Generate Report' in the top-right of the header</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2</w:t>
            </w:r>
          </w:p>
        </w:tc>
        <w:tc>
          <w:tcPr>
            <w:tcW w:type="dxa" w:w="8856"/>
            <w:shd w:val="clear" w:color="auto" w:fill="F7FCFC"/>
          </w:tcPr>
          <w:p>
            <w:pPr>
              <w:jc w:val="left"/>
            </w:pPr>
            <w:r>
              <w:rPr>
                <w:b w:val="0"/>
                <w:i w:val="0"/>
                <w:sz w:val="18"/>
              </w:rPr>
              <w:t>A new tab opens with a brand-styled HTML page</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"Everything we've shown for the last fifteen minutes — the graph, the workflows, the ROI numbers, the cross-document gaps, the conformance rate, the operational data — gets bundled into a single executive report you can email to a CIO or steering committee."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3</w:t>
            </w:r>
          </w:p>
        </w:tc>
        <w:tc>
          <w:tcPr>
            <w:tcW w:type="dxa" w:w="8856"/>
            <w:shd w:val="clear" w:color="auto" w:fill="F7FCFC"/>
          </w:tcPr>
          <w:p>
            <w:pPr>
              <w:jc w:val="left"/>
            </w:pPr>
            <w:r>
              <w:rPr>
                <w:b w:val="0"/>
                <w:i w:val="0"/>
                <w:sz w:val="18"/>
              </w:rPr>
              <w:t>Scroll the recipient through the sections quickly: hero, source documents, executive summary, top issues, cross-document insights, workflow opportunities (with a total annual ROI roll-up), gap analysis, conformance, live data</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"No new AI calls were made to compose this report. It's pure aggregation of state we already produced. That's the discipline — every fact in this document already lives somewhere in the engine."</w:t>
            </w:r>
          </w:p>
        </w:tc>
      </w:tr>
    </w:tbl>
    <w:tbl>
      <w:tblPr>
        <w:tblStyle w:val="TableGrid"/>
        <w:tblW w:type="auto" w:w="0"/>
        <w:tblLook w:firstColumn="1" w:firstRow="1" w:lastColumn="0" w:lastRow="0" w:noHBand="0" w:noVBand="1" w:val="04A0"/>
      </w:tblPr>
      <w:tblGrid>
        <w:gridCol w:w="4873"/>
        <w:gridCol w:w="4873"/>
      </w:tblGrid>
      <w:tr>
        <w:tc>
          <w:tcPr>
            <w:tcW w:type="dxa" w:w="504"/>
            <w:shd w:val="clear" w:color="auto" w:fill="E6F4F4"/>
          </w:tcPr>
          <w:p>
            <w:pPr>
              <w:jc w:val="center"/>
            </w:pPr>
            <w:r>
              <w:rPr>
                <w:b/>
                <w:i w:val="0"/>
                <w:color w:val="036868"/>
                <w:sz w:val="18"/>
              </w:rPr>
              <w:t>4</w:t>
            </w:r>
          </w:p>
        </w:tc>
        <w:tc>
          <w:tcPr>
            <w:tcW w:type="dxa" w:w="8856"/>
            <w:shd w:val="clear" w:color="auto" w:fill="F7FCFC"/>
          </w:tcPr>
          <w:p>
            <w:pPr>
              <w:jc w:val="left"/>
            </w:pPr>
            <w:r>
              <w:rPr>
                <w:b w:val="0"/>
                <w:i w:val="0"/>
                <w:sz w:val="18"/>
              </w:rPr>
              <w:t>Click the floating 'Save as PDF / Print' button (or Ctrl+P) → save</w:t>
            </w:r>
          </w:p>
        </w:tc>
      </w:tr>
    </w:tbl>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b w:val="0"/>
                <w:i/>
                <w:color w:val="024F4F"/>
                <w:sz w:val="18"/>
              </w:rPr>
              <w:t>Say:  "The report is print-styled — Ctrl+P saves it as a PDF. Customers walk out of the room with the engine's findings in their inbox before the demo's even over."</w:t>
            </w:r>
          </w:p>
        </w:tc>
      </w:tr>
    </w:tbl>
    <w:tbl>
      <w:tblPr>
        <w:tblW w:type="auto" w:w="0"/>
        <w:tblLook w:firstColumn="1" w:firstRow="1" w:lastColumn="0" w:lastRow="0" w:noHBand="0" w:noVBand="1" w:val="04A0"/>
      </w:tblPr>
      <w:tblGrid>
        <w:gridCol w:w="9746"/>
      </w:tblGrid>
      <w:tr>
        <w:tc>
          <w:tcPr>
            <w:tcW w:type="dxa" w:w="9746"/>
            <w:shd w:val="clear" w:color="auto" w:fill="FFFBEB"/>
            <w:tcBorders>
              <w:left w:val="single" w:sz="12" w:space="0" w:color="D97706"/>
            </w:tcBorders>
          </w:tcPr>
          <w:p>
            <w:r>
              <w:rPr>
                <w:b/>
                <w:i w:val="0"/>
                <w:color w:val="D97706"/>
                <w:sz w:val="17"/>
              </w:rPr>
              <w:t xml:space="preserve">Tips:  </w:t>
            </w:r>
            <w:r>
              <w:rPr>
                <w:b w:val="0"/>
                <w:i w:val="0"/>
                <w:color w:val="783500"/>
                <w:sz w:val="17"/>
              </w:rPr>
              <w:t>If you only have one slide to leave behind, this PDF is it  |  The button is disabled until a graph has been extracted — extract first</w:t>
            </w:r>
          </w:p>
        </w:tc>
      </w:tr>
    </w:tbl>
    <w:p/>
    <w:p>
      <w:pPr>
        <w:spacing w:before="320" w:after="40"/>
        <w:pBdr>
          <w:top w:val="single" w:sz="4" w:space="4" w:color="036868"/>
        </w:pBdr>
      </w:pPr>
      <w:r>
        <w:rPr>
          <w:b/>
          <w:color w:val="036868"/>
          <w:sz w:val="16"/>
        </w:rPr>
        <w:t>CLOSING LINE</w:t>
      </w:r>
    </w:p>
    <w:p/>
    <w:tbl>
      <w:tblPr>
        <w:tblW w:type="auto" w:w="0"/>
        <w:tblLook w:firstColumn="1" w:firstRow="1" w:lastColumn="0" w:lastRow="0" w:noHBand="0" w:noVBand="1" w:val="04A0"/>
      </w:tblPr>
      <w:tblGrid>
        <w:gridCol w:w="9746"/>
      </w:tblGrid>
      <w:tr>
        <w:tc>
          <w:tcPr>
            <w:tcW w:type="dxa" w:w="9746"/>
            <w:shd w:val="clear" w:color="auto" w:fill="F0FAFA"/>
            <w:tcBorders>
              <w:left w:val="single" w:sz="12" w:space="0" w:color="036868"/>
            </w:tcBorders>
          </w:tcPr>
          <w:p>
            <w:r>
              <w:rPr>
                <w:i/>
                <w:color w:val="024F4F"/>
                <w:sz w:val="20"/>
              </w:rPr>
              <w:t>"In about fifteen minutes we went from four Word documents to a unified knowledge graph, a cross-document gap analysis, an executive dashboard, automation workflows with defensible ROI numbers, process variants validated against real operational data, a conformance audit, a data model, and a printable executive report — all from documents the customer already has. That's the Discovery Engine. Understand your organisation before building anything. It's the foundation everything else in Metafore sits on."</w:t>
            </w:r>
          </w:p>
        </w:tc>
      </w:tr>
    </w:tbl>
    <w:p/>
    <w:p>
      <w:pPr>
        <w:spacing w:before="320" w:after="40"/>
        <w:pBdr>
          <w:top w:val="single" w:sz="4" w:space="4" w:color="036868"/>
        </w:pBdr>
      </w:pPr>
      <w:r>
        <w:rPr>
          <w:b/>
          <w:color w:val="036868"/>
          <w:sz w:val="16"/>
        </w:rPr>
        <w:t>PRESENTER TIPS</w:t>
      </w:r>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i w:val="0"/>
                <w:color w:val="024F4F"/>
                <w:sz w:val="18"/>
              </w:rPr>
              <w:t>If a Claude call fails</w:t>
            </w:r>
          </w:p>
        </w:tc>
        <w:tc>
          <w:tcPr>
            <w:tcW w:type="dxa" w:w="4873"/>
            <w:shd w:val="clear" w:color="auto" w:fill="E6F4F4"/>
          </w:tcPr>
          <w:p>
            <w:pPr>
              <w:jc w:val="left"/>
            </w:pPr>
            <w:r>
              <w:rPr>
                <w:b w:val="0"/>
                <w:i w:val="0"/>
                <w:sz w:val="18"/>
              </w:rPr>
              <w:t>Skip to the next feature — Gap Analysis and Pulse work instantly with no API calls.</w:t>
            </w:r>
          </w:p>
        </w:tc>
      </w:tr>
      <w:tr>
        <w:tc>
          <w:tcPr>
            <w:tcW w:type="dxa" w:w="4873"/>
            <w:shd w:val="clear" w:color="auto" w:fill="FFFFFF"/>
          </w:tcPr>
          <w:p>
            <w:pPr>
              <w:jc w:val="left"/>
            </w:pPr>
            <w:r>
              <w:rPr>
                <w:b/>
                <w:i w:val="0"/>
                <w:color w:val="024F4F"/>
                <w:sz w:val="18"/>
              </w:rPr>
              <w:t>Graph zoom</w:t>
            </w:r>
          </w:p>
        </w:tc>
        <w:tc>
          <w:tcPr>
            <w:tcW w:type="dxa" w:w="4873"/>
            <w:shd w:val="clear" w:color="auto" w:fill="FFFFFF"/>
          </w:tcPr>
          <w:p>
            <w:pPr>
              <w:jc w:val="left"/>
            </w:pPr>
            <w:r>
              <w:rPr>
                <w:b w:val="0"/>
                <w:i w:val="0"/>
                <w:sz w:val="18"/>
              </w:rPr>
              <w:t>The graph looks more impressive zoomed into dense clusters — use the scroll wheel.</w:t>
            </w:r>
          </w:p>
        </w:tc>
      </w:tr>
      <w:tr>
        <w:tc>
          <w:tcPr>
            <w:tcW w:type="dxa" w:w="4873"/>
            <w:shd w:val="clear" w:color="auto" w:fill="E6F4F4"/>
          </w:tcPr>
          <w:p>
            <w:pPr>
              <w:jc w:val="left"/>
            </w:pPr>
            <w:r>
              <w:rPr>
                <w:b/>
                <w:i w:val="0"/>
                <w:color w:val="024F4F"/>
                <w:sz w:val="18"/>
              </w:rPr>
              <w:t>Conformance deviations</w:t>
            </w:r>
          </w:p>
        </w:tc>
        <w:tc>
          <w:tcPr>
            <w:tcW w:type="dxa" w:w="4873"/>
            <w:shd w:val="clear" w:color="auto" w:fill="E6F4F4"/>
          </w:tcPr>
          <w:p>
            <w:pPr>
              <w:jc w:val="left"/>
            </w:pPr>
            <w:r>
              <w:rPr>
                <w:b w:val="0"/>
                <w:i w:val="0"/>
                <w:sz w:val="18"/>
              </w:rPr>
              <w:t>The banking documents surface real named deviations — let the red cards do the talking.</w:t>
            </w:r>
          </w:p>
        </w:tc>
      </w:tr>
      <w:tr>
        <w:tc>
          <w:tcPr>
            <w:tcW w:type="dxa" w:w="4873"/>
            <w:shd w:val="clear" w:color="auto" w:fill="FFFFFF"/>
          </w:tcPr>
          <w:p>
            <w:pPr>
              <w:jc w:val="left"/>
            </w:pPr>
            <w:r>
              <w:rPr>
                <w:b/>
                <w:i w:val="0"/>
                <w:color w:val="024F4F"/>
                <w:sz w:val="18"/>
              </w:rPr>
              <w:t>Reset between demos</w:t>
            </w:r>
          </w:p>
        </w:tc>
        <w:tc>
          <w:tcPr>
            <w:tcW w:type="dxa" w:w="4873"/>
            <w:shd w:val="clear" w:color="auto" w:fill="FFFFFF"/>
          </w:tcPr>
          <w:p>
            <w:pPr>
              <w:jc w:val="left"/>
            </w:pPr>
            <w:r>
              <w:rPr>
                <w:b w:val="0"/>
                <w:i w:val="0"/>
                <w:sz w:val="18"/>
              </w:rPr>
              <w:t>Click the Reset button — it clears all state cleanly in one click.</w:t>
            </w:r>
          </w:p>
        </w:tc>
      </w:tr>
      <w:tr>
        <w:tc>
          <w:tcPr>
            <w:tcW w:type="dxa" w:w="4873"/>
            <w:shd w:val="clear" w:color="auto" w:fill="E6F4F4"/>
          </w:tcPr>
          <w:p>
            <w:pPr>
              <w:jc w:val="left"/>
            </w:pPr>
            <w:r>
              <w:rPr>
                <w:b/>
                <w:i w:val="0"/>
                <w:color w:val="024F4F"/>
                <w:sz w:val="18"/>
              </w:rPr>
              <w:t>Workflow cache</w:t>
            </w:r>
          </w:p>
        </w:tc>
        <w:tc>
          <w:tcPr>
            <w:tcW w:type="dxa" w:w="4873"/>
            <w:shd w:val="clear" w:color="auto" w:fill="E6F4F4"/>
          </w:tcPr>
          <w:p>
            <w:pPr>
              <w:jc w:val="left"/>
            </w:pPr>
            <w:r>
              <w:rPr>
                <w:b w:val="0"/>
                <w:i w:val="0"/>
                <w:sz w:val="18"/>
              </w:rPr>
              <w:t>Second upload of the same file returns workflows instantly — no wait time.</w:t>
            </w:r>
          </w:p>
        </w:tc>
      </w:tr>
    </w:tbl>
    <w:p/>
    <w:p>
      <w:pPr>
        <w:spacing w:before="320" w:after="40"/>
        <w:pBdr>
          <w:top w:val="single" w:sz="4" w:space="4" w:color="036868"/>
        </w:pBdr>
      </w:pPr>
      <w:r>
        <w:rPr>
          <w:b/>
          <w:color w:val="036868"/>
          <w:sz w:val="16"/>
        </w:rPr>
        <w:t>QUICK REFERENCE — WHAT EACH FEATURE SHOWS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36868"/>
          </w:tcPr>
          <w:p>
            <w:pPr>
              <w:jc w:val="left"/>
            </w:pPr>
            <w:r>
              <w:rPr>
                <w:b/>
                <w:i w:val="0"/>
                <w:color w:val="FFFFFF"/>
                <w:sz w:val="18"/>
              </w:rPr>
              <w:t>Feature</w:t>
            </w:r>
          </w:p>
        </w:tc>
        <w:tc>
          <w:tcPr>
            <w:tcW w:type="dxa" w:w="2436"/>
            <w:shd w:val="clear" w:color="auto" w:fill="036868"/>
          </w:tcPr>
          <w:p>
            <w:pPr>
              <w:jc w:val="left"/>
            </w:pPr>
            <w:r>
              <w:rPr>
                <w:b/>
                <w:i w:val="0"/>
                <w:color w:val="FFFFFF"/>
                <w:sz w:val="18"/>
              </w:rPr>
              <w:t>Key Message</w:t>
            </w:r>
          </w:p>
        </w:tc>
        <w:tc>
          <w:tcPr>
            <w:tcW w:type="dxa" w:w="2436"/>
            <w:shd w:val="clear" w:color="auto" w:fill="036868"/>
          </w:tcPr>
          <w:p>
            <w:pPr>
              <w:jc w:val="left"/>
            </w:pPr>
            <w:r>
              <w:rPr>
                <w:b/>
                <w:i w:val="0"/>
                <w:color w:val="FFFFFF"/>
                <w:sz w:val="18"/>
              </w:rPr>
              <w:t>AI Call?</w:t>
            </w:r>
          </w:p>
        </w:tc>
        <w:tc>
          <w:tcPr>
            <w:tcW w:type="dxa" w:w="2436"/>
            <w:shd w:val="clear" w:color="auto" w:fill="036868"/>
          </w:tcPr>
          <w:p>
            <w:pPr>
              <w:jc w:val="left"/>
            </w:pPr>
            <w:r>
              <w:rPr>
                <w:b/>
                <w:i w:val="0"/>
                <w:color w:val="FFFFFF"/>
                <w:sz w:val="18"/>
              </w:rPr>
              <w:t>Wait Time</w:t>
            </w:r>
          </w:p>
        </w:tc>
      </w:tr>
      <w:tr>
        <w:tc>
          <w:tcPr>
            <w:tcW w:type="dxa" w:w="2436"/>
            <w:shd w:val="clear" w:color="auto" w:fill="E6F4F4"/>
          </w:tcPr>
          <w:p>
            <w:pPr>
              <w:jc w:val="left"/>
            </w:pPr>
            <w:r>
              <w:rPr>
                <w:b/>
                <w:i w:val="0"/>
                <w:color w:val="024F4F"/>
                <w:sz w:val="18"/>
              </w:rPr>
              <w:t>Graph Extraction</w:t>
            </w:r>
          </w:p>
        </w:tc>
        <w:tc>
          <w:tcPr>
            <w:tcW w:type="dxa" w:w="2436"/>
            <w:shd w:val="clear" w:color="auto" w:fill="E6F4F4"/>
          </w:tcPr>
          <w:p>
            <w:pPr>
              <w:jc w:val="left"/>
            </w:pPr>
            <w:r>
              <w:rPr>
                <w:b w:val="0"/>
                <w:i w:val="0"/>
                <w:sz w:val="18"/>
              </w:rPr>
              <w:t>Turns documents into structured knowledge</w:t>
            </w:r>
          </w:p>
        </w:tc>
        <w:tc>
          <w:tcPr>
            <w:tcW w:type="dxa" w:w="2436"/>
            <w:shd w:val="clear" w:color="auto" w:fill="E6F4F4"/>
          </w:tcPr>
          <w:p>
            <w:pPr>
              <w:jc w:val="left"/>
            </w:pPr>
            <w:r>
              <w:rPr>
                <w:b w:val="0"/>
                <w:i w:val="0"/>
                <w:color w:val="16A34A"/>
                <w:sz w:val="18"/>
              </w:rPr>
              <w:t>Yes — Sonnet</w:t>
            </w:r>
          </w:p>
        </w:tc>
        <w:tc>
          <w:tcPr>
            <w:tcW w:type="dxa" w:w="2436"/>
            <w:shd w:val="clear" w:color="auto" w:fill="E6F4F4"/>
          </w:tcPr>
          <w:p>
            <w:pPr>
              <w:jc w:val="left"/>
            </w:pPr>
            <w:r>
              <w:rPr>
                <w:b w:val="0"/>
                <w:i w:val="0"/>
                <w:sz w:val="18"/>
              </w:rPr>
              <w:t>~40s</w:t>
            </w:r>
          </w:p>
        </w:tc>
      </w:tr>
      <w:tr>
        <w:tc>
          <w:tcPr>
            <w:tcW w:type="dxa" w:w="2436"/>
            <w:shd w:val="clear" w:color="auto" w:fill="FFFFFF"/>
          </w:tcPr>
          <w:p>
            <w:pPr>
              <w:jc w:val="left"/>
            </w:pPr>
            <w:r>
              <w:rPr>
                <w:b/>
                <w:i w:val="0"/>
                <w:color w:val="024F4F"/>
                <w:sz w:val="18"/>
              </w:rPr>
              <w:t>Gap Analysis</w:t>
            </w:r>
          </w:p>
        </w:tc>
        <w:tc>
          <w:tcPr>
            <w:tcW w:type="dxa" w:w="2436"/>
            <w:shd w:val="clear" w:color="auto" w:fill="FFFFFF"/>
          </w:tcPr>
          <w:p>
            <w:pPr>
              <w:jc w:val="left"/>
            </w:pPr>
            <w:r>
              <w:rPr>
                <w:b w:val="0"/>
                <w:i w:val="0"/>
                <w:sz w:val="18"/>
              </w:rPr>
              <w:t>Structural audit — no AI needed</w:t>
            </w:r>
          </w:p>
        </w:tc>
        <w:tc>
          <w:tcPr>
            <w:tcW w:type="dxa" w:w="2436"/>
            <w:shd w:val="clear" w:color="auto" w:fill="FFFFFF"/>
          </w:tcPr>
          <w:p>
            <w:pPr>
              <w:jc w:val="left"/>
            </w:pPr>
            <w:r>
              <w:rPr>
                <w:b w:val="0"/>
                <w:i w:val="0"/>
                <w:color w:val="6B7280"/>
                <w:sz w:val="18"/>
              </w:rPr>
              <w:t>No</w:t>
            </w:r>
          </w:p>
        </w:tc>
        <w:tc>
          <w:tcPr>
            <w:tcW w:type="dxa" w:w="2436"/>
            <w:shd w:val="clear" w:color="auto" w:fill="FFFFFF"/>
          </w:tcPr>
          <w:p>
            <w:pPr>
              <w:jc w:val="left"/>
            </w:pPr>
            <w:r>
              <w:rPr>
                <w:b w:val="0"/>
                <w:i w:val="0"/>
                <w:sz w:val="18"/>
              </w:rPr>
              <w:t>Instant</w:t>
            </w:r>
          </w:p>
        </w:tc>
      </w:tr>
      <w:tr>
        <w:tc>
          <w:tcPr>
            <w:tcW w:type="dxa" w:w="2436"/>
            <w:shd w:val="clear" w:color="auto" w:fill="E6F4F4"/>
          </w:tcPr>
          <w:p>
            <w:pPr>
              <w:jc w:val="left"/>
            </w:pPr>
            <w:r>
              <w:rPr>
                <w:b/>
                <w:i w:val="0"/>
                <w:color w:val="024F4F"/>
                <w:sz w:val="18"/>
              </w:rPr>
              <w:t>Blueprint</w:t>
            </w:r>
          </w:p>
        </w:tc>
        <w:tc>
          <w:tcPr>
            <w:tcW w:type="dxa" w:w="2436"/>
            <w:shd w:val="clear" w:color="auto" w:fill="E6F4F4"/>
          </w:tcPr>
          <w:p>
            <w:pPr>
              <w:jc w:val="left"/>
            </w:pPr>
            <w:r>
              <w:rPr>
                <w:b w:val="0"/>
                <w:i w:val="0"/>
                <w:sz w:val="18"/>
              </w:rPr>
              <w:t>Actionable improvement plan</w:t>
            </w:r>
          </w:p>
        </w:tc>
        <w:tc>
          <w:tcPr>
            <w:tcW w:type="dxa" w:w="2436"/>
            <w:shd w:val="clear" w:color="auto" w:fill="E6F4F4"/>
          </w:tcPr>
          <w:p>
            <w:pPr>
              <w:jc w:val="left"/>
            </w:pPr>
            <w:r>
              <w:rPr>
                <w:b w:val="0"/>
                <w:i w:val="0"/>
                <w:color w:val="16A34A"/>
                <w:sz w:val="18"/>
              </w:rPr>
              <w:t>Yes — Haiku</w:t>
            </w:r>
          </w:p>
        </w:tc>
        <w:tc>
          <w:tcPr>
            <w:tcW w:type="dxa" w:w="2436"/>
            <w:shd w:val="clear" w:color="auto" w:fill="E6F4F4"/>
          </w:tcPr>
          <w:p>
            <w:pPr>
              <w:jc w:val="left"/>
            </w:pPr>
            <w:r>
              <w:rPr>
                <w:b w:val="0"/>
                <w:i w:val="0"/>
                <w:sz w:val="18"/>
              </w:rPr>
              <w:t>~7s</w:t>
            </w:r>
          </w:p>
        </w:tc>
      </w:tr>
      <w:tr>
        <w:tc>
          <w:tcPr>
            <w:tcW w:type="dxa" w:w="2436"/>
            <w:shd w:val="clear" w:color="auto" w:fill="FFFFFF"/>
          </w:tcPr>
          <w:p>
            <w:pPr>
              <w:jc w:val="left"/>
            </w:pPr>
            <w:r>
              <w:rPr>
                <w:b/>
                <w:i w:val="0"/>
                <w:color w:val="024F4F"/>
                <w:sz w:val="18"/>
              </w:rPr>
              <w:t>Pulse</w:t>
            </w:r>
          </w:p>
        </w:tc>
        <w:tc>
          <w:tcPr>
            <w:tcW w:type="dxa" w:w="2436"/>
            <w:shd w:val="clear" w:color="auto" w:fill="FFFFFF"/>
          </w:tcPr>
          <w:p>
            <w:pPr>
              <w:jc w:val="left"/>
            </w:pPr>
            <w:r>
              <w:rPr>
                <w:b w:val="0"/>
                <w:i w:val="0"/>
                <w:sz w:val="18"/>
              </w:rPr>
              <w:t>Prioritised action queue</w:t>
            </w:r>
          </w:p>
        </w:tc>
        <w:tc>
          <w:tcPr>
            <w:tcW w:type="dxa" w:w="2436"/>
            <w:shd w:val="clear" w:color="auto" w:fill="FFFFFF"/>
          </w:tcPr>
          <w:p>
            <w:pPr>
              <w:jc w:val="left"/>
            </w:pPr>
            <w:r>
              <w:rPr>
                <w:b w:val="0"/>
                <w:i w:val="0"/>
                <w:color w:val="6B7280"/>
                <w:sz w:val="18"/>
              </w:rPr>
              <w:t>No (rule-based)</w:t>
            </w:r>
          </w:p>
        </w:tc>
        <w:tc>
          <w:tcPr>
            <w:tcW w:type="dxa" w:w="2436"/>
            <w:shd w:val="clear" w:color="auto" w:fill="FFFFFF"/>
          </w:tcPr>
          <w:p>
            <w:pPr>
              <w:jc w:val="left"/>
            </w:pPr>
            <w:r>
              <w:rPr>
                <w:b w:val="0"/>
                <w:i w:val="0"/>
                <w:sz w:val="18"/>
              </w:rPr>
              <w:t>Instant</w:t>
            </w:r>
          </w:p>
        </w:tc>
      </w:tr>
      <w:tr>
        <w:tc>
          <w:tcPr>
            <w:tcW w:type="dxa" w:w="2436"/>
            <w:shd w:val="clear" w:color="auto" w:fill="E6F4F4"/>
          </w:tcPr>
          <w:p>
            <w:pPr>
              <w:jc w:val="left"/>
            </w:pPr>
            <w:r>
              <w:rPr>
                <w:b/>
                <w:i w:val="0"/>
                <w:color w:val="024F4F"/>
                <w:sz w:val="18"/>
              </w:rPr>
              <w:t>NLQ</w:t>
            </w:r>
          </w:p>
        </w:tc>
        <w:tc>
          <w:tcPr>
            <w:tcW w:type="dxa" w:w="2436"/>
            <w:shd w:val="clear" w:color="auto" w:fill="E6F4F4"/>
          </w:tcPr>
          <w:p>
            <w:pPr>
              <w:jc w:val="left"/>
            </w:pPr>
            <w:r>
              <w:rPr>
                <w:b w:val="0"/>
                <w:i w:val="0"/>
                <w:sz w:val="18"/>
              </w:rPr>
              <w:t>Plain English queries, grounded answers</w:t>
            </w:r>
          </w:p>
        </w:tc>
        <w:tc>
          <w:tcPr>
            <w:tcW w:type="dxa" w:w="2436"/>
            <w:shd w:val="clear" w:color="auto" w:fill="E6F4F4"/>
          </w:tcPr>
          <w:p>
            <w:pPr>
              <w:jc w:val="left"/>
            </w:pPr>
            <w:r>
              <w:rPr>
                <w:b w:val="0"/>
                <w:i w:val="0"/>
                <w:color w:val="16A34A"/>
                <w:sz w:val="18"/>
              </w:rPr>
              <w:t>Yes — Haiku</w:t>
            </w:r>
          </w:p>
        </w:tc>
        <w:tc>
          <w:tcPr>
            <w:tcW w:type="dxa" w:w="2436"/>
            <w:shd w:val="clear" w:color="auto" w:fill="E6F4F4"/>
          </w:tcPr>
          <w:p>
            <w:pPr>
              <w:jc w:val="left"/>
            </w:pPr>
            <w:r>
              <w:rPr>
                <w:b w:val="0"/>
                <w:i w:val="0"/>
                <w:sz w:val="18"/>
              </w:rPr>
              <w:t>~5s</w:t>
            </w:r>
          </w:p>
        </w:tc>
      </w:tr>
      <w:tr>
        <w:tc>
          <w:tcPr>
            <w:tcW w:type="dxa" w:w="2436"/>
            <w:shd w:val="clear" w:color="auto" w:fill="FFFFFF"/>
          </w:tcPr>
          <w:p>
            <w:pPr>
              <w:jc w:val="left"/>
            </w:pPr>
            <w:r>
              <w:rPr>
                <w:b/>
                <w:i w:val="0"/>
                <w:color w:val="024F4F"/>
                <w:sz w:val="18"/>
              </w:rPr>
              <w:t>Workflow Generation</w:t>
            </w:r>
          </w:p>
        </w:tc>
        <w:tc>
          <w:tcPr>
            <w:tcW w:type="dxa" w:w="2436"/>
            <w:shd w:val="clear" w:color="auto" w:fill="FFFFFF"/>
          </w:tcPr>
          <w:p>
            <w:pPr>
              <w:jc w:val="left"/>
            </w:pPr>
            <w:r>
              <w:rPr>
                <w:b w:val="0"/>
                <w:i w:val="0"/>
                <w:sz w:val="18"/>
              </w:rPr>
              <w:t>AS-IS vs TO-BE automation roadmap</w:t>
            </w:r>
          </w:p>
        </w:tc>
        <w:tc>
          <w:tcPr>
            <w:tcW w:type="dxa" w:w="2436"/>
            <w:shd w:val="clear" w:color="auto" w:fill="FFFFFF"/>
          </w:tcPr>
          <w:p>
            <w:pPr>
              <w:jc w:val="left"/>
            </w:pPr>
            <w:r>
              <w:rPr>
                <w:b w:val="0"/>
                <w:i w:val="0"/>
                <w:color w:val="16A34A"/>
                <w:sz w:val="18"/>
              </w:rPr>
              <w:t>Yes — Sonnet</w:t>
            </w:r>
          </w:p>
        </w:tc>
        <w:tc>
          <w:tcPr>
            <w:tcW w:type="dxa" w:w="2436"/>
            <w:shd w:val="clear" w:color="auto" w:fill="FFFFFF"/>
          </w:tcPr>
          <w:p>
            <w:pPr>
              <w:jc w:val="left"/>
            </w:pPr>
            <w:r>
              <w:rPr>
                <w:b w:val="0"/>
                <w:i w:val="0"/>
                <w:sz w:val="18"/>
              </w:rPr>
              <w:t>~2 min</w:t>
            </w:r>
          </w:p>
        </w:tc>
      </w:tr>
      <w:tr>
        <w:tc>
          <w:tcPr>
            <w:tcW w:type="dxa" w:w="2436"/>
            <w:shd w:val="clear" w:color="auto" w:fill="E6F4F4"/>
          </w:tcPr>
          <w:p>
            <w:pPr>
              <w:jc w:val="left"/>
            </w:pPr>
            <w:r>
              <w:rPr>
                <w:b/>
                <w:i w:val="0"/>
                <w:color w:val="024F4F"/>
                <w:sz w:val="18"/>
              </w:rPr>
              <w:t>Conformance Checker</w:t>
            </w:r>
          </w:p>
        </w:tc>
        <w:tc>
          <w:tcPr>
            <w:tcW w:type="dxa" w:w="2436"/>
            <w:shd w:val="clear" w:color="auto" w:fill="E6F4F4"/>
          </w:tcPr>
          <w:p>
            <w:pPr>
              <w:jc w:val="left"/>
            </w:pPr>
            <w:r>
              <w:rPr>
                <w:b w:val="0"/>
                <w:i w:val="0"/>
                <w:sz w:val="18"/>
              </w:rPr>
              <w:t>Audit report vs SOP — automated gap finding</w:t>
            </w:r>
          </w:p>
        </w:tc>
        <w:tc>
          <w:tcPr>
            <w:tcW w:type="dxa" w:w="2436"/>
            <w:shd w:val="clear" w:color="auto" w:fill="E6F4F4"/>
          </w:tcPr>
          <w:p>
            <w:pPr>
              <w:jc w:val="left"/>
            </w:pPr>
            <w:r>
              <w:rPr>
                <w:b w:val="0"/>
                <w:i w:val="0"/>
                <w:color w:val="16A34A"/>
                <w:sz w:val="18"/>
              </w:rPr>
              <w:t>Yes — Sonnet</w:t>
            </w:r>
          </w:p>
        </w:tc>
        <w:tc>
          <w:tcPr>
            <w:tcW w:type="dxa" w:w="2436"/>
            <w:shd w:val="clear" w:color="auto" w:fill="E6F4F4"/>
          </w:tcPr>
          <w:p>
            <w:pPr>
              <w:jc w:val="left"/>
            </w:pPr>
            <w:r>
              <w:rPr>
                <w:b w:val="0"/>
                <w:i w:val="0"/>
                <w:sz w:val="18"/>
              </w:rPr>
              <w:t>~35s</w:t>
            </w:r>
          </w:p>
        </w:tc>
      </w:tr>
      <w:tr>
        <w:tc>
          <w:tcPr>
            <w:tcW w:type="dxa" w:w="2436"/>
            <w:shd w:val="clear" w:color="auto" w:fill="FFFFFF"/>
          </w:tcPr>
          <w:p>
            <w:pPr>
              <w:jc w:val="left"/>
            </w:pPr>
            <w:r>
              <w:rPr>
                <w:b/>
                <w:i w:val="0"/>
                <w:color w:val="024F4F"/>
                <w:sz w:val="18"/>
              </w:rPr>
              <w:t>Object Model</w:t>
            </w:r>
          </w:p>
        </w:tc>
        <w:tc>
          <w:tcPr>
            <w:tcW w:type="dxa" w:w="2436"/>
            <w:shd w:val="clear" w:color="auto" w:fill="FFFFFF"/>
          </w:tcPr>
          <w:p>
            <w:pPr>
              <w:jc w:val="left"/>
            </w:pPr>
            <w:r>
              <w:rPr>
                <w:b w:val="0"/>
                <w:i w:val="0"/>
                <w:sz w:val="18"/>
              </w:rPr>
              <w:t>Schema for applications built on this domain</w:t>
            </w:r>
          </w:p>
        </w:tc>
        <w:tc>
          <w:tcPr>
            <w:tcW w:type="dxa" w:w="2436"/>
            <w:shd w:val="clear" w:color="auto" w:fill="FFFFFF"/>
          </w:tcPr>
          <w:p>
            <w:pPr>
              <w:jc w:val="left"/>
            </w:pPr>
            <w:r>
              <w:rPr>
                <w:b w:val="0"/>
                <w:i w:val="0"/>
                <w:color w:val="16A34A"/>
                <w:sz w:val="18"/>
              </w:rPr>
              <w:t>Yes — Sonnet</w:t>
            </w:r>
          </w:p>
        </w:tc>
        <w:tc>
          <w:tcPr>
            <w:tcW w:type="dxa" w:w="2436"/>
            <w:shd w:val="clear" w:color="auto" w:fill="FFFFFF"/>
          </w:tcPr>
          <w:p>
            <w:pPr>
              <w:jc w:val="left"/>
            </w:pPr>
            <w:r>
              <w:rPr>
                <w:b w:val="0"/>
                <w:i w:val="0"/>
                <w:sz w:val="18"/>
              </w:rPr>
              <w:t>~40s</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