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24F4F"/>
          </w:tcPr>
          <w:p>
            <w:pPr>
              <w:jc w:val="center"/>
            </w:pPr>
            <w:r>
              <w:rPr>
                <w:b/>
                <w:color w:val="A7D4D4"/>
                <w:sz w:val="18"/>
              </w:rPr>
              <w:t>METAFORE WORKS</w:t>
            </w:r>
          </w:p>
          <w:p>
            <w:pPr>
              <w:jc w:val="center"/>
            </w:pPr>
            <w:r>
              <w:rPr>
                <w:b/>
                <w:color w:val="FFFFFF"/>
                <w:sz w:val="48"/>
              </w:rPr>
              <w:t>Discovery Engine</w:t>
            </w:r>
          </w:p>
          <w:p>
            <w:pPr>
              <w:jc w:val="center"/>
            </w:pPr>
            <w:r>
              <w:rPr>
                <w:color w:val="A7D4D4"/>
                <w:sz w:val="26"/>
              </w:rPr>
              <w:t>Business Requirements Document</w:t>
            </w:r>
          </w:p>
          <w:p>
            <w:pPr>
              <w:jc w:val="center"/>
            </w:pPr>
            <w:r>
              <w:rPr>
                <w:color w:val="A7D4D4"/>
                <w:sz w:val="17"/>
              </w:rPr>
              <w:t>Version 1.0   |   April 2026   |   CONFIDENTIAL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2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 Title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Metafore Works Discovery Engine — Business Requirements Document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Version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1.0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April 2026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Active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Author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Metafore Works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Classification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Confidential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  </w:t>
      </w:r>
      <w:r>
        <w:rPr>
          <w:b/>
          <w:i w:val="0"/>
          <w:color w:val="024F4F"/>
          <w:sz w:val="22"/>
        </w:rPr>
        <w:t>EXECUTIVE SUMMARY</w:t>
      </w:r>
    </w:p>
    <w:p>
      <w:pPr>
        <w:spacing w:after="80"/>
      </w:pPr>
      <w:r>
        <w:rPr>
          <w:color w:val="1F2D2D"/>
          <w:sz w:val="19"/>
        </w:rPr>
        <w:t>The Metafore Works Discovery Engine is an AI-powered document intelligence platform that transforms unstructured business documents — SOPs, policies, audit reports — into structured knowledge graphs. It enables organisations to visualise process flows, identify compliance gaps, generate domain object models, and assess conformance against operating standards, all through a browser-based interface with no installation required beyond Python.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6F4F4"/>
            <w:tcBorders>
              <w:left w:val="single" w:sz="12" w:space="0" w:color="036868"/>
            </w:tcBorders>
          </w:tcPr>
          <w:p>
            <w:r>
              <w:rPr>
                <w:color w:val="024F4F"/>
                <w:sz w:val="18"/>
              </w:rPr>
              <w:t>The Discovery Engine is the foundational layer of the Metafore Works platform. It is designed to be the first step before any application build — understanding the organisation before designing for it.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2  </w:t>
      </w:r>
      <w:r>
        <w:rPr>
          <w:b/>
          <w:i w:val="0"/>
          <w:color w:val="024F4F"/>
          <w:sz w:val="22"/>
        </w:rPr>
        <w:t>BUSINESS CONTEXT AND PROBLEM STATEMENT</w:t>
      </w:r>
    </w:p>
    <w:p>
      <w:pPr>
        <w:spacing w:after="80"/>
      </w:pPr>
      <w:r>
        <w:rPr>
          <w:color w:val="1F2D2D"/>
          <w:sz w:val="19"/>
        </w:rPr>
        <w:t>Organisations accumulate large volumes of operational documentation containing rich process and governance knowledge locked in unstructured text. Extracting, relating, and acting on this knowledge currently requires significant manual analyst effort.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32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Problem</w:t>
            </w:r>
          </w:p>
        </w:tc>
        <w:tc>
          <w:tcPr>
            <w:tcW w:type="dxa" w:w="504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knowledge buried in long-form documents</w:t>
            </w:r>
          </w:p>
        </w:tc>
        <w:tc>
          <w:tcPr>
            <w:tcW w:type="dxa" w:w="504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Analysts spend days manually mapping workflows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 done manually and inconsistently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Critical compliance gaps are missed or under-reported</w:t>
            </w:r>
          </w:p>
        </w:tc>
      </w:tr>
      <w:tr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models created from scratch each time</w:t>
            </w:r>
          </w:p>
        </w:tc>
        <w:tc>
          <w:tcPr>
            <w:tcW w:type="dxa" w:w="504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model rework delays system design phases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 automated conformance checking against SOPs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findings remain disconnected from source procedures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3  </w:t>
      </w:r>
      <w:r>
        <w:rPr>
          <w:b/>
          <w:i w:val="0"/>
          <w:color w:val="024F4F"/>
          <w:sz w:val="22"/>
        </w:rPr>
        <w:t>OBJECTIVES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1.  </w:t>
      </w:r>
      <w:r>
        <w:rPr>
          <w:b w:val="0"/>
          <w:i w:val="0"/>
          <w:color w:val="1F2D2D"/>
          <w:sz w:val="19"/>
        </w:rPr>
        <w:t>Extract a structured knowledge graph from any uploaded business document in under 60 seconds.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2.  </w:t>
      </w:r>
      <w:r>
        <w:rPr>
          <w:b w:val="0"/>
          <w:i w:val="0"/>
          <w:color w:val="1F2D2D"/>
          <w:sz w:val="19"/>
        </w:rPr>
        <w:t>Mine the live operational data set against the extracted SOP via a Celonis-style Process Mining surface — fitness, bottleneck, deviation patterns, top deviating cases — with no LLM dependency on the headline view.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3.  </w:t>
      </w:r>
      <w:r>
        <w:rPr>
          <w:b w:val="0"/>
          <w:i w:val="0"/>
          <w:color w:val="1F2D2D"/>
          <w:sz w:val="19"/>
        </w:rPr>
        <w:t>Generate AI optimisation suggestions (re-routing, SLA targets, role assignments) grounded in the Process Mining snapshot.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4.  </w:t>
      </w:r>
      <w:r>
        <w:rPr>
          <w:b w:val="0"/>
          <w:i w:val="0"/>
          <w:color w:val="1F2D2D"/>
          <w:sz w:val="19"/>
        </w:rPr>
        <w:t>Automatically generate a BRD §4-compliant domain object model (Pydantic + JSON Schema + Entity Diagram).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5.  </w:t>
      </w:r>
      <w:r>
        <w:rPr>
          <w:b w:val="0"/>
          <w:i w:val="0"/>
          <w:color w:val="1F2D2D"/>
          <w:sz w:val="19"/>
        </w:rPr>
        <w:t>Calculate gap analysis and provide actionable remediation blueprints.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6.  </w:t>
      </w:r>
      <w:r>
        <w:rPr>
          <w:b w:val="0"/>
          <w:i w:val="0"/>
          <w:color w:val="1F2D2D"/>
          <w:sz w:val="19"/>
        </w:rPr>
        <w:t>Score Audit Check (was Conformance) between an audit document and the source process graph; disambiguated from Process Mining → Execution Conformance.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7.  </w:t>
      </w:r>
      <w:r>
        <w:rPr>
          <w:b w:val="0"/>
          <w:i w:val="0"/>
          <w:color w:val="1F2D2D"/>
          <w:sz w:val="19"/>
        </w:rPr>
        <w:t>Provide natural language querying over the knowledge graph.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8.  </w:t>
      </w:r>
      <w:r>
        <w:rPr>
          <w:b w:val="0"/>
          <w:i w:val="0"/>
          <w:color w:val="1F2D2D"/>
          <w:sz w:val="19"/>
        </w:rPr>
        <w:t>Produce a print-ready Executive Report consolidating every feature run, with Metafore brand typography and page breaks.</w:t>
      </w:r>
    </w:p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4  </w:t>
      </w:r>
      <w:r>
        <w:rPr>
          <w:b/>
          <w:i w:val="0"/>
          <w:color w:val="024F4F"/>
          <w:sz w:val="22"/>
        </w:rPr>
        <w:t>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57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Interest</w:t>
            </w:r>
          </w:p>
        </w:tc>
      </w:tr>
      <w:tr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Product Owner — Metafore Works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Feature prioritisation and roadmap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Business Analyst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analysis, audit check, object model output</w:t>
            </w:r>
          </w:p>
        </w:tc>
      </w:tr>
      <w:tr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Architect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BRD §4 object model export and ERD review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Owner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Mining bottleneck / deviations and AI Optimisation suggestions</w:t>
            </w:r>
          </w:p>
        </w:tc>
      </w:tr>
      <w:tr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Compliance / Audit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Check (doc-vs-doc) and Execution Conformance (data-vs-doc)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IT / Infrastructure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Deployment and API key management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5  </w:t>
      </w:r>
      <w:r>
        <w:rPr>
          <w:b/>
          <w:i w:val="0"/>
          <w:color w:val="024F4F"/>
          <w:sz w:val="22"/>
        </w:rPr>
        <w:t>SCOPE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5.1  In Scope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Document upload: PDF, DOCX, TXT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AI-driven knowledge graph extraction (nodes and edges)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Interactive graph visualisation via vis-network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Process Mining (Workflows tab) — Process Map, Variants, Execution Conformance, Filter Cases, AI Optimise (Haiku)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Gap analysis with remediation blueprint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Pulse drawer with severity filter, Source line, Dismiss action, AI Strategic Insights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Audit Check (renamed from standalone Conformance) — document-only, doc-vs-doc via Sonnet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Object model generation: Entity Diagram (default tab) + Pydantic v2 + JSON Schema, with cache-busting Regenerate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Natural language querying over the graph (grounded in graph + live operational data)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Dashboard — full-screen, hotspots and deviating cases sourced from Process Mining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Executive Report — print-ready HTML with Metafore brand typography, page breaks per section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Single-user, local deployment on Windows / Mac</w:t>
      </w:r>
    </w:p>
    <w:p/>
    <w:p>
      <w:pPr>
        <w:spacing w:before="200" w:after="40"/>
      </w:pPr>
      <w:r>
        <w:rPr>
          <w:b/>
          <w:i w:val="0"/>
          <w:color w:val="024F4F"/>
          <w:sz w:val="20"/>
        </w:rPr>
        <w:t>5.2  Out of Scope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Multi-user or multi-tenant access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Persistent database storage (all data is in-memory, reset on server restart)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Authentication or authorisation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Real-time collaboration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Mobile application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Neo4j integration (available but disabled by default)</w:t>
      </w:r>
    </w:p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6  </w:t>
      </w:r>
      <w:r>
        <w:rPr>
          <w:b/>
          <w:i w:val="0"/>
          <w:color w:val="024F4F"/>
          <w:sz w:val="22"/>
        </w:rPr>
        <w:t>FUNCTIONAL REQUIREMENTS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6.1  Document Upload and Graph Extraction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accept PDF, DOCX, and TXT documents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extract 15–20 nodes and 15–20 edges per document using Claude Sonnet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Nodes shall be classified as: Process, Role, System, Policy, DataEntity, Event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Extracted graph shall be rendered as an interactive force-directed network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upload shall produce an independent graph with a unique graph_id (UUID)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 text stored in memory shall be capped at 15,000 characters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6.2  Process Mining (Workflows tab)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provide a Celonis-style Process Mining surface as the primary content of the Workflows tab; legacy AS-IS / TO-BE narrative cards have been retired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expose GET /api/process-mining/{graph_id} returning KPIs, activities, transition edges, variants, conformance, and AI recommendations — pure SQL aggregation over process_steps + loan_applications + step_executions; no LLM calls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Mining shall surface a KPI strip with Cases / Median TAT / Conformance % / SLA Breaches % / Role Mismatches % / Avg Loan, each tile carrying a drilldown subtitle (e.g. '8 disbursed · 3 active · 2 declined')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FR-10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Map shall render activities as absolutely-positioned SVG nodes; transition edges shall encode case count via stroke-width, with red for SLA-breach edges, amber dashed for rework loops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identify a single bottleneck activity by composite score (breach_count, role_mismatch_count, dwell/SLA ratio) and surface it via a BOTTLENECK pill plus the Bottleneck KPI tile on the Dashboard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Variants tab shall list unique step sequences with frequency %, conformant/total counts, median TAT, swimlane detail and comparison vs Variant #1; clicking a variant updates the detail panel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Execution Conformance tab shall show a fitness score, deviation patterns ranked by severity × case count, and a top-deviating-cases table (case ID / applicant / deviation / TAT / severity)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Filter Cases popover shall accept categorical filters (loan type, status); applying re-fetches the endpoint with ?loan_types=…&amp;statuses=… query params and recomputes all downstream KPIs / variants / conformance coherently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Negative transition times computed from overlapping seed dates shall be clamped to ≥0; skipped-step detection shall use set-membership, not sequence position; out-of-sequence execution shall be its own deviation pattern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Mining endpoint shall be uncached (recomputes on each fetch since it is fast SQL); the Optimise endpoint shall cache its Haiku result per graph_id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6.2.1  AI Process Optimisation (Haiku)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FR-16a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expose POST /api/process-mining/{graph_id}/optimise that runs a Haiku call against the current PM snapshot and returns 3–5 specific re-routing / SLA / role-assignment suggestions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FR-16b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suggestion shall include: title, rationale, expected_impact (qualitative or quantitative), effort (low/medium/high), and target_step (or empty for cross-cutting)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FR-16c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Optimise modal shall surface the suggestions with effort badges (low=green, medium=amber, high=red) and target-step references; the result shall be cached per graph_id so re-clicks are instant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6.3  Gap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identify gaps: missing roles, policies, and systems in the process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gap item shall have a severity: Critical / High / Medium / Low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View in Graph shall highlight affected nodes on the knowledge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FR-20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generate a remediation blueprint using Claude Haiku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 result shall be exportable to a plain-text file for offline review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6.4  Pulse Recommendations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FR-22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calculate rule-based health metrics from the knowledge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FR-23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generate AI Strategic Insights (up to 5) using Claude Haiku, accessible via a button at the bottom of the Pulse drawer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FR-24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drawer shall slide in from a bell icon at the bottom of the sidebar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FR-24a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drawer shall surface a filter tab strip at the top (All + Critical / Warning / Info — only severities present in the items, with per-tab item counts)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FR-24b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Pulse card shall display a severity pill (CRITICAL / WARNING / INFO), a 'just now' timestamp, the title, a derived Source line (sourced from item.category — e.g. 'Pulse · Urgent'), and an action row with 'View in Graph' (filled brand pill) + 'Dismiss' (ghost pill)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FR-24c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Dismiss shall be local-state only — items remain hidden until the next /api/pulse/calculate fetch; no backend persistence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6.5  Audit Check (was Conformance Checking — renamed)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Standalone Conformance view shall be renamed Audit Check throughout the UI (sidebar nav, page title, score header, button labels, header chip) to disambiguate from Process Mining → Execution Conformance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User shall upload an audit document (audit report, review log) — Audit Check is document-only; the live-operational-data ingestion path has been retired since that question is answered by Execution Conformance under Process Mining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score each eligible node as: Confirmed / Deviated / Not Found via a Sonnet call comparing the audit doc against the SOP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display an Audit Match Rate percentage with evidence quotes per finding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Overlay modes shall allow filtering the always-visible knowledge graph to confirmed, deviated, or all nodes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FR-30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Event and Objective nodes shall be excluded from audit assessment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FR-30a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Check shall NOT be cached on disk; same SOP+audit pair re-runs on every analyse call (so the AI moment is visibly real, not pre-cooked)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6.6  Object Model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generate a domain object model using BRD Authoring Standard §4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Output shall include: Pydantic v2 Python code, JSON Schema, and an Entity Diagram (ERD)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tab shall default to the Entity Diagram view (was Pydantic); tab order shall be Entity Diagram → Pydantic → JSON Schema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FR-33a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Topbar shall expose three action buttons — Pydantic and JSON Schema (jump-to-tab) and Regenerate (primary, brand-teal) — plus a meta line 'N ENTITIES · BRD §4'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FR-33b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Regenerate shall call POST /api/generate-object-model?force=true which busts both the in-memory store and the disk cache and re-runs the Sonnet call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ERD shall lay out entity cards by foreign-key depth (column = number of inbound FK refs); cards shall be 240px-wide, absolutely positioned, with a flat brand-teal header containing a cube icon and a lowercase mono entity name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FR-34a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ERD field row shall show a PK / FK / AUDIT pill (or none) followed by the field name and type in mono; arrows between cards shall be solid brand-teal SVG paths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FR-35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shall be cached per graph_id (in-memory) and per doc_hash (on disk via demo_cache.json) — re-navigation is instant, but a customer-visible Regenerate is provided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FR-35a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If no graph has been extracted, system shall show an empty-state prompt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6.7  Natural Language Querying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FR-36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User shall be able to type a plain-English question about the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FR-37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return a direct answer plus highlighted relevant nodes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FR-38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Query history shall be maintained per graph_id for the session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FR-39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the SQLite demo DB is seeded, the NLQ prompt shall include a compact OPERATIONAL DATA section so answers about reality (breach rates, role mismatches, cycle times) are grounded in actual data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6.8 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FR-40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be a full-screen view (graph canvas hidden) that aggregates state from in-memory stores plus the Process Mining snapshot — no new Claude calls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FR-41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display an Overall Health Score (0–100) as a weighted average of Coverage (40%), SLA Compliance (35% — derived from PM as 100 − breach_rate_pct), and Audit Conformance (25%); weights redistribute proportionally when sources are missing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FR-42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hero shall show four click-through KPI tiles: Coverage / SLA / Conformance / Bottleneck (the Bottleneck tile replaces the legacy Total ROI tile and shows the worst PM activity with breach/role-mismatch detail)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FR-43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a graph composition bar chart by node type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FR-44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up to 5 Top Issues drawn from gap analysis (critical/warning) and PM deviation patterns — legacy workflow-SLA-step issues are gone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FR-45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up to 4 Top Hotspots — PM deviation patterns ranked by severity × case count (replaces the legacy 'Quick wins · ROI' card, which depended on the retired workflow narrative)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FR-46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up to 3 Top Deviating Cases — case ID, applicant name, deviation, severity badge — with click-through to Process Mining (replaces 'Automation Highlights')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FR-47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a Setup-Progress checklist: Graph extracted / Process Mining / Gap Analysis / Audit Check (was 'Workflows' / 'Conformance' — labels updated)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FR-48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the SQLite demo DB is seeded, Dashboard shall include a Live Operational Data section with KPIs (applications, total value, avg cycle, step executions), a status breakdown, and top breached steps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FR-49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present a hero CTA empty state when no graph is loaded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FR-50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auto re-render after Process Mining data finishes loading post-upload, so hotspots and deviating-case sections populate without requiring a navigation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6.9  Multi-Document Upload and Cross-Document Insights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accept multiple documents in a single upload request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produce ONE unified knowledge graph from a single Sonnet call against combined document text (no per-doc-then-merge)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Combined input shall be capped at 15,000 characters; documents shall be truncated proportionally when the cap is exceeded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Every node shall carry a 'sources' field listing the filename(s) it appeared in (multi-source = higher confidence)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Upload UI shall display a combined-character counter (green / amber / red) that warns before the limit is exceeded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Above the graph, the system shall display a colored chip per source document; clicking a chip shall filter the graph to nodes from that document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Node detail panel shall display a Sources field listing the document filename(s) when present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two or more documents are uploaded, the system shall produce up to 3 Cross-Document Insights via a single Haiku call (categories: gap / inconsistency / missing / contradiction); cached per graph_id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Single-document upload shall behave exactly as before — the chip row collapses to one chip and the Cross-Document Insights panel is hidden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6.10  Live Operational Data (SQLite)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FR-60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ship with a local SQLite demo DB seeded on server startup with realistic banking-loan operations data (process_steps, loan_applications, step_executions)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FR-61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expose POST /api/data/summary returning aggregate stats (totals, status breakdown, average cycle time, top breached steps)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FR-62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expose GET /api/data/step/{step_name} returning expected-vs-actual stats for a single step (execution count, breach rate, avg duration, role/system mismatches)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FR-63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Seeding shall be idempotent — re-running on a populated DB shall be a no-op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FR-64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 external service or credentials shall be required for the demo data store to function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6.11  Executive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provide a header button 'Generate Report' that opens a self-contained, print-styled HTML page summarising every feature run for the current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shall be composed entirely from existing in-memory stores and the SQLite DB; no new LLM calls shall be made to compose it (the AI Optimisation section, when present, is sourced from the cached optimise result)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sections shall render conditionally — features that have not been run shall be omitted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shall include the following sections in order: Cover (hero), Source Documents, Executive Summary, Top Issues, Cross-Document Insights (when applicable), Process Mining (KPIs + bottleneck + deviation patterns + top deviating cases — replaces legacy AS-IS/TO-BE Workflow Automation Opportunities), Gap Analysis + Blueprint, Audit Check (renamed from Conformance Results), Object Model (entity table), AI Optimisation Suggestions (when run), Footer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FR-68a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shall NOT include a standalone Live Operational Data section — that data is subsumed by Process Mining's KPI strip and bottleneck detail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FR-69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HTML shall include a print stylesheet (page-break rules, color preservation, hidden action bar) so the user can save to PDF via the browser's native Print dialog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FR-69a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typography shall use Inter for body text and IBM Plex Mono for numerics with letter-spacing -0.02em; section labels shall be 10px / 0.10em / brand-teal mono — matching the rest of the application's design tokens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FR-69b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cover (hero) shall use the wordmark 'Metafore · Discovery' (not legacy 'Metafore Works · Discovery Engine'); cover shall be on its own page in print via page-break-after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FR-69c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Print rules shall include @page { margin: 16mm 14mm } and page-break-before: always on each major section so each surface starts on its own page; even-row table backgrounds shall turn transparent in print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6.12  Cache Behaviour &amp; Demo Authenticity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FR-70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maintain a disk cache (data/demo_cache.json) keyed by SHA-256 doc_hash for selected features: workflows, object_model, blueprint, pulse_ai, cross_doc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FR-71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demo_cache shall expose put / get / invalidate / stats functions; the invalidate helper shall be used by Object Model Regenerate (FR-33b)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FR-72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 extraction shall NOT be cached — each /api/upload re-runs the Sonnet call so the headline AI moment is visibly real on every demo replay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FR-73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Check shall NOT be cached — each /conformance/analyse re-runs Sonnet so re-uploading the same audit document produces a visible AI moment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FR-74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Mining and Gap Analysis are pure SQL / rule-based — no LLM, no cache; recomputed on each fetch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FR-75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and Optimise shall remain cached (downstream of the headline extraction; navigation, not fresh-upload events)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7  </w:t>
      </w:r>
      <w:r>
        <w:rPr>
          <w:b/>
          <w:i w:val="0"/>
          <w:color w:val="024F4F"/>
          <w:sz w:val="22"/>
        </w:rPr>
        <w:t>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64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NFR-01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Performance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 extraction shall complete within 60 seconds for documents up to 20,000 characters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NFR-02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Performance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queries shall respond within 10 seconds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NFR-03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Usability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features shall be accessible from a single-page browser UI with no page reloads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NFR-04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Reliability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Server shall auto-restart on code changes during development (uvicorn --reload)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NFR-05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Security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API key shall be stored in a local .env file and never committed to version control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NFR-06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Compatibility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Frontend shall work in Microsoft Edge without CDN dependency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NFR-07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Portability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Application shall run on any Windows machine with Python 3.11+ via double-click START.bat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NFR-08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isolation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session data is in-memory; restart clears all state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8  </w:t>
      </w:r>
      <w:r>
        <w:rPr>
          <w:b/>
          <w:i w:val="0"/>
          <w:color w:val="024F4F"/>
          <w:sz w:val="22"/>
        </w:rPr>
        <w:t>OBJECT MODEL STANDARD — BRD AUTHORING STANDARD §4</w:t>
      </w:r>
    </w:p>
    <w:p>
      <w:pPr>
        <w:spacing w:after="80"/>
      </w:pPr>
      <w:r>
        <w:rPr>
          <w:color w:val="1F2D2D"/>
          <w:sz w:val="19"/>
        </w:rPr>
        <w:t>All domain object models generated by the Discovery Engine must conform to the following rules. These rules apply to both the Pydantic code output and the JSON Schema output.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8.1  Field Naming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Rule</w:t>
            </w:r>
          </w:p>
        </w:tc>
        <w:tc>
          <w:tcPr>
            <w:tcW w:type="dxa" w:w="72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Case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snake_case only — no spaces, no camelCase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Length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Maximum 63 characters per field name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FK naming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&lt;parent_table&gt;_id format — e.g. customer_id, account_id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8.2  Mandatory Fields — Every Entity</w:t>
      </w:r>
    </w:p>
    <w:p>
      <w:pPr>
        <w:spacing w:after="80"/>
      </w:pPr>
      <w:r>
        <w:rPr>
          <w:color w:val="1F2D2D"/>
          <w:sz w:val="19"/>
        </w:rPr>
        <w:t>Every entity must include these fields in this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Position</w:t>
            </w:r>
          </w:p>
        </w:tc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388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Constraint</w:t>
            </w:r>
          </w:p>
        </w:tc>
      </w:tr>
      <w:tr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1st</w:t>
            </w:r>
          </w:p>
        </w:tc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id</w:t>
            </w:r>
          </w:p>
        </w:tc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</w:t>
            </w:r>
          </w:p>
        </w:tc>
        <w:tc>
          <w:tcPr>
            <w:tcW w:type="dxa" w:w="38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Primary Key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2nd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created_at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38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Not Null — audit trail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8.3  Audit Fields — Every Entity</w:t>
      </w:r>
    </w:p>
    <w:p>
      <w:pPr>
        <w:spacing w:after="80"/>
      </w:pPr>
      <w:r>
        <w:rPr>
          <w:color w:val="1F2D2D"/>
          <w:sz w:val="19"/>
        </w:rPr>
        <w:t>Every entity must include these audit-only fields. They carry no FK constraint and must not appear in ERD relationship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432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created_by</w:t>
            </w:r>
          </w:p>
        </w:tc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ONLY – no relationship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last_changed_by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ONLY – no relationship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8.4  Enum Values</w:t>
      </w:r>
    </w:p>
    <w:p>
      <w:pPr>
        <w:spacing w:after="80"/>
      </w:pPr>
      <w:r>
        <w:rPr>
          <w:color w:val="1F2D2D"/>
          <w:sz w:val="19"/>
        </w:rPr>
        <w:t>All enum values must be UPPERCASE: OPEN, IN_PROGRESS, APPROVED, REJECTED, CLOSED. Never lowercase.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8.5  Relationship Declaration Format</w:t>
      </w:r>
    </w:p>
    <w:p>
      <w:pPr>
        <w:spacing w:after="80"/>
      </w:pPr>
      <w:r>
        <w:rPr>
          <w:color w:val="1F2D2D"/>
          <w:sz w:val="19"/>
        </w:rPr>
        <w:t>Relationships must use this exact string format: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6F4F4"/>
            <w:tcBorders>
              <w:left w:val="single" w:sz="12" w:space="0" w:color="036868"/>
            </w:tcBorders>
          </w:tcPr>
          <w:p>
            <w:r>
              <w:rPr>
                <w:color w:val="024F4F"/>
                <w:sz w:val="18"/>
              </w:rPr>
              <w:t>entity_a (parent) → entity_b (child) via entity_b.fk_column = entity_a.id</w:t>
              <w:br/>
              <w:br/>
              <w:t>Example: Customer (parent) → LoanApplication (child) via loan_application.customer_id = customer.id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8.6  JSON Schema Requirements</w:t>
      </w:r>
    </w:p>
    <w:p>
      <w:pPr>
        <w:spacing w:after="80"/>
      </w:pPr>
      <w:r>
        <w:rPr>
          <w:color w:val="1F2D2D"/>
          <w:sz w:val="19"/>
        </w:rPr>
        <w:t>The JSON Schema output must include an "entities" array (each with name and fields) and a "relationships" array using the arrow format above.</w:t>
      </w:r>
    </w:p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9  </w:t>
      </w:r>
      <w:r>
        <w:rPr>
          <w:b/>
          <w:i w:val="0"/>
          <w:color w:val="024F4F"/>
          <w:sz w:val="22"/>
        </w:rPr>
        <w:t>SYSTEM ARCHITECTURE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9.1  Tech Stack</w:t>
      </w:r>
    </w:p>
    <w:p>
      <w:pPr>
        <w:spacing w:after="80"/>
      </w:pPr>
      <w:r>
        <w:rPr>
          <w:color w:val="1F2D2D"/>
          <w:sz w:val="19"/>
        </w:rPr>
        <w:t>Backend: Python 3.11+, FastAPI, Uvicorn, anthropic SDK, python-docx (DOCX parsing — extracts paragraphs and table cells), PyMuPDF (PDF parsing), python-dotenv, sqlite3 (built-in, used for the local demo DB; no external service required). Frontend: Vanilla JavaScript + HTML + CSS, vis-network (self-hosted), no build step. The Discovery Engine ships as a single-file FastAPI app plus static frontend assets — no database, message queue, or auth provider required to run.</w:t>
      </w:r>
    </w:p>
    <w:p>
      <w:pPr>
        <w:spacing w:after="80"/>
      </w:pPr>
      <w:r>
        <w:rPr>
          <w:color w:val="1F2D2D"/>
          <w:sz w:val="19"/>
        </w:rPr>
        <w:t>Architecture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Layer</w:t>
            </w:r>
          </w:p>
        </w:tc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Technology</w:t>
            </w:r>
          </w:p>
        </w:tc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Anthropic Claude Sonnet 4.6 + Haiku 4.5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Tool-use API — structured output guaranteed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Python 3.11 · FastAPI 0.115 · Uvicorn 0.32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Port 8083, launched via --app-dir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 parsing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PyMuPDF (PDF) · python-docx (DOCX)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Built-in for TXT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 DB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Neo4j 5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Optional — disabled by default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Frontend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Vanilla JS · vis-network 9.1.9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Self-hosted; no build step required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Fonts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GT America · IBM Plex Mono · Inter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Self-hosted OTF/TTF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9.2 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89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Endpoint</w:t>
            </w:r>
          </w:p>
        </w:tc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Method</w:t>
            </w:r>
          </w:p>
        </w:tc>
        <w:tc>
          <w:tcPr>
            <w:tcW w:type="dxa" w:w="345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Feature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/api/upload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Multi-document upload + unified graph extraction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/api/graph/{graph_id}/sources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List source documents for a graph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/api/graph/{graph_id}/cross-doc-insights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Cross-document gaps and inconsistencies (Haiku, cached)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/api/workflows/generate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 bundle (workflow + ROI + automation + variants)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/api/workflows/{graph_id}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Retrieve cached workflows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/api/generate-object-model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generation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/api/query/natural-language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query (with SQLite operational context)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/api/query/history/{graph_id}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NLQ history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/api/gap-analysis/calculate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/api/gap-analysis/blueprint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Remediation blueprint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/api/pulse/calculate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health metrics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/api/pulse/ai-recommendations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 pulse recommendations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/api/data/summary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SQLite operational data — aggregate stats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/api/data/step/{step_name}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SQLite operational data — per-step expected-vs-actual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/api/report/{graph_id}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Executive HTML report (browser print to PDF)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/api/health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Health probe (neo4j_enabled, demo_db_seeded)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/conformance/upload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 document upload (file or synthetic from live data)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/conformance/analyse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 analysis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/conformance/{graph_id}/latest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Latest conformance result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9.3  AI Model Routing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744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Feature</w:t>
            </w:r>
          </w:p>
        </w:tc>
        <w:tc>
          <w:tcPr>
            <w:tcW w:type="dxa" w:w="259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11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Max Tokens</w:t>
            </w:r>
          </w:p>
        </w:tc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 extraction (single or multi-doc)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8,096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Highest accuracy on entity/relationship extraction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 bundle (workflow + ROI + automation + variants)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32,000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One consolidated call replaces former 7 calls; system prompt + tool schema cached (ephemeral)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4,096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Code generation quality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 analysis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6,000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Precise evidence matching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query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800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Simple Q&amp;A; operational data injected into prompt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Blueprint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800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Short summary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AI recommendations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2,048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Structured list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Cross-document insights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1,500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Up to 3 cross-doc gaps, cached per graph_id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10  </w:t>
      </w:r>
      <w:r>
        <w:rPr>
          <w:b/>
          <w:i w:val="0"/>
          <w:color w:val="024F4F"/>
          <w:sz w:val="22"/>
        </w:rPr>
        <w:t>DATA MODEL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10.1  In-Memory Stores</w:t>
      </w:r>
    </w:p>
    <w:p>
      <w:pPr>
        <w:spacing w:after="80"/>
      </w:pPr>
      <w:r>
        <w:rPr>
          <w:color w:val="1F2D2D"/>
          <w:sz w:val="19"/>
        </w:rPr>
        <w:t>Most stores are keyed by graph_id (UUID) and reset on server restart. _workflow_cache is keyed by document hash to enable cross-session caching. There is no persistent storage for graph state — only the SQLite demo DB persists between sessions.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6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Store</w:t>
            </w:r>
          </w:p>
        </w:tc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_graph_store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Nodes, edges, graph_id (each node carries a 'sources' field)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_doc_store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Combined document text (max 15,000 chars)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_doc_sources_store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List of {filename, word_count} for source documents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_hash_store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SHA-256 hash of uploaded raw bytes (workflow cross-session cache key)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_workflow_store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 bundle (workflows + ROI + automation + variants)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_workflow_cache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doc_hash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Cross-session workflow cache (same content → instant reuse)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_cross_doc_store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Cross-document insights result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_object_model_store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result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_query_history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NLQ history entries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_gap_store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 result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_blueprint_store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Blueprint result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_pulse_store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items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_pulse_ai_store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 recommendations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_evidence_store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 document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_conformance_store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 result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_conformance_latest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Latest evidence_id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10.1a  SQLite Demo DB (persistent local file)</w:t>
      </w:r>
    </w:p>
    <w:p>
      <w:pPr>
        <w:spacing w:after="80"/>
      </w:pPr>
      <w:r>
        <w:rPr>
          <w:color w:val="1F2D2D"/>
          <w:sz w:val="19"/>
        </w:rPr>
        <w:t>Auto-seeded on server startup at backend/data/demo.db. Holds banking-loan operational data the dashboard, workflows, conformance, and NLQ overlay onto the SOP-extracted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Table</w:t>
            </w:r>
          </w:p>
        </w:tc>
        <w:tc>
          <w:tcPr>
            <w:tcW w:type="dxa" w:w="64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8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process_steps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SOP-defined steps with expected_role, expected_system, sla_hours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loan_applications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13 sample applications with status (disbursed / underwriting / pending / declined) and amount</w:t>
            </w:r>
          </w:p>
        </w:tc>
      </w:tr>
      <w:tr>
        <w:tc>
          <w:tcPr>
            <w:tcW w:type="dxa" w:w="28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step_executions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~71 actual step executions with started_at, completed_at, actual_role, actual_system, status (completed / breached / skipped / in_progress)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10.2  Node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2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Colour</w:t>
            </w:r>
          </w:p>
        </w:tc>
        <w:tc>
          <w:tcPr>
            <w:tcW w:type="dxa" w:w="57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Represents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</w:t>
            </w:r>
          </w:p>
        </w:tc>
        <w:tc>
          <w:tcPr>
            <w:tcW w:type="dxa" w:w="172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Teal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Business processes and activities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Role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Orange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People, teams, job functions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</w:t>
            </w:r>
          </w:p>
        </w:tc>
        <w:tc>
          <w:tcPr>
            <w:tcW w:type="dxa" w:w="172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Applications, platforms, databases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Policy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Red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Rules, regulations, compliance requirements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DataEntity</w:t>
            </w:r>
          </w:p>
        </w:tc>
        <w:tc>
          <w:tcPr>
            <w:tcW w:type="dxa" w:w="172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Purple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objects, records, documents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Event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Yellow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Triggers, milestones, notifications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11  </w:t>
      </w:r>
      <w:r>
        <w:rPr>
          <w:b/>
          <w:i w:val="0"/>
          <w:color w:val="024F4F"/>
          <w:sz w:val="22"/>
        </w:rPr>
        <w:t>USER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Navigation via a 200px labeled sidebar with five items: Graph, Workflows, Gap Analysis, Conformance, Object Model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Left panel width varies per view: Graph 35%, Workflows 60%, Gap 50%, Conformance 50%, Object Model 55%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Right graph canvas shall always be visible regardless of the active left panel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Sidebar top shows Metafore Works logo and text; header shows DISCOVERY ENGINE only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Colour palette follows the Metafore Works design system (primary #036868)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node types in the graph shall use circle shapes only — no mixed shapes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panel shall show a loading spinner during API calls and empty-state when no graph is loaded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12  </w:t>
      </w:r>
      <w:r>
        <w:rPr>
          <w:b/>
          <w:i w:val="0"/>
          <w:color w:val="024F4F"/>
          <w:sz w:val="22"/>
        </w:rPr>
        <w:t>SAMPLE DEMO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6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Document</w:t>
            </w:r>
          </w:p>
        </w:tc>
        <w:tc>
          <w:tcPr>
            <w:tcW w:type="dxa" w:w="259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Expected Output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commercial_banking_loan_sop.docx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Source SOP for extraction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~25 nodes: 8 processes, 6 roles, 4 systems, 3+ policies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loan_audit_report.docx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 for conformance check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~47% conformance: 9 confirmed, 10 deviated, 2 not found</w:t>
            </w:r>
          </w:p>
        </w:tc>
      </w:tr>
    </w:tbl>
    <w:p/>
    <w:p>
      <w:pPr>
        <w:spacing w:after="80"/>
      </w:pPr>
      <w:r>
        <w:rPr>
          <w:color w:val="1F2D2D"/>
          <w:sz w:val="19"/>
        </w:rPr>
        <w:t>Key conformance deviations surfaced by the audit report: AML check sequencing (Critical), property appraisal before completeness check, sanctioning timeline breach, DTI calculation assigned to incorrect role.</w:t>
      </w:r>
    </w:p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13  </w:t>
      </w:r>
      <w:r>
        <w:rPr>
          <w:b/>
          <w:i w:val="0"/>
          <w:color w:val="024F4F"/>
          <w:sz w:val="22"/>
        </w:rPr>
        <w:t>CONSTRAINTS AND ASSUMPTIONS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748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Requires a valid Anthropic API key with sufficient credits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Windows only — batch scripts use .bat syntax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Python 3.11+ must be installed with PATH configured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data is session-scoped; no persistence between server restarts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Assumption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Single user at a time — no concurrent session isolation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Assumption</w:t>
            </w:r>
          </w:p>
        </w:tc>
        <w:tc>
          <w:tcPr>
            <w:tcW w:type="dxa" w:w="74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Documents are in English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Assumption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Network access is available for initial pip install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14  </w:t>
      </w:r>
      <w:r>
        <w:rPr>
          <w:b/>
          <w:i w:val="0"/>
          <w:color w:val="024F4F"/>
          <w:sz w:val="22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BRD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Business Requirements Document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ERD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Entity Relationship Diagram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SOP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Standard Operating Procedure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NLQ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Query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 assigned to each extracted knowledge graph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evidence_id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 assigned to each uploaded conformance evidence document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Health score and recommendations derived from the knowledge graph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Blueprint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AI-generated remediation plan for identified gaps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Assessment of how closely an evidence document matches the source process graph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AS-IS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Current state of a business process as documented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TO-BE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Target future state of a process with recommended improvements</w:t>
            </w:r>
          </w:p>
        </w:tc>
      </w:tr>
    </w:tbl>
    <w:p/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