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6"/>
      </w:tblGrid>
      <w:tr>
        <w:tc>
          <w:tcPr>
            <w:tcW w:type="dxa" w:w="9746"/>
            <w:shd w:val="clear" w:color="auto" w:fill="024F4F"/>
          </w:tcPr>
          <w:p>
            <w:pPr>
              <w:jc w:val="center"/>
            </w:pPr>
            <w:r>
              <w:rPr>
                <w:b/>
                <w:color w:val="A7D4D4"/>
                <w:sz w:val="18"/>
              </w:rPr>
              <w:t>METAFORE</w:t>
            </w:r>
          </w:p>
          <w:p>
            <w:pPr>
              <w:jc w:val="center"/>
            </w:pPr>
            <w:r>
              <w:rPr>
                <w:b/>
                <w:color w:val="FFFFFF"/>
                <w:sz w:val="44"/>
              </w:rPr>
              <w:t>Discovery Engine</w:t>
            </w:r>
          </w:p>
          <w:p>
            <w:pPr>
              <w:jc w:val="center"/>
            </w:pPr>
            <w:r>
              <w:rPr>
                <w:b w:val="0"/>
                <w:color w:val="A7D4D4"/>
                <w:sz w:val="26"/>
              </w:rPr>
              <w:t>Demo Script</w:t>
            </w:r>
          </w:p>
          <w:p>
            <w:pPr>
              <w:jc w:val="center"/>
            </w:pPr>
            <w:r>
              <w:rPr>
                <w:color w:val="A7D4D4"/>
                <w:sz w:val="17"/>
              </w:rPr>
              <w:t>Approx. 12 – 15 minutes   |   http://localhost:8083</w:t>
            </w:r>
          </w:p>
        </w:tc>
      </w:tr>
    </w:tbl>
    <w:p/>
    <w:tbl>
      <w:tblPr>
        <w:tblStyle w:val="TableGrid"/>
        <w:tblW w:type="auto" w:w="0"/>
        <w:tblLook w:firstColumn="1" w:firstRow="1" w:lastColumn="0" w:lastRow="0" w:noHBand="0" w:noVBand="1" w:val="04A0"/>
      </w:tblPr>
      <w:tblGrid>
        <w:gridCol w:w="4873"/>
        <w:gridCol w:w="4873"/>
      </w:tblGrid>
      <w:tr>
        <w:tc>
          <w:tcPr>
            <w:tcW w:type="dxa" w:w="4873"/>
            <w:shd w:val="clear" w:color="auto" w:fill="E6F4F4"/>
          </w:tcPr>
          <w:p>
            <w:pPr>
              <w:jc w:val="left"/>
            </w:pPr>
            <w:r>
              <w:rPr>
                <w:b/>
                <w:i w:val="0"/>
                <w:color w:val="024F4F"/>
                <w:sz w:val="18"/>
              </w:rPr>
              <w:t>URL</w:t>
            </w:r>
          </w:p>
        </w:tc>
        <w:tc>
          <w:tcPr>
            <w:tcW w:type="dxa" w:w="4873"/>
          </w:tcPr>
          <w:p>
            <w:pPr>
              <w:jc w:val="left"/>
            </w:pPr>
            <w:r>
              <w:rPr>
                <w:b w:val="0"/>
                <w:i w:val="0"/>
                <w:sz w:val="18"/>
              </w:rPr>
              <w:t>http://localhost:8083</w:t>
            </w:r>
          </w:p>
        </w:tc>
      </w:tr>
      <w:tr>
        <w:tc>
          <w:tcPr>
            <w:tcW w:type="dxa" w:w="4873"/>
            <w:shd w:val="clear" w:color="auto" w:fill="E6F4F4"/>
          </w:tcPr>
          <w:p>
            <w:pPr>
              <w:jc w:val="left"/>
            </w:pPr>
            <w:r>
              <w:rPr>
                <w:b/>
                <w:i w:val="0"/>
                <w:color w:val="024F4F"/>
                <w:sz w:val="18"/>
              </w:rPr>
              <w:t>SOP Document</w:t>
            </w:r>
          </w:p>
        </w:tc>
        <w:tc>
          <w:tcPr>
            <w:tcW w:type="dxa" w:w="4873"/>
          </w:tcPr>
          <w:p>
            <w:pPr>
              <w:jc w:val="left"/>
            </w:pPr>
            <w:r>
              <w:rPr>
                <w:b w:val="0"/>
                <w:i w:val="0"/>
                <w:sz w:val="18"/>
              </w:rPr>
              <w:t>sample_docs/commercial_banking_loan_sop.docx</w:t>
            </w:r>
          </w:p>
        </w:tc>
      </w:tr>
      <w:tr>
        <w:tc>
          <w:tcPr>
            <w:tcW w:type="dxa" w:w="4873"/>
            <w:shd w:val="clear" w:color="auto" w:fill="E6F4F4"/>
          </w:tcPr>
          <w:p>
            <w:pPr>
              <w:jc w:val="left"/>
            </w:pPr>
            <w:r>
              <w:rPr>
                <w:b/>
                <w:i w:val="0"/>
                <w:color w:val="024F4F"/>
                <w:sz w:val="18"/>
              </w:rPr>
              <w:t>Audit Document</w:t>
            </w:r>
          </w:p>
        </w:tc>
        <w:tc>
          <w:tcPr>
            <w:tcW w:type="dxa" w:w="4873"/>
          </w:tcPr>
          <w:p>
            <w:pPr>
              <w:jc w:val="left"/>
            </w:pPr>
            <w:r>
              <w:rPr>
                <w:b w:val="0"/>
                <w:i w:val="0"/>
                <w:sz w:val="18"/>
              </w:rPr>
              <w:t>sample_docs/loan_audit_report.docx</w:t>
            </w:r>
          </w:p>
        </w:tc>
      </w:tr>
    </w:tbl>
    <w:p/>
    <w:p>
      <w:pPr>
        <w:spacing w:before="320" w:after="40"/>
        <w:pBdr>
          <w:top w:val="single" w:sz="4" w:space="4" w:color="036868"/>
        </w:pBdr>
      </w:pPr>
      <w:r>
        <w:rPr>
          <w:b/>
          <w:color w:val="036868"/>
          <w:sz w:val="16"/>
        </w:rPr>
        <w:t>OPENING LINE  (30 SECONDS)</w:t>
      </w:r>
    </w:p>
    <w:p/>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i/>
                <w:color w:val="024F4F"/>
                <w:sz w:val="20"/>
              </w:rPr>
              <w:t>"Before you can build, automate, or evolve an enterprise application, you have to understand the organisation. Today, that takes consultants months and tools like Celonis cost half a million in integration before you see a single insight. The Discovery Engine reads your documents and gives you a living knowledge graph in minutes. Let me show you on a real banking SOP."</w:t>
            </w:r>
          </w:p>
        </w:tc>
      </w:tr>
    </w:tbl>
    <w:p/>
    <w:p>
      <w:pPr>
        <w:spacing w:before="320" w:after="40"/>
        <w:pBdr>
          <w:top w:val="single" w:sz="4" w:space="4" w:color="036868"/>
        </w:pBdr>
      </w:pPr>
      <w:r>
        <w:rPr>
          <w:b/>
          <w:color w:val="036868"/>
          <w:sz w:val="16"/>
        </w:rPr>
        <w:t>DEMO STEPS</w:t>
      </w:r>
    </w:p>
    <w:p/>
    <w:tbl>
      <w:tblPr>
        <w:tblW w:type="auto" w:w="0"/>
        <w:tblLook w:firstColumn="1" w:firstRow="1" w:lastColumn="0" w:lastRow="0" w:noHBand="0" w:noVBand="1" w:val="04A0"/>
      </w:tblPr>
      <w:tblGrid>
        <w:gridCol w:w="4873"/>
        <w:gridCol w:w="4873"/>
      </w:tblGrid>
      <w:tr>
        <w:tc>
          <w:tcPr>
            <w:tcW w:type="dxa" w:w="6480"/>
            <w:shd w:val="clear" w:color="auto" w:fill="036868"/>
          </w:tcPr>
          <w:p>
            <w:r>
              <w:rPr>
                <w:b/>
                <w:i w:val="0"/>
                <w:color w:val="FFFFFF"/>
                <w:sz w:val="20"/>
              </w:rPr>
              <w:t xml:space="preserve">Step 1  </w:t>
            </w:r>
            <w:r>
              <w:rPr>
                <w:b w:val="0"/>
                <w:i w:val="0"/>
                <w:color w:val="A7D4D4"/>
                <w:sz w:val="20"/>
              </w:rPr>
              <w:t>Upload the Banking SOP &amp; Knowledge Graph</w:t>
            </w:r>
          </w:p>
        </w:tc>
        <w:tc>
          <w:tcPr>
            <w:tcW w:type="dxa" w:w="2880"/>
            <w:shd w:val="clear" w:color="auto" w:fill="036868"/>
          </w:tcPr>
          <w:p>
            <w:pPr>
              <w:jc w:val="right"/>
            </w:pPr>
            <w:r>
              <w:rPr>
                <w:b w:val="0"/>
                <w:i w:val="0"/>
                <w:color w:val="A7D4D4"/>
                <w:sz w:val="18"/>
              </w:rPr>
              <w:t>≈ 2 min</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1</w:t>
            </w:r>
          </w:p>
        </w:tc>
        <w:tc>
          <w:tcPr>
            <w:tcW w:type="dxa" w:w="8856"/>
            <w:shd w:val="clear" w:color="auto" w:fill="F7FCFC"/>
          </w:tcPr>
          <w:p>
            <w:pPr>
              <w:jc w:val="left"/>
            </w:pPr>
            <w:r>
              <w:rPr>
                <w:b w:val="0"/>
                <w:i w:val="0"/>
                <w:sz w:val="18"/>
              </w:rPr>
              <w:t>Open http://localhost:8083 — you land on the Knowledge Graph tab</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2</w:t>
            </w:r>
          </w:p>
        </w:tc>
        <w:tc>
          <w:tcPr>
            <w:tcW w:type="dxa" w:w="8856"/>
            <w:shd w:val="clear" w:color="auto" w:fill="F7FCFC"/>
          </w:tcPr>
          <w:p>
            <w:pPr>
              <w:jc w:val="left"/>
            </w:pPr>
            <w:r>
              <w:rPr>
                <w:b w:val="0"/>
                <w:i w:val="0"/>
                <w:sz w:val="18"/>
              </w:rPr>
              <w:t>Click Choose Files → select commercial_banking_loan_sop.docx</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3</w:t>
            </w:r>
          </w:p>
        </w:tc>
        <w:tc>
          <w:tcPr>
            <w:tcW w:type="dxa" w:w="8856"/>
            <w:shd w:val="clear" w:color="auto" w:fill="F7FCFC"/>
          </w:tcPr>
          <w:p>
            <w:pPr>
              <w:jc w:val="left"/>
            </w:pPr>
            <w:r>
              <w:rPr>
                <w:b w:val="0"/>
                <w:i w:val="0"/>
                <w:sz w:val="18"/>
              </w:rPr>
              <w:t>Click Extract Knowledge Graph</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4</w:t>
            </w:r>
          </w:p>
        </w:tc>
        <w:tc>
          <w:tcPr>
            <w:tcW w:type="dxa" w:w="8856"/>
            <w:shd w:val="clear" w:color="auto" w:fill="F7FCFC"/>
          </w:tcPr>
          <w:p>
            <w:pPr>
              <w:jc w:val="left"/>
            </w:pPr>
            <w:r>
              <w:rPr>
                <w:b w:val="0"/>
                <w:i w:val="0"/>
                <w:sz w:val="18"/>
              </w:rPr>
              <w:t>While loading (~30–40s) narrate the AI moment (see right →)</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"This is a Loan Origination SOP — the kind of document that sits in a SharePoint and never gets read. The Discovery Engine is extracting every process, role, system, policy, and data entity from it automatically. This is the first AI moment — it's actually reading."</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5</w:t>
            </w:r>
          </w:p>
        </w:tc>
        <w:tc>
          <w:tcPr>
            <w:tcW w:type="dxa" w:w="8856"/>
            <w:shd w:val="clear" w:color="auto" w:fill="F7FCFC"/>
          </w:tcPr>
          <w:p>
            <w:pPr>
              <w:jc w:val="left"/>
            </w:pPr>
            <w:r>
              <w:rPr>
                <w:b w:val="0"/>
                <w:i w:val="0"/>
                <w:sz w:val="18"/>
              </w:rPr>
              <w:t>When the graph renders, walk through the colour callouts (below)</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6</w:t>
            </w:r>
          </w:p>
        </w:tc>
        <w:tc>
          <w:tcPr>
            <w:tcW w:type="dxa" w:w="8856"/>
            <w:shd w:val="clear" w:color="auto" w:fill="F7FCFC"/>
          </w:tcPr>
          <w:p>
            <w:pPr>
              <w:jc w:val="left"/>
            </w:pPr>
            <w:r>
              <w:rPr>
                <w:b w:val="0"/>
                <w:i w:val="0"/>
                <w:sz w:val="18"/>
              </w:rPr>
              <w:t>Click any node → inspector on the right shows the source-text quote</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"Every circle is an entity, every line is a relationship. The bank's lending process — extracted in under a minute."</w:t>
            </w:r>
          </w:p>
        </w:tc>
      </w:tr>
    </w:tbl>
    <w:tbl>
      <w:tblPr>
        <w:tblStyle w:val="TableGrid"/>
        <w:tblW w:type="auto" w:w="0"/>
        <w:tblLook w:firstColumn="1" w:firstRow="1" w:lastColumn="0" w:lastRow="0" w:noHBand="0" w:noVBand="1" w:val="04A0"/>
      </w:tblPr>
      <w:tblGrid>
        <w:gridCol w:w="4873"/>
        <w:gridCol w:w="4873"/>
      </w:tblGrid>
      <w:tr>
        <w:tc>
          <w:tcPr>
            <w:tcW w:type="dxa" w:w="4873"/>
            <w:shd w:val="clear" w:color="auto" w:fill="E6F4F4"/>
          </w:tcPr>
          <w:p>
            <w:pPr>
              <w:jc w:val="left"/>
            </w:pPr>
            <w:r>
              <w:rPr>
                <w:b/>
                <w:i w:val="0"/>
                <w:color w:val="024F4F"/>
                <w:sz w:val="17"/>
              </w:rPr>
              <w:t>Teal circles</w:t>
            </w:r>
          </w:p>
        </w:tc>
        <w:tc>
          <w:tcPr>
            <w:tcW w:type="dxa" w:w="4873"/>
            <w:shd w:val="clear" w:color="auto" w:fill="F7FCFC"/>
          </w:tcPr>
          <w:p>
            <w:pPr>
              <w:jc w:val="left"/>
            </w:pPr>
            <w:r>
              <w:rPr>
                <w:b w:val="0"/>
                <w:i w:val="0"/>
                <w:sz w:val="17"/>
              </w:rPr>
              <w:t>Processes — KYC Verification, Credit Check, Underwriting Review</w:t>
            </w:r>
          </w:p>
        </w:tc>
      </w:tr>
      <w:tr>
        <w:tc>
          <w:tcPr>
            <w:tcW w:type="dxa" w:w="4873"/>
            <w:shd w:val="clear" w:color="auto" w:fill="E6F4F4"/>
          </w:tcPr>
          <w:p>
            <w:pPr>
              <w:jc w:val="left"/>
            </w:pPr>
            <w:r>
              <w:rPr>
                <w:b/>
                <w:i w:val="0"/>
                <w:color w:val="024F4F"/>
                <w:sz w:val="17"/>
              </w:rPr>
              <w:t>Orange circles</w:t>
            </w:r>
          </w:p>
        </w:tc>
        <w:tc>
          <w:tcPr>
            <w:tcW w:type="dxa" w:w="4873"/>
            <w:shd w:val="clear" w:color="auto" w:fill="F7FCFC"/>
          </w:tcPr>
          <w:p>
            <w:pPr>
              <w:jc w:val="left"/>
            </w:pPr>
            <w:r>
              <w:rPr>
                <w:b w:val="0"/>
                <w:i w:val="0"/>
                <w:sz w:val="17"/>
              </w:rPr>
              <w:t>Roles — Loan Officer, Credit Analyst, Credit Officer</w:t>
            </w:r>
          </w:p>
        </w:tc>
      </w:tr>
      <w:tr>
        <w:tc>
          <w:tcPr>
            <w:tcW w:type="dxa" w:w="4873"/>
            <w:shd w:val="clear" w:color="auto" w:fill="E6F4F4"/>
          </w:tcPr>
          <w:p>
            <w:pPr>
              <w:jc w:val="left"/>
            </w:pPr>
            <w:r>
              <w:rPr>
                <w:b/>
                <w:i w:val="0"/>
                <w:color w:val="024F4F"/>
                <w:sz w:val="17"/>
              </w:rPr>
              <w:t>Blue circles</w:t>
            </w:r>
          </w:p>
        </w:tc>
        <w:tc>
          <w:tcPr>
            <w:tcW w:type="dxa" w:w="4873"/>
            <w:shd w:val="clear" w:color="auto" w:fill="F7FCFC"/>
          </w:tcPr>
          <w:p>
            <w:pPr>
              <w:jc w:val="left"/>
            </w:pPr>
            <w:r>
              <w:rPr>
                <w:b w:val="0"/>
                <w:i w:val="0"/>
                <w:sz w:val="17"/>
              </w:rPr>
              <w:t>Systems — KYC Platform, Credit Bureau Gateway, Core Banking</w:t>
            </w:r>
          </w:p>
        </w:tc>
      </w:tr>
      <w:tr>
        <w:tc>
          <w:tcPr>
            <w:tcW w:type="dxa" w:w="4873"/>
            <w:shd w:val="clear" w:color="auto" w:fill="E6F4F4"/>
          </w:tcPr>
          <w:p>
            <w:pPr>
              <w:jc w:val="left"/>
            </w:pPr>
            <w:r>
              <w:rPr>
                <w:b/>
                <w:i w:val="0"/>
                <w:color w:val="024F4F"/>
                <w:sz w:val="17"/>
              </w:rPr>
              <w:t>Red circles</w:t>
            </w:r>
          </w:p>
        </w:tc>
        <w:tc>
          <w:tcPr>
            <w:tcW w:type="dxa" w:w="4873"/>
            <w:shd w:val="clear" w:color="auto" w:fill="F7FCFC"/>
          </w:tcPr>
          <w:p>
            <w:pPr>
              <w:jc w:val="left"/>
            </w:pPr>
            <w:r>
              <w:rPr>
                <w:b w:val="0"/>
                <w:i w:val="0"/>
                <w:sz w:val="17"/>
              </w:rPr>
              <w:t>Policies — AML, DTI threshold, sanctioning timeline</w:t>
            </w:r>
          </w:p>
        </w:tc>
      </w:tr>
    </w:tbl>
    <w:p/>
    <w:tbl>
      <w:tblPr>
        <w:tblW w:type="auto" w:w="0"/>
        <w:tblLook w:firstColumn="1" w:firstRow="1" w:lastColumn="0" w:lastRow="0" w:noHBand="0" w:noVBand="1" w:val="04A0"/>
      </w:tblPr>
      <w:tblGrid>
        <w:gridCol w:w="4873"/>
        <w:gridCol w:w="4873"/>
      </w:tblGrid>
      <w:tr>
        <w:tc>
          <w:tcPr>
            <w:tcW w:type="dxa" w:w="6480"/>
            <w:shd w:val="clear" w:color="auto" w:fill="036868"/>
          </w:tcPr>
          <w:p>
            <w:r>
              <w:rPr>
                <w:b/>
                <w:i w:val="0"/>
                <w:color w:val="FFFFFF"/>
                <w:sz w:val="20"/>
              </w:rPr>
              <w:t xml:space="preserve">Step 2  </w:t>
            </w:r>
            <w:r>
              <w:rPr>
                <w:b w:val="0"/>
                <w:i w:val="0"/>
                <w:color w:val="A7D4D4"/>
                <w:sz w:val="20"/>
              </w:rPr>
              <w:t>Gap Analysis</w:t>
            </w:r>
          </w:p>
        </w:tc>
        <w:tc>
          <w:tcPr>
            <w:tcW w:type="dxa" w:w="2880"/>
            <w:shd w:val="clear" w:color="auto" w:fill="036868"/>
          </w:tcPr>
          <w:p>
            <w:pPr>
              <w:jc w:val="right"/>
            </w:pPr>
            <w:r>
              <w:rPr>
                <w:b w:val="0"/>
                <w:i w:val="0"/>
                <w:color w:val="A7D4D4"/>
                <w:sz w:val="18"/>
              </w:rPr>
              <w:t>≈ 1 min</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1</w:t>
            </w:r>
          </w:p>
        </w:tc>
        <w:tc>
          <w:tcPr>
            <w:tcW w:type="dxa" w:w="8856"/>
            <w:shd w:val="clear" w:color="auto" w:fill="F7FCFC"/>
          </w:tcPr>
          <w:p>
            <w:pPr>
              <w:jc w:val="left"/>
            </w:pPr>
            <w:r>
              <w:rPr>
                <w:b w:val="0"/>
                <w:i w:val="0"/>
                <w:sz w:val="18"/>
              </w:rPr>
              <w:t>Click the Gap Analysis nav (full-screen, graph hidden)</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2</w:t>
            </w:r>
          </w:p>
        </w:tc>
        <w:tc>
          <w:tcPr>
            <w:tcW w:type="dxa" w:w="8856"/>
            <w:shd w:val="clear" w:color="auto" w:fill="F7FCFC"/>
          </w:tcPr>
          <w:p>
            <w:pPr>
              <w:jc w:val="left"/>
            </w:pPr>
            <w:r>
              <w:rPr>
                <w:b w:val="0"/>
                <w:i w:val="0"/>
                <w:sz w:val="18"/>
              </w:rPr>
              <w:t>Click Analyse Graph — results appear instantly (no AI call)</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"This is a structural audit of the graph. Does every process have an owner? Is every policy enforced? Are there orphans? It runs instantly — no Claude call, just rules."</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3</w:t>
            </w:r>
          </w:p>
        </w:tc>
        <w:tc>
          <w:tcPr>
            <w:tcW w:type="dxa" w:w="8856"/>
            <w:shd w:val="clear" w:color="auto" w:fill="F7FCFC"/>
          </w:tcPr>
          <w:p>
            <w:pPr>
              <w:jc w:val="left"/>
            </w:pPr>
            <w:r>
              <w:rPr>
                <w:b w:val="0"/>
                <w:i w:val="0"/>
                <w:sz w:val="18"/>
              </w:rPr>
              <w:t>Point to the coverage score and the breakdown</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4</w:t>
            </w:r>
          </w:p>
        </w:tc>
        <w:tc>
          <w:tcPr>
            <w:tcW w:type="dxa" w:w="8856"/>
            <w:shd w:val="clear" w:color="auto" w:fill="F7FCFC"/>
          </w:tcPr>
          <w:p>
            <w:pPr>
              <w:jc w:val="left"/>
            </w:pPr>
            <w:r>
              <w:rPr>
                <w:b w:val="0"/>
                <w:i w:val="0"/>
                <w:sz w:val="18"/>
              </w:rPr>
              <w:t>Click a failing check → click View in Graph</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"The score tells us how complete the SOP itself is. Anything below 70 means the document has real gaps — processes without assigned roles, policies floating in space."</w:t>
            </w:r>
          </w:p>
        </w:tc>
      </w:tr>
    </w:tbl>
    <w:p/>
    <w:tbl>
      <w:tblPr>
        <w:tblW w:type="auto" w:w="0"/>
        <w:tblLook w:firstColumn="1" w:firstRow="1" w:lastColumn="0" w:lastRow="0" w:noHBand="0" w:noVBand="1" w:val="04A0"/>
      </w:tblPr>
      <w:tblGrid>
        <w:gridCol w:w="4873"/>
        <w:gridCol w:w="4873"/>
      </w:tblGrid>
      <w:tr>
        <w:tc>
          <w:tcPr>
            <w:tcW w:type="dxa" w:w="6480"/>
            <w:shd w:val="clear" w:color="auto" w:fill="036868"/>
          </w:tcPr>
          <w:p>
            <w:r>
              <w:rPr>
                <w:b/>
                <w:i w:val="0"/>
                <w:color w:val="FFFFFF"/>
                <w:sz w:val="20"/>
              </w:rPr>
              <w:t xml:space="preserve">Step 3  </w:t>
            </w:r>
            <w:r>
              <w:rPr>
                <w:b w:val="0"/>
                <w:i w:val="0"/>
                <w:color w:val="A7D4D4"/>
                <w:sz w:val="20"/>
              </w:rPr>
              <w:t>Generate Blueprint</w:t>
            </w:r>
          </w:p>
        </w:tc>
        <w:tc>
          <w:tcPr>
            <w:tcW w:type="dxa" w:w="2880"/>
            <w:shd w:val="clear" w:color="auto" w:fill="036868"/>
          </w:tcPr>
          <w:p>
            <w:pPr>
              <w:jc w:val="right"/>
            </w:pPr>
            <w:r>
              <w:rPr>
                <w:b w:val="0"/>
                <w:i w:val="0"/>
                <w:color w:val="A7D4D4"/>
                <w:sz w:val="18"/>
              </w:rPr>
              <w:t>≈ 45 sec</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1</w:t>
            </w:r>
          </w:p>
        </w:tc>
        <w:tc>
          <w:tcPr>
            <w:tcW w:type="dxa" w:w="8856"/>
            <w:shd w:val="clear" w:color="auto" w:fill="F7FCFC"/>
          </w:tcPr>
          <w:p>
            <w:pPr>
              <w:jc w:val="left"/>
            </w:pPr>
            <w:r>
              <w:rPr>
                <w:b w:val="0"/>
                <w:i w:val="0"/>
                <w:sz w:val="18"/>
              </w:rPr>
              <w:t>Still in Gap Analysis, click Generate Blueprint</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2</w:t>
            </w:r>
          </w:p>
        </w:tc>
        <w:tc>
          <w:tcPr>
            <w:tcW w:type="dxa" w:w="8856"/>
            <w:shd w:val="clear" w:color="auto" w:fill="F7FCFC"/>
          </w:tcPr>
          <w:p>
            <w:pPr>
              <w:jc w:val="left"/>
            </w:pPr>
            <w:r>
              <w:rPr>
                <w:b w:val="0"/>
                <w:i w:val="0"/>
                <w:sz w:val="18"/>
              </w:rPr>
              <w:t>Wait ~7s (Haiku)</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"The Blueprint turns the gaps into an actionable improvement plan — what to fix, what to add, what documents to upload next. This is the output you hand to the process owner."</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3</w:t>
            </w:r>
          </w:p>
        </w:tc>
        <w:tc>
          <w:tcPr>
            <w:tcW w:type="dxa" w:w="8856"/>
            <w:shd w:val="clear" w:color="auto" w:fill="F7FCFC"/>
          </w:tcPr>
          <w:p>
            <w:pPr>
              <w:jc w:val="left"/>
            </w:pPr>
            <w:r>
              <w:rPr>
                <w:b w:val="0"/>
                <w:i w:val="0"/>
                <w:sz w:val="18"/>
              </w:rPr>
              <w:t>Read out one of the next steps</w:t>
            </w:r>
          </w:p>
        </w:tc>
      </w:tr>
    </w:tbl>
    <w:p/>
    <w:tbl>
      <w:tblPr>
        <w:tblW w:type="auto" w:w="0"/>
        <w:tblLook w:firstColumn="1" w:firstRow="1" w:lastColumn="0" w:lastRow="0" w:noHBand="0" w:noVBand="1" w:val="04A0"/>
      </w:tblPr>
      <w:tblGrid>
        <w:gridCol w:w="4873"/>
        <w:gridCol w:w="4873"/>
      </w:tblGrid>
      <w:tr>
        <w:tc>
          <w:tcPr>
            <w:tcW w:type="dxa" w:w="6480"/>
            <w:shd w:val="clear" w:color="auto" w:fill="036868"/>
          </w:tcPr>
          <w:p>
            <w:r>
              <w:rPr>
                <w:b/>
                <w:i w:val="0"/>
                <w:color w:val="FFFFFF"/>
                <w:sz w:val="20"/>
              </w:rPr>
              <w:t xml:space="preserve">Step 4  </w:t>
            </w:r>
            <w:r>
              <w:rPr>
                <w:b w:val="0"/>
                <w:i w:val="0"/>
                <w:color w:val="A7D4D4"/>
                <w:sz w:val="20"/>
              </w:rPr>
              <w:t>Process Mining (the headline)</w:t>
            </w:r>
          </w:p>
        </w:tc>
        <w:tc>
          <w:tcPr>
            <w:tcW w:type="dxa" w:w="2880"/>
            <w:shd w:val="clear" w:color="auto" w:fill="036868"/>
          </w:tcPr>
          <w:p>
            <w:pPr>
              <w:jc w:val="right"/>
            </w:pPr>
            <w:r>
              <w:rPr>
                <w:b w:val="0"/>
                <w:i w:val="0"/>
                <w:color w:val="A7D4D4"/>
                <w:sz w:val="18"/>
              </w:rPr>
              <w:t>≈ 3 min</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1</w:t>
            </w:r>
          </w:p>
        </w:tc>
        <w:tc>
          <w:tcPr>
            <w:tcW w:type="dxa" w:w="8856"/>
            <w:shd w:val="clear" w:color="auto" w:fill="F7FCFC"/>
          </w:tcPr>
          <w:p>
            <w:pPr>
              <w:jc w:val="left"/>
            </w:pPr>
            <w:r>
              <w:rPr>
                <w:b w:val="0"/>
                <w:i w:val="0"/>
                <w:sz w:val="18"/>
              </w:rPr>
              <w:t>Click Workflows nav — you land on Process Mining (full screen, graph hidden)</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2</w:t>
            </w:r>
          </w:p>
        </w:tc>
        <w:tc>
          <w:tcPr>
            <w:tcW w:type="dxa" w:w="8856"/>
            <w:shd w:val="clear" w:color="auto" w:fill="F7FCFC"/>
          </w:tcPr>
          <w:p>
            <w:pPr>
              <w:jc w:val="left"/>
            </w:pPr>
            <w:r>
              <w:rPr>
                <w:b w:val="0"/>
                <w:i w:val="0"/>
                <w:sz w:val="18"/>
              </w:rPr>
              <w:t>FIRST: state the live-data caveat clearly (see narration 1)</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"Quick context — what you're about to see uses operational event-log data. For this demo we've pre-seeded a representative loan-origination dataset (13 cases) so you can see the mining surface live. In production this is wired from your event logs in days, not the six months Celonis takes."</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3</w:t>
            </w:r>
          </w:p>
        </w:tc>
        <w:tc>
          <w:tcPr>
            <w:tcW w:type="dxa" w:w="8856"/>
            <w:shd w:val="clear" w:color="auto" w:fill="F7FCFC"/>
          </w:tcPr>
          <w:p>
            <w:pPr>
              <w:jc w:val="left"/>
            </w:pPr>
            <w:r>
              <w:rPr>
                <w:b w:val="0"/>
                <w:i w:val="0"/>
                <w:sz w:val="18"/>
              </w:rPr>
              <w:t>Walk through the KPI strip — Cases, Median TAT, Conformance, SLA Breaches, Role Mismatches, Avg Loan</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4</w:t>
            </w:r>
          </w:p>
        </w:tc>
        <w:tc>
          <w:tcPr>
            <w:tcW w:type="dxa" w:w="8856"/>
            <w:shd w:val="clear" w:color="auto" w:fill="F7FCFC"/>
          </w:tcPr>
          <w:p>
            <w:pPr>
              <w:jc w:val="left"/>
            </w:pPr>
            <w:r>
              <w:rPr>
                <w:b w:val="0"/>
                <w:i w:val="0"/>
                <w:sz w:val="18"/>
              </w:rPr>
              <w:t>Process Map tab: point to KYC Verification (BOTTLENECK pill), edge thickness = case volume, red = SLA-breach edges, amber dashed = rework loops</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"13 cases mined, 7 activities, 8 days median TAT, 9% SLA breach rate, 46% conformance fitness. Every number is real, derived from operational data."</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5</w:t>
            </w:r>
          </w:p>
        </w:tc>
        <w:tc>
          <w:tcPr>
            <w:tcW w:type="dxa" w:w="8856"/>
            <w:shd w:val="clear" w:color="auto" w:fill="F7FCFC"/>
          </w:tcPr>
          <w:p>
            <w:pPr>
              <w:jc w:val="left"/>
            </w:pPr>
            <w:r>
              <w:rPr>
                <w:b w:val="0"/>
                <w:i w:val="0"/>
                <w:sz w:val="18"/>
              </w:rPr>
              <w:t>Click the bottleneck node → inspector shows wait-time chart, top causes, breach counts</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"KYC Verification is flagged as the bottleneck — 2 SLA breaches across the runs."</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6</w:t>
            </w:r>
          </w:p>
        </w:tc>
        <w:tc>
          <w:tcPr>
            <w:tcW w:type="dxa" w:w="8856"/>
            <w:shd w:val="clear" w:color="auto" w:fill="F7FCFC"/>
          </w:tcPr>
          <w:p>
            <w:pPr>
              <w:jc w:val="left"/>
            </w:pPr>
            <w:r>
              <w:rPr>
                <w:b w:val="0"/>
                <w:i w:val="0"/>
                <w:sz w:val="18"/>
              </w:rPr>
              <w:t>Variants tab: click a variant card → swimlane updates; show Sunita's case (skipped Underwriting Review entirely)</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7</w:t>
            </w:r>
          </w:p>
        </w:tc>
        <w:tc>
          <w:tcPr>
            <w:tcW w:type="dxa" w:w="8856"/>
            <w:shd w:val="clear" w:color="auto" w:fill="F7FCFC"/>
          </w:tcPr>
          <w:p>
            <w:pPr>
              <w:jc w:val="left"/>
            </w:pPr>
            <w:r>
              <w:rPr>
                <w:b w:val="0"/>
                <w:i w:val="0"/>
                <w:sz w:val="18"/>
              </w:rPr>
              <w:t>Execution Conformance tab: point to fitness 0.46 — 6 of 13 cases conform; deviation patterns sorted by severity × case count</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"Seven distinct execution paths through this process. Sunita Iyer's case actually skipped Underwriting Review entirely. We caught it from the data, not the SOP."</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8</w:t>
            </w:r>
          </w:p>
        </w:tc>
        <w:tc>
          <w:tcPr>
            <w:tcW w:type="dxa" w:w="8856"/>
            <w:shd w:val="clear" w:color="auto" w:fill="F7FCFC"/>
          </w:tcPr>
          <w:p>
            <w:pPr>
              <w:jc w:val="left"/>
            </w:pPr>
            <w:r>
              <w:rPr>
                <w:b w:val="0"/>
                <w:i w:val="0"/>
                <w:sz w:val="18"/>
              </w:rPr>
              <w:t>Click Filter Cases button → check Commercial only → Apply (5 cases, fitness jumps to 60%); Clear to reset</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"Fitness 0.46 — only 6 of 13 cases conform. The deviation patterns are listed by severity — skipped Underwriting (critical), wrong-role Credit Check (high), SLA-breached KYC (medium)."</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9</w:t>
            </w:r>
          </w:p>
        </w:tc>
        <w:tc>
          <w:tcPr>
            <w:tcW w:type="dxa" w:w="8856"/>
            <w:shd w:val="clear" w:color="auto" w:fill="F7FCFC"/>
          </w:tcPr>
          <w:p>
            <w:pPr>
              <w:jc w:val="left"/>
            </w:pPr>
            <w:r>
              <w:rPr>
                <w:b w:val="0"/>
                <w:i w:val="0"/>
                <w:sz w:val="18"/>
              </w:rPr>
              <w:t>Click Optimise button → modal opens with Haiku-generated re-routing suggestions, effort badges, target steps</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"You can slice by loan type. Commercial-only — 5 cases, fitness jumps to 60%. Retail loans are where most deviations live."</w:t>
            </w:r>
          </w:p>
        </w:tc>
      </w:tr>
    </w:tbl>
    <w:tbl>
      <w:tblPr>
        <w:tblW w:type="auto" w:w="0"/>
        <w:tblLook w:firstColumn="1" w:firstRow="1" w:lastColumn="0" w:lastRow="0" w:noHBand="0" w:noVBand="1" w:val="04A0"/>
      </w:tblPr>
      <w:tblGrid>
        <w:gridCol w:w="9746"/>
      </w:tblGrid>
      <w:tr>
        <w:tc>
          <w:tcPr>
            <w:tcW w:type="dxa" w:w="9746"/>
            <w:shd w:val="clear" w:color="auto" w:fill="FFFBEB"/>
            <w:tcBorders>
              <w:left w:val="single" w:sz="12" w:space="0" w:color="D97706"/>
            </w:tcBorders>
          </w:tcPr>
          <w:p>
            <w:r>
              <w:rPr>
                <w:b/>
                <w:i w:val="0"/>
                <w:color w:val="D97706"/>
                <w:sz w:val="17"/>
              </w:rPr>
              <w:t xml:space="preserve">Tips:  </w:t>
            </w:r>
            <w:r>
              <w:rPr>
                <w:b w:val="0"/>
                <w:i w:val="0"/>
                <w:color w:val="783500"/>
                <w:sz w:val="17"/>
              </w:rPr>
              <w:t>Live-data caveat is mandatory — say it BEFORE you reveal numbers, not after  |  Sunita / James / BlueRiver are real names in the seed data — let them land</w:t>
            </w:r>
          </w:p>
        </w:tc>
      </w:tr>
    </w:tbl>
    <w:p/>
    <w:tbl>
      <w:tblPr>
        <w:tblW w:type="auto" w:w="0"/>
        <w:tblLook w:firstColumn="1" w:firstRow="1" w:lastColumn="0" w:lastRow="0" w:noHBand="0" w:noVBand="1" w:val="04A0"/>
      </w:tblPr>
      <w:tblGrid>
        <w:gridCol w:w="4873"/>
        <w:gridCol w:w="4873"/>
      </w:tblGrid>
      <w:tr>
        <w:tc>
          <w:tcPr>
            <w:tcW w:type="dxa" w:w="6480"/>
            <w:shd w:val="clear" w:color="auto" w:fill="036868"/>
          </w:tcPr>
          <w:p>
            <w:r>
              <w:rPr>
                <w:b/>
                <w:i w:val="0"/>
                <w:color w:val="FFFFFF"/>
                <w:sz w:val="20"/>
              </w:rPr>
              <w:t xml:space="preserve">Step 5  </w:t>
            </w:r>
            <w:r>
              <w:rPr>
                <w:b w:val="0"/>
                <w:i w:val="0"/>
                <w:color w:val="A7D4D4"/>
                <w:sz w:val="20"/>
              </w:rPr>
              <w:t>Audit Check  (was Conformance — renamed)</w:t>
            </w:r>
          </w:p>
        </w:tc>
        <w:tc>
          <w:tcPr>
            <w:tcW w:type="dxa" w:w="2880"/>
            <w:shd w:val="clear" w:color="auto" w:fill="036868"/>
          </w:tcPr>
          <w:p>
            <w:pPr>
              <w:jc w:val="right"/>
            </w:pPr>
            <w:r>
              <w:rPr>
                <w:b w:val="0"/>
                <w:i w:val="0"/>
                <w:color w:val="A7D4D4"/>
                <w:sz w:val="18"/>
              </w:rPr>
              <w:t>≈ 2 min</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1</w:t>
            </w:r>
          </w:p>
        </w:tc>
        <w:tc>
          <w:tcPr>
            <w:tcW w:type="dxa" w:w="8856"/>
            <w:shd w:val="clear" w:color="auto" w:fill="F7FCFC"/>
          </w:tcPr>
          <w:p>
            <w:pPr>
              <w:jc w:val="left"/>
            </w:pPr>
            <w:r>
              <w:rPr>
                <w:b w:val="0"/>
                <w:i w:val="0"/>
                <w:sz w:val="18"/>
              </w:rPr>
              <w:t>Click Audit Check nav (was 'Conformance' — renamed for clarity)</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2</w:t>
            </w:r>
          </w:p>
        </w:tc>
        <w:tc>
          <w:tcPr>
            <w:tcW w:type="dxa" w:w="8856"/>
            <w:shd w:val="clear" w:color="auto" w:fill="F7FCFC"/>
          </w:tcPr>
          <w:p>
            <w:pPr>
              <w:jc w:val="left"/>
            </w:pPr>
            <w:r>
              <w:rPr>
                <w:b w:val="0"/>
                <w:i w:val="0"/>
                <w:sz w:val="18"/>
              </w:rPr>
              <w:t>Click Choose File → select loan_audit_report.docx</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"Process Mining compared the SOP to your operational data. Audit Check compares the SOP to an audit document — a different question, answered by Claude reading prose."</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3</w:t>
            </w:r>
          </w:p>
        </w:tc>
        <w:tc>
          <w:tcPr>
            <w:tcW w:type="dxa" w:w="8856"/>
            <w:shd w:val="clear" w:color="auto" w:fill="F7FCFC"/>
          </w:tcPr>
          <w:p>
            <w:pPr>
              <w:jc w:val="left"/>
            </w:pPr>
            <w:r>
              <w:rPr>
                <w:b w:val="0"/>
                <w:i w:val="0"/>
                <w:sz w:val="18"/>
              </w:rPr>
              <w:t>Click Run Audit Check →</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4</w:t>
            </w:r>
          </w:p>
        </w:tc>
        <w:tc>
          <w:tcPr>
            <w:tcW w:type="dxa" w:w="8856"/>
            <w:shd w:val="clear" w:color="auto" w:fill="F7FCFC"/>
          </w:tcPr>
          <w:p>
            <w:pPr>
              <w:jc w:val="left"/>
            </w:pPr>
            <w:r>
              <w:rPr>
                <w:b w:val="0"/>
                <w:i w:val="0"/>
                <w:sz w:val="18"/>
              </w:rPr>
              <w:t>Wait ~30–40s (Sonnet — second AI moment, narrate while loading)</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5</w:t>
            </w:r>
          </w:p>
        </w:tc>
        <w:tc>
          <w:tcPr>
            <w:tcW w:type="dxa" w:w="8856"/>
            <w:shd w:val="clear" w:color="auto" w:fill="F7FCFC"/>
          </w:tcPr>
          <w:p>
            <w:pPr>
              <w:jc w:val="left"/>
            </w:pPr>
            <w:r>
              <w:rPr>
                <w:b w:val="0"/>
                <w:i w:val="0"/>
                <w:sz w:val="18"/>
              </w:rPr>
              <w:t>Point to the audit match score (~30%); click a red deviated card → click View in Graph</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"This is a Q3 2024 audit report from the same bank. Claude is reading every node in the SOP graph and asking: did the audit confirm this happened? deviate? not mention it?"</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6</w:t>
            </w:r>
          </w:p>
        </w:tc>
        <w:tc>
          <w:tcPr>
            <w:tcW w:type="dxa" w:w="8856"/>
            <w:shd w:val="clear" w:color="auto" w:fill="F7FCFC"/>
          </w:tcPr>
          <w:p>
            <w:pPr>
              <w:jc w:val="left"/>
            </w:pPr>
            <w:r>
              <w:rPr>
                <w:b w:val="0"/>
                <w:i w:val="0"/>
                <w:sz w:val="18"/>
              </w:rPr>
              <w:t>Toggle All / Deviated / Confirmed overlays</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"30% audit match. Three nodes confirmed, six deviated, one no-evidence. The audit found that AML screening was performed AFTER credit pull — a critical sequencing breach the SOP forbids."</w:t>
            </w:r>
          </w:p>
        </w:tc>
      </w:tr>
    </w:tbl>
    <w:p/>
    <w:tbl>
      <w:tblPr>
        <w:tblW w:type="auto" w:w="0"/>
        <w:tblLook w:firstColumn="1" w:firstRow="1" w:lastColumn="0" w:lastRow="0" w:noHBand="0" w:noVBand="1" w:val="04A0"/>
      </w:tblPr>
      <w:tblGrid>
        <w:gridCol w:w="4873"/>
        <w:gridCol w:w="4873"/>
      </w:tblGrid>
      <w:tr>
        <w:tc>
          <w:tcPr>
            <w:tcW w:type="dxa" w:w="6480"/>
            <w:shd w:val="clear" w:color="auto" w:fill="036868"/>
          </w:tcPr>
          <w:p>
            <w:r>
              <w:rPr>
                <w:b/>
                <w:i w:val="0"/>
                <w:color w:val="FFFFFF"/>
                <w:sz w:val="20"/>
              </w:rPr>
              <w:t xml:space="preserve">Step 6  </w:t>
            </w:r>
            <w:r>
              <w:rPr>
                <w:b w:val="0"/>
                <w:i w:val="0"/>
                <w:color w:val="A7D4D4"/>
                <w:sz w:val="20"/>
              </w:rPr>
              <w:t>Object Model</w:t>
            </w:r>
          </w:p>
        </w:tc>
        <w:tc>
          <w:tcPr>
            <w:tcW w:type="dxa" w:w="2880"/>
            <w:shd w:val="clear" w:color="auto" w:fill="036868"/>
          </w:tcPr>
          <w:p>
            <w:pPr>
              <w:jc w:val="right"/>
            </w:pPr>
            <w:r>
              <w:rPr>
                <w:b w:val="0"/>
                <w:i w:val="0"/>
                <w:color w:val="A7D4D4"/>
                <w:sz w:val="18"/>
              </w:rPr>
              <w:t>≈ 1 min</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1</w:t>
            </w:r>
          </w:p>
        </w:tc>
        <w:tc>
          <w:tcPr>
            <w:tcW w:type="dxa" w:w="8856"/>
            <w:shd w:val="clear" w:color="auto" w:fill="F7FCFC"/>
          </w:tcPr>
          <w:p>
            <w:pPr>
              <w:jc w:val="left"/>
            </w:pPr>
            <w:r>
              <w:rPr>
                <w:b w:val="0"/>
                <w:i w:val="0"/>
                <w:sz w:val="18"/>
              </w:rPr>
              <w:t>Click Object Model nav (full-screen, Entity Diagram tab default)</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2</w:t>
            </w:r>
          </w:p>
        </w:tc>
        <w:tc>
          <w:tcPr>
            <w:tcW w:type="dxa" w:w="8856"/>
            <w:shd w:val="clear" w:color="auto" w:fill="F7FCFC"/>
          </w:tcPr>
          <w:p>
            <w:pPr>
              <w:jc w:val="left"/>
            </w:pPr>
            <w:r>
              <w:rPr>
                <w:b w:val="0"/>
                <w:i w:val="0"/>
                <w:sz w:val="18"/>
              </w:rPr>
              <w:t>Wait while it loads (Sonnet, ~30s)</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"The Object Model is the bridge from understanding to building. The same knowledge graph, expressed as a BRD-compliant entity model — Pydantic, JSON Schema, ERD. This is what the Application Language Model consumes upstream."</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3</w:t>
            </w:r>
          </w:p>
        </w:tc>
        <w:tc>
          <w:tcPr>
            <w:tcW w:type="dxa" w:w="8856"/>
            <w:shd w:val="clear" w:color="auto" w:fill="F7FCFC"/>
          </w:tcPr>
          <w:p>
            <w:pPr>
              <w:jc w:val="left"/>
            </w:pPr>
            <w:r>
              <w:rPr>
                <w:b w:val="0"/>
                <w:i w:val="0"/>
                <w:sz w:val="18"/>
              </w:rPr>
              <w:t>Point to the diagram — entities laid out by FK depth (customer → loan_application → credit_assessment / sanction)</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4</w:t>
            </w:r>
          </w:p>
        </w:tc>
        <w:tc>
          <w:tcPr>
            <w:tcW w:type="dxa" w:w="8856"/>
            <w:shd w:val="clear" w:color="auto" w:fill="F7FCFC"/>
          </w:tcPr>
          <w:p>
            <w:pPr>
              <w:jc w:val="left"/>
            </w:pPr>
            <w:r>
              <w:rPr>
                <w:b w:val="0"/>
                <w:i w:val="0"/>
                <w:sz w:val="18"/>
              </w:rPr>
              <w:t>Click Pydantic / JSON Schema buttons in the topbar to jump tabs</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"Layered by foreign-key depth. Brand-teal arrows are relationships. Click Pydantic or JSON Schema for the generated code."</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5</w:t>
            </w:r>
          </w:p>
        </w:tc>
        <w:tc>
          <w:tcPr>
            <w:tcW w:type="dxa" w:w="8856"/>
            <w:shd w:val="clear" w:color="auto" w:fill="F7FCFC"/>
          </w:tcPr>
          <w:p>
            <w:pPr>
              <w:jc w:val="left"/>
            </w:pPr>
            <w:r>
              <w:rPr>
                <w:b w:val="0"/>
                <w:i w:val="0"/>
                <w:sz w:val="18"/>
              </w:rPr>
              <w:t>Click Regenerate → re-runs Sonnet (cache busted)</w:t>
            </w:r>
          </w:p>
        </w:tc>
      </w:tr>
    </w:tbl>
    <w:p/>
    <w:tbl>
      <w:tblPr>
        <w:tblW w:type="auto" w:w="0"/>
        <w:tblLook w:firstColumn="1" w:firstRow="1" w:lastColumn="0" w:lastRow="0" w:noHBand="0" w:noVBand="1" w:val="04A0"/>
      </w:tblPr>
      <w:tblGrid>
        <w:gridCol w:w="4873"/>
        <w:gridCol w:w="4873"/>
      </w:tblGrid>
      <w:tr>
        <w:tc>
          <w:tcPr>
            <w:tcW w:type="dxa" w:w="6480"/>
            <w:shd w:val="clear" w:color="auto" w:fill="036868"/>
          </w:tcPr>
          <w:p>
            <w:r>
              <w:rPr>
                <w:b/>
                <w:i w:val="0"/>
                <w:color w:val="FFFFFF"/>
                <w:sz w:val="20"/>
              </w:rPr>
              <w:t xml:space="preserve">Step 7  </w:t>
            </w:r>
            <w:r>
              <w:rPr>
                <w:b w:val="0"/>
                <w:i w:val="0"/>
                <w:color w:val="A7D4D4"/>
                <w:sz w:val="20"/>
              </w:rPr>
              <w:t>Dashboard — bird's-eye view</w:t>
            </w:r>
          </w:p>
        </w:tc>
        <w:tc>
          <w:tcPr>
            <w:tcW w:type="dxa" w:w="2880"/>
            <w:shd w:val="clear" w:color="auto" w:fill="036868"/>
          </w:tcPr>
          <w:p>
            <w:pPr>
              <w:jc w:val="right"/>
            </w:pPr>
            <w:r>
              <w:rPr>
                <w:b w:val="0"/>
                <w:i w:val="0"/>
                <w:color w:val="A7D4D4"/>
                <w:sz w:val="18"/>
              </w:rPr>
              <w:t>≈ 1 min</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1</w:t>
            </w:r>
          </w:p>
        </w:tc>
        <w:tc>
          <w:tcPr>
            <w:tcW w:type="dxa" w:w="8856"/>
            <w:shd w:val="clear" w:color="auto" w:fill="F7FCFC"/>
          </w:tcPr>
          <w:p>
            <w:pPr>
              <w:jc w:val="left"/>
            </w:pPr>
            <w:r>
              <w:rPr>
                <w:b w:val="0"/>
                <w:i w:val="0"/>
                <w:sz w:val="18"/>
              </w:rPr>
              <w:t>Click Dashboard nav (full-screen)</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2</w:t>
            </w:r>
          </w:p>
        </w:tc>
        <w:tc>
          <w:tcPr>
            <w:tcW w:type="dxa" w:w="8856"/>
            <w:shd w:val="clear" w:color="auto" w:fill="F7FCFC"/>
          </w:tcPr>
          <w:p>
            <w:pPr>
              <w:jc w:val="left"/>
            </w:pPr>
            <w:r>
              <w:rPr>
                <w:b w:val="0"/>
                <w:i w:val="0"/>
                <w:sz w:val="18"/>
              </w:rPr>
              <w:t>Walk through: health score, four KPI tiles (Coverage / SLA / Conformance / Bottleneck), Top Hotspots, Top Deviating Cases</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"This is the operational health of the discovery, in one view. Health score, four KPI tiles, top hotspots from Process Mining, top deviating cases by name, graph composition, live ops, completeness checklist."</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3</w:t>
            </w:r>
          </w:p>
        </w:tc>
        <w:tc>
          <w:tcPr>
            <w:tcW w:type="dxa" w:w="8856"/>
            <w:shd w:val="clear" w:color="auto" w:fill="F7FCFC"/>
          </w:tcPr>
          <w:p>
            <w:pPr>
              <w:jc w:val="left"/>
            </w:pPr>
            <w:r>
              <w:rPr>
                <w:b w:val="0"/>
                <w:i w:val="0"/>
                <w:sz w:val="18"/>
              </w:rPr>
              <w:t>Graph composition bar, Live Operational Data section, Setup-progress checklist</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4</w:t>
            </w:r>
          </w:p>
        </w:tc>
        <w:tc>
          <w:tcPr>
            <w:tcW w:type="dxa" w:w="8856"/>
            <w:shd w:val="clear" w:color="auto" w:fill="F7FCFC"/>
          </w:tcPr>
          <w:p>
            <w:pPr>
              <w:jc w:val="left"/>
            </w:pPr>
            <w:r>
              <w:rPr>
                <w:b w:val="0"/>
                <w:i w:val="0"/>
                <w:sz w:val="18"/>
              </w:rPr>
              <w:t>Click the Bottleneck KPI tile or any Top Hotspot row → drills through to source tab</w:t>
            </w:r>
          </w:p>
        </w:tc>
      </w:tr>
    </w:tbl>
    <w:p/>
    <w:tbl>
      <w:tblPr>
        <w:tblW w:type="auto" w:w="0"/>
        <w:tblLook w:firstColumn="1" w:firstRow="1" w:lastColumn="0" w:lastRow="0" w:noHBand="0" w:noVBand="1" w:val="04A0"/>
      </w:tblPr>
      <w:tblGrid>
        <w:gridCol w:w="4873"/>
        <w:gridCol w:w="4873"/>
      </w:tblGrid>
      <w:tr>
        <w:tc>
          <w:tcPr>
            <w:tcW w:type="dxa" w:w="6480"/>
            <w:shd w:val="clear" w:color="auto" w:fill="036868"/>
          </w:tcPr>
          <w:p>
            <w:r>
              <w:rPr>
                <w:b/>
                <w:i w:val="0"/>
                <w:color w:val="FFFFFF"/>
                <w:sz w:val="20"/>
              </w:rPr>
              <w:t xml:space="preserve">Step 8  </w:t>
            </w:r>
            <w:r>
              <w:rPr>
                <w:b w:val="0"/>
                <w:i w:val="0"/>
                <w:color w:val="A7D4D4"/>
                <w:sz w:val="20"/>
              </w:rPr>
              <w:t>Pulse Drawer</w:t>
            </w:r>
          </w:p>
        </w:tc>
        <w:tc>
          <w:tcPr>
            <w:tcW w:type="dxa" w:w="2880"/>
            <w:shd w:val="clear" w:color="auto" w:fill="036868"/>
          </w:tcPr>
          <w:p>
            <w:pPr>
              <w:jc w:val="right"/>
            </w:pPr>
            <w:r>
              <w:rPr>
                <w:b w:val="0"/>
                <w:i w:val="0"/>
                <w:color w:val="A7D4D4"/>
                <w:sz w:val="18"/>
              </w:rPr>
              <w:t>≈ 45 sec</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1</w:t>
            </w:r>
          </w:p>
        </w:tc>
        <w:tc>
          <w:tcPr>
            <w:tcW w:type="dxa" w:w="8856"/>
            <w:shd w:val="clear" w:color="auto" w:fill="F7FCFC"/>
          </w:tcPr>
          <w:p>
            <w:pPr>
              <w:jc w:val="left"/>
            </w:pPr>
            <w:r>
              <w:rPr>
                <w:b w:val="0"/>
                <w:i w:val="0"/>
                <w:sz w:val="18"/>
              </w:rPr>
              <w:t>Click the bell icon at the bottom of the sidebar</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2</w:t>
            </w:r>
          </w:p>
        </w:tc>
        <w:tc>
          <w:tcPr>
            <w:tcW w:type="dxa" w:w="8856"/>
            <w:shd w:val="clear" w:color="auto" w:fill="F7FCFC"/>
          </w:tcPr>
          <w:p>
            <w:pPr>
              <w:jc w:val="left"/>
            </w:pPr>
            <w:r>
              <w:rPr>
                <w:b w:val="0"/>
                <w:i w:val="0"/>
                <w:sz w:val="18"/>
              </w:rPr>
              <w:t>Drawer slides in — filter tabs at the top (All / Critical / Warning / Info with counts)</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"Pulse surfaces what needs attention now. Critical / Warning / Info filter at the top. Each card has the issue, source, and two actions — View in Graph or Dismiss."</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3</w:t>
            </w:r>
          </w:p>
        </w:tc>
        <w:tc>
          <w:tcPr>
            <w:tcW w:type="dxa" w:w="8856"/>
            <w:shd w:val="clear" w:color="auto" w:fill="F7FCFC"/>
          </w:tcPr>
          <w:p>
            <w:pPr>
              <w:jc w:val="left"/>
            </w:pPr>
            <w:r>
              <w:rPr>
                <w:b w:val="0"/>
                <w:i w:val="0"/>
                <w:sz w:val="18"/>
              </w:rPr>
              <w:t>Each card: severity pill, 'just now' timestamp, title, derived Source line, View in Graph + Dismiss buttons</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4</w:t>
            </w:r>
          </w:p>
        </w:tc>
        <w:tc>
          <w:tcPr>
            <w:tcW w:type="dxa" w:w="8856"/>
            <w:shd w:val="clear" w:color="auto" w:fill="F7FCFC"/>
          </w:tcPr>
          <w:p>
            <w:pPr>
              <w:jc w:val="left"/>
            </w:pPr>
            <w:r>
              <w:rPr>
                <w:b w:val="0"/>
                <w:i w:val="0"/>
                <w:sz w:val="18"/>
              </w:rPr>
              <w:t>Click View in Graph on a critical item</w:t>
            </w:r>
          </w:p>
        </w:tc>
      </w:tr>
    </w:tbl>
    <w:p/>
    <w:tbl>
      <w:tblPr>
        <w:tblW w:type="auto" w:w="0"/>
        <w:tblLook w:firstColumn="1" w:firstRow="1" w:lastColumn="0" w:lastRow="0" w:noHBand="0" w:noVBand="1" w:val="04A0"/>
      </w:tblPr>
      <w:tblGrid>
        <w:gridCol w:w="4873"/>
        <w:gridCol w:w="4873"/>
      </w:tblGrid>
      <w:tr>
        <w:tc>
          <w:tcPr>
            <w:tcW w:type="dxa" w:w="6480"/>
            <w:shd w:val="clear" w:color="auto" w:fill="036868"/>
          </w:tcPr>
          <w:p>
            <w:r>
              <w:rPr>
                <w:b/>
                <w:i w:val="0"/>
                <w:color w:val="FFFFFF"/>
                <w:sz w:val="20"/>
              </w:rPr>
              <w:t xml:space="preserve">Step 9  </w:t>
            </w:r>
            <w:r>
              <w:rPr>
                <w:b w:val="0"/>
                <w:i w:val="0"/>
                <w:color w:val="A7D4D4"/>
                <w:sz w:val="20"/>
              </w:rPr>
              <w:t>Generate Executive Report  (the finale)</w:t>
            </w:r>
          </w:p>
        </w:tc>
        <w:tc>
          <w:tcPr>
            <w:tcW w:type="dxa" w:w="2880"/>
            <w:shd w:val="clear" w:color="auto" w:fill="036868"/>
          </w:tcPr>
          <w:p>
            <w:pPr>
              <w:jc w:val="right"/>
            </w:pPr>
            <w:r>
              <w:rPr>
                <w:b w:val="0"/>
                <w:i w:val="0"/>
                <w:color w:val="A7D4D4"/>
                <w:sz w:val="18"/>
              </w:rPr>
              <w:t>≈ 1 min</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1</w:t>
            </w:r>
          </w:p>
        </w:tc>
        <w:tc>
          <w:tcPr>
            <w:tcW w:type="dxa" w:w="8856"/>
            <w:shd w:val="clear" w:color="auto" w:fill="F7FCFC"/>
          </w:tcPr>
          <w:p>
            <w:pPr>
              <w:jc w:val="left"/>
            </w:pPr>
            <w:r>
              <w:rPr>
                <w:b w:val="0"/>
                <w:i w:val="0"/>
                <w:sz w:val="18"/>
              </w:rPr>
              <w:t>Click 'Generate Report' in the top-right of the header</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2</w:t>
            </w:r>
          </w:p>
        </w:tc>
        <w:tc>
          <w:tcPr>
            <w:tcW w:type="dxa" w:w="8856"/>
            <w:shd w:val="clear" w:color="auto" w:fill="F7FCFC"/>
          </w:tcPr>
          <w:p>
            <w:pPr>
              <w:jc w:val="left"/>
            </w:pPr>
            <w:r>
              <w:rPr>
                <w:b w:val="0"/>
                <w:i w:val="0"/>
                <w:sz w:val="18"/>
              </w:rPr>
              <w:t>A new tab opens with the print-styled HTML report</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"Cover page, Executive Summary with health score, Top Issues, Process Mining findings, Audit Check results, Object Model summary, AI Optimisation Suggestions. Self-contained HTML — they can save to PDF from the browser print dialog. No new AI calls — it's composed from what we already produced."</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3</w:t>
            </w:r>
          </w:p>
        </w:tc>
        <w:tc>
          <w:tcPr>
            <w:tcW w:type="dxa" w:w="8856"/>
            <w:shd w:val="clear" w:color="auto" w:fill="F7FCFC"/>
          </w:tcPr>
          <w:p>
            <w:pPr>
              <w:jc w:val="left"/>
            </w:pPr>
            <w:r>
              <w:rPr>
                <w:b w:val="0"/>
                <w:i w:val="0"/>
                <w:sz w:val="18"/>
              </w:rPr>
              <w:t>Walk through the sections quickly: cover, executive summary, top issues, Process Mining, Audit Check, Object Model, AI Optimisation</w:t>
            </w:r>
          </w:p>
        </w:tc>
      </w:tr>
    </w:tbl>
    <w:tbl>
      <w:tblPr>
        <w:tblStyle w:val="TableGrid"/>
        <w:tblW w:type="auto" w:w="0"/>
        <w:tblLook w:firstColumn="1" w:firstRow="1" w:lastColumn="0" w:lastRow="0" w:noHBand="0" w:noVBand="1" w:val="04A0"/>
      </w:tblPr>
      <w:tblGrid>
        <w:gridCol w:w="4873"/>
        <w:gridCol w:w="4873"/>
      </w:tblGrid>
      <w:tr>
        <w:tc>
          <w:tcPr>
            <w:tcW w:type="dxa" w:w="504"/>
            <w:shd w:val="clear" w:color="auto" w:fill="E6F4F4"/>
          </w:tcPr>
          <w:p>
            <w:pPr>
              <w:jc w:val="center"/>
            </w:pPr>
            <w:r>
              <w:rPr>
                <w:b/>
                <w:i w:val="0"/>
                <w:color w:val="036868"/>
                <w:sz w:val="18"/>
              </w:rPr>
              <w:t>4</w:t>
            </w:r>
          </w:p>
        </w:tc>
        <w:tc>
          <w:tcPr>
            <w:tcW w:type="dxa" w:w="8856"/>
            <w:shd w:val="clear" w:color="auto" w:fill="F7FCFC"/>
          </w:tcPr>
          <w:p>
            <w:pPr>
              <w:jc w:val="left"/>
            </w:pPr>
            <w:r>
              <w:rPr>
                <w:b w:val="0"/>
                <w:i w:val="0"/>
                <w:sz w:val="18"/>
              </w:rPr>
              <w:t>Click Save as PDF / Print (or Ctrl+P) → show that each major section starts on its own page</w:t>
            </w:r>
          </w:p>
        </w:tc>
      </w:tr>
    </w:tbl>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b w:val="0"/>
                <w:i/>
                <w:color w:val="024F4F"/>
                <w:sz w:val="18"/>
              </w:rPr>
              <w:t>Say:  "Each major section starts on its own page. The Metafore wordmark is on the cover. Ready for the boardroom."</w:t>
            </w:r>
          </w:p>
        </w:tc>
      </w:tr>
    </w:tbl>
    <w:tbl>
      <w:tblPr>
        <w:tblW w:type="auto" w:w="0"/>
        <w:tblLook w:firstColumn="1" w:firstRow="1" w:lastColumn="0" w:lastRow="0" w:noHBand="0" w:noVBand="1" w:val="04A0"/>
      </w:tblPr>
      <w:tblGrid>
        <w:gridCol w:w="9746"/>
      </w:tblGrid>
      <w:tr>
        <w:tc>
          <w:tcPr>
            <w:tcW w:type="dxa" w:w="9746"/>
            <w:shd w:val="clear" w:color="auto" w:fill="FFFBEB"/>
            <w:tcBorders>
              <w:left w:val="single" w:sz="12" w:space="0" w:color="D97706"/>
            </w:tcBorders>
          </w:tcPr>
          <w:p>
            <w:r>
              <w:rPr>
                <w:b/>
                <w:i w:val="0"/>
                <w:color w:val="D97706"/>
                <w:sz w:val="17"/>
              </w:rPr>
              <w:t xml:space="preserve">Tips:  </w:t>
            </w:r>
            <w:r>
              <w:rPr>
                <w:b w:val="0"/>
                <w:i w:val="0"/>
                <w:color w:val="783500"/>
                <w:sz w:val="17"/>
              </w:rPr>
              <w:t>If you only have one slide to leave behind, this PDF is it  |  Button is disabled until a graph has been extracted — extract first</w:t>
            </w:r>
          </w:p>
        </w:tc>
      </w:tr>
    </w:tbl>
    <w:p/>
    <w:p>
      <w:pPr>
        <w:spacing w:before="320" w:after="40"/>
        <w:pBdr>
          <w:top w:val="single" w:sz="4" w:space="4" w:color="036868"/>
        </w:pBdr>
      </w:pPr>
      <w:r>
        <w:rPr>
          <w:b/>
          <w:color w:val="036868"/>
          <w:sz w:val="16"/>
        </w:rPr>
        <w:t>CLOSING LINE</w:t>
      </w:r>
    </w:p>
    <w:p/>
    <w:tbl>
      <w:tblPr>
        <w:tblW w:type="auto" w:w="0"/>
        <w:tblLook w:firstColumn="1" w:firstRow="1" w:lastColumn="0" w:lastRow="0" w:noHBand="0" w:noVBand="1" w:val="04A0"/>
      </w:tblPr>
      <w:tblGrid>
        <w:gridCol w:w="9746"/>
      </w:tblGrid>
      <w:tr>
        <w:tc>
          <w:tcPr>
            <w:tcW w:type="dxa" w:w="9746"/>
            <w:shd w:val="clear" w:color="auto" w:fill="F0FAFA"/>
            <w:tcBorders>
              <w:left w:val="single" w:sz="12" w:space="0" w:color="036868"/>
            </w:tcBorders>
          </w:tcPr>
          <w:p>
            <w:r>
              <w:rPr>
                <w:i/>
                <w:color w:val="024F4F"/>
                <w:sz w:val="20"/>
              </w:rPr>
              <w:t>"Twelve minutes. From a Word document to a knowledge graph, an operational process model with named deviations, an audit comparison, a generated data model, and a printable executive report. Today this is reading documents. Tomorrow — once you wire your event logs and systems of record — it's the same engine, the same graph, the same insights, but now living and self-evolving. That's the Metafore Discovery Engine. Slide 8 of our deck. The wedge into the EGI platform."</w:t>
            </w:r>
          </w:p>
        </w:tc>
      </w:tr>
    </w:tbl>
    <w:p/>
    <w:p>
      <w:pPr>
        <w:spacing w:before="320" w:after="40"/>
        <w:pBdr>
          <w:top w:val="single" w:sz="4" w:space="4" w:color="036868"/>
        </w:pBdr>
      </w:pPr>
      <w:r>
        <w:rPr>
          <w:b/>
          <w:color w:val="036868"/>
          <w:sz w:val="16"/>
        </w:rPr>
        <w:t>PRESENTER TIPS &amp; RISKS</w:t>
      </w:r>
    </w:p>
    <w:p/>
    <w:tbl>
      <w:tblPr>
        <w:tblStyle w:val="TableGrid"/>
        <w:tblW w:type="auto" w:w="0"/>
        <w:tblLook w:firstColumn="1" w:firstRow="1" w:lastColumn="0" w:lastRow="0" w:noHBand="0" w:noVBand="1" w:val="04A0"/>
      </w:tblPr>
      <w:tblGrid>
        <w:gridCol w:w="4873"/>
        <w:gridCol w:w="4873"/>
      </w:tblGrid>
      <w:tr>
        <w:tc>
          <w:tcPr>
            <w:tcW w:type="dxa" w:w="4873"/>
            <w:shd w:val="clear" w:color="auto" w:fill="E6F4F4"/>
          </w:tcPr>
          <w:p>
            <w:pPr>
              <w:jc w:val="left"/>
            </w:pPr>
            <w:r>
              <w:rPr>
                <w:b/>
                <w:i w:val="0"/>
                <w:color w:val="024F4F"/>
                <w:sz w:val="18"/>
              </w:rPr>
              <w:t>Live-data question = #1 risk</w:t>
            </w:r>
          </w:p>
        </w:tc>
        <w:tc>
          <w:tcPr>
            <w:tcW w:type="dxa" w:w="4873"/>
            <w:shd w:val="clear" w:color="auto" w:fill="E6F4F4"/>
          </w:tcPr>
          <w:p>
            <w:pPr>
              <w:jc w:val="left"/>
            </w:pPr>
            <w:r>
              <w:rPr>
                <w:b w:val="0"/>
                <w:i w:val="0"/>
                <w:sz w:val="18"/>
              </w:rPr>
              <w:t>If asked 'can it read our SAP/Salesforce live?' — answer: 'Document-driven today; connector to live systems is days, not the months Celonis takes. We pre-seeded operational data here so you can see the mining surface.' Pre-empt the question; don't dodge.</w:t>
            </w:r>
          </w:p>
        </w:tc>
      </w:tr>
      <w:tr>
        <w:tc>
          <w:tcPr>
            <w:tcW w:type="dxa" w:w="4873"/>
            <w:shd w:val="clear" w:color="auto" w:fill="FFFFFF"/>
          </w:tcPr>
          <w:p>
            <w:pPr>
              <w:jc w:val="left"/>
            </w:pPr>
            <w:r>
              <w:rPr>
                <w:b/>
                <w:i w:val="0"/>
                <w:color w:val="024F4F"/>
                <w:sz w:val="18"/>
              </w:rPr>
              <w:t>If a Claude call fails or is slow</w:t>
            </w:r>
          </w:p>
        </w:tc>
        <w:tc>
          <w:tcPr>
            <w:tcW w:type="dxa" w:w="4873"/>
            <w:shd w:val="clear" w:color="auto" w:fill="FFFFFF"/>
          </w:tcPr>
          <w:p>
            <w:pPr>
              <w:jc w:val="left"/>
            </w:pPr>
            <w:r>
              <w:rPr>
                <w:b w:val="0"/>
                <w:i w:val="0"/>
                <w:sz w:val="18"/>
              </w:rPr>
              <w:t>Skip to the next feature — Gap Analysis, Process Mining, Pulse, and Dashboard all work without LLM calls.</w:t>
            </w:r>
          </w:p>
        </w:tc>
      </w:tr>
      <w:tr>
        <w:tc>
          <w:tcPr>
            <w:tcW w:type="dxa" w:w="4873"/>
            <w:shd w:val="clear" w:color="auto" w:fill="E6F4F4"/>
          </w:tcPr>
          <w:p>
            <w:pPr>
              <w:jc w:val="left"/>
            </w:pPr>
            <w:r>
              <w:rPr>
                <w:b/>
                <w:i w:val="0"/>
                <w:color w:val="024F4F"/>
                <w:sz w:val="18"/>
              </w:rPr>
              <w:t>Graph zoom</w:t>
            </w:r>
          </w:p>
        </w:tc>
        <w:tc>
          <w:tcPr>
            <w:tcW w:type="dxa" w:w="4873"/>
            <w:shd w:val="clear" w:color="auto" w:fill="E6F4F4"/>
          </w:tcPr>
          <w:p>
            <w:pPr>
              <w:jc w:val="left"/>
            </w:pPr>
            <w:r>
              <w:rPr>
                <w:b w:val="0"/>
                <w:i w:val="0"/>
                <w:sz w:val="18"/>
              </w:rPr>
              <w:t>The graph looks more impressive zoomed into dense clusters — use the scroll wheel.</w:t>
            </w:r>
          </w:p>
        </w:tc>
      </w:tr>
      <w:tr>
        <w:tc>
          <w:tcPr>
            <w:tcW w:type="dxa" w:w="4873"/>
            <w:shd w:val="clear" w:color="auto" w:fill="FFFFFF"/>
          </w:tcPr>
          <w:p>
            <w:pPr>
              <w:jc w:val="left"/>
            </w:pPr>
            <w:r>
              <w:rPr>
                <w:b/>
                <w:i w:val="0"/>
                <w:color w:val="024F4F"/>
                <w:sz w:val="18"/>
              </w:rPr>
              <w:t>Audit Check vs Execution Conformance</w:t>
            </w:r>
          </w:p>
        </w:tc>
        <w:tc>
          <w:tcPr>
            <w:tcW w:type="dxa" w:w="4873"/>
            <w:shd w:val="clear" w:color="auto" w:fill="FFFFFF"/>
          </w:tcPr>
          <w:p>
            <w:pPr>
              <w:jc w:val="left"/>
            </w:pPr>
            <w:r>
              <w:rPr>
                <w:b w:val="0"/>
                <w:i w:val="0"/>
                <w:sz w:val="18"/>
              </w:rPr>
              <w:t>Two different questions. Audit Check = doc-vs-doc (Claude reads prose). Execution Conformance (in PM tab) = data-vs-doc (pure SQL). Don't conflate them.</w:t>
            </w:r>
          </w:p>
        </w:tc>
      </w:tr>
      <w:tr>
        <w:tc>
          <w:tcPr>
            <w:tcW w:type="dxa" w:w="4873"/>
            <w:shd w:val="clear" w:color="auto" w:fill="E6F4F4"/>
          </w:tcPr>
          <w:p>
            <w:pPr>
              <w:jc w:val="left"/>
            </w:pPr>
            <w:r>
              <w:rPr>
                <w:b/>
                <w:i w:val="0"/>
                <w:color w:val="024F4F"/>
                <w:sz w:val="18"/>
              </w:rPr>
              <w:t>Named deviations land</w:t>
            </w:r>
          </w:p>
        </w:tc>
        <w:tc>
          <w:tcPr>
            <w:tcW w:type="dxa" w:w="4873"/>
            <w:shd w:val="clear" w:color="auto" w:fill="E6F4F4"/>
          </w:tcPr>
          <w:p>
            <w:pPr>
              <w:jc w:val="left"/>
            </w:pPr>
            <w:r>
              <w:rPr>
                <w:b w:val="0"/>
                <w:i w:val="0"/>
                <w:sz w:val="18"/>
              </w:rPr>
              <w:t>Sunita Iyer skipped Underwriting; James Patel was wrong-role on Approval; BlueRiver got a wrong-role Credit Check. Use the names.</w:t>
            </w:r>
          </w:p>
        </w:tc>
      </w:tr>
      <w:tr>
        <w:tc>
          <w:tcPr>
            <w:tcW w:type="dxa" w:w="4873"/>
            <w:shd w:val="clear" w:color="auto" w:fill="FFFFFF"/>
          </w:tcPr>
          <w:p>
            <w:pPr>
              <w:jc w:val="left"/>
            </w:pPr>
            <w:r>
              <w:rPr>
                <w:b/>
                <w:i w:val="0"/>
                <w:color w:val="024F4F"/>
                <w:sz w:val="18"/>
              </w:rPr>
              <w:t>Reset between demos</w:t>
            </w:r>
          </w:p>
        </w:tc>
        <w:tc>
          <w:tcPr>
            <w:tcW w:type="dxa" w:w="4873"/>
            <w:shd w:val="clear" w:color="auto" w:fill="FFFFFF"/>
          </w:tcPr>
          <w:p>
            <w:pPr>
              <w:jc w:val="left"/>
            </w:pPr>
            <w:r>
              <w:rPr>
                <w:b w:val="0"/>
                <w:i w:val="0"/>
                <w:sz w:val="18"/>
              </w:rPr>
              <w:t>Click Reset — clears all state cleanly in one click.</w:t>
            </w:r>
          </w:p>
        </w:tc>
      </w:tr>
      <w:tr>
        <w:tc>
          <w:tcPr>
            <w:tcW w:type="dxa" w:w="4873"/>
            <w:shd w:val="clear" w:color="auto" w:fill="E6F4F4"/>
          </w:tcPr>
          <w:p>
            <w:pPr>
              <w:jc w:val="left"/>
            </w:pPr>
            <w:r>
              <w:rPr>
                <w:b/>
                <w:i w:val="0"/>
                <w:color w:val="024F4F"/>
                <w:sz w:val="18"/>
              </w:rPr>
              <w:t>Cache behaviour</w:t>
            </w:r>
          </w:p>
        </w:tc>
        <w:tc>
          <w:tcPr>
            <w:tcW w:type="dxa" w:w="4873"/>
            <w:shd w:val="clear" w:color="auto" w:fill="E6F4F4"/>
          </w:tcPr>
          <w:p>
            <w:pPr>
              <w:jc w:val="left"/>
            </w:pPr>
            <w:r>
              <w:rPr>
                <w:b w:val="0"/>
                <w:i w:val="0"/>
                <w:sz w:val="18"/>
              </w:rPr>
              <w:t>Graph extraction and Audit Check are NOT cached (so the AI moments are visibly real every time). Object Model, Blueprint, Pulse AI, Cross-doc, and Optimise ARE cached.</w:t>
            </w:r>
          </w:p>
        </w:tc>
      </w:tr>
    </w:tbl>
    <w:p/>
    <w:p>
      <w:pPr>
        <w:spacing w:before="320" w:after="40"/>
        <w:pBdr>
          <w:top w:val="single" w:sz="4" w:space="4" w:color="036868"/>
        </w:pBdr>
      </w:pPr>
      <w:r>
        <w:rPr>
          <w:b/>
          <w:color w:val="036868"/>
          <w:sz w:val="16"/>
        </w:rPr>
        <w:t>QUICK REFERENCE — WHAT EACH FEATURE SHOWS</w:t>
      </w:r>
    </w:p>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036868"/>
          </w:tcPr>
          <w:p>
            <w:pPr>
              <w:jc w:val="left"/>
            </w:pPr>
            <w:r>
              <w:rPr>
                <w:b/>
                <w:i w:val="0"/>
                <w:color w:val="FFFFFF"/>
                <w:sz w:val="18"/>
              </w:rPr>
              <w:t>Feature</w:t>
            </w:r>
          </w:p>
        </w:tc>
        <w:tc>
          <w:tcPr>
            <w:tcW w:type="dxa" w:w="2436"/>
            <w:shd w:val="clear" w:color="auto" w:fill="036868"/>
          </w:tcPr>
          <w:p>
            <w:pPr>
              <w:jc w:val="left"/>
            </w:pPr>
            <w:r>
              <w:rPr>
                <w:b/>
                <w:i w:val="0"/>
                <w:color w:val="FFFFFF"/>
                <w:sz w:val="18"/>
              </w:rPr>
              <w:t>Key Message</w:t>
            </w:r>
          </w:p>
        </w:tc>
        <w:tc>
          <w:tcPr>
            <w:tcW w:type="dxa" w:w="2436"/>
            <w:shd w:val="clear" w:color="auto" w:fill="036868"/>
          </w:tcPr>
          <w:p>
            <w:pPr>
              <w:jc w:val="left"/>
            </w:pPr>
            <w:r>
              <w:rPr>
                <w:b/>
                <w:i w:val="0"/>
                <w:color w:val="FFFFFF"/>
                <w:sz w:val="18"/>
              </w:rPr>
              <w:t>AI Call?</w:t>
            </w:r>
          </w:p>
        </w:tc>
        <w:tc>
          <w:tcPr>
            <w:tcW w:type="dxa" w:w="2436"/>
            <w:shd w:val="clear" w:color="auto" w:fill="036868"/>
          </w:tcPr>
          <w:p>
            <w:pPr>
              <w:jc w:val="left"/>
            </w:pPr>
            <w:r>
              <w:rPr>
                <w:b/>
                <w:i w:val="0"/>
                <w:color w:val="FFFFFF"/>
                <w:sz w:val="18"/>
              </w:rPr>
              <w:t>Wait Time</w:t>
            </w:r>
          </w:p>
        </w:tc>
      </w:tr>
      <w:tr>
        <w:tc>
          <w:tcPr>
            <w:tcW w:type="dxa" w:w="2436"/>
            <w:shd w:val="clear" w:color="auto" w:fill="E6F4F4"/>
          </w:tcPr>
          <w:p>
            <w:pPr>
              <w:jc w:val="left"/>
            </w:pPr>
            <w:r>
              <w:rPr>
                <w:b/>
                <w:i w:val="0"/>
                <w:color w:val="024F4F"/>
                <w:sz w:val="18"/>
              </w:rPr>
              <w:t>Graph Extraction</w:t>
            </w:r>
          </w:p>
        </w:tc>
        <w:tc>
          <w:tcPr>
            <w:tcW w:type="dxa" w:w="2436"/>
            <w:shd w:val="clear" w:color="auto" w:fill="E6F4F4"/>
          </w:tcPr>
          <w:p>
            <w:pPr>
              <w:jc w:val="left"/>
            </w:pPr>
            <w:r>
              <w:rPr>
                <w:b w:val="0"/>
                <w:i w:val="0"/>
                <w:sz w:val="18"/>
              </w:rPr>
              <w:t>Turns documents into structured knowledge</w:t>
            </w:r>
          </w:p>
        </w:tc>
        <w:tc>
          <w:tcPr>
            <w:tcW w:type="dxa" w:w="2436"/>
            <w:shd w:val="clear" w:color="auto" w:fill="E6F4F4"/>
          </w:tcPr>
          <w:p>
            <w:pPr>
              <w:jc w:val="left"/>
            </w:pPr>
            <w:r>
              <w:rPr>
                <w:b w:val="0"/>
                <w:i w:val="0"/>
                <w:color w:val="16A34A"/>
                <w:sz w:val="18"/>
              </w:rPr>
              <w:t>Yes — Sonnet</w:t>
            </w:r>
          </w:p>
        </w:tc>
        <w:tc>
          <w:tcPr>
            <w:tcW w:type="dxa" w:w="2436"/>
            <w:shd w:val="clear" w:color="auto" w:fill="E6F4F4"/>
          </w:tcPr>
          <w:p>
            <w:pPr>
              <w:jc w:val="left"/>
            </w:pPr>
            <w:r>
              <w:rPr>
                <w:b w:val="0"/>
                <w:i w:val="0"/>
                <w:sz w:val="18"/>
              </w:rPr>
              <w:t>~30–40s</w:t>
            </w:r>
          </w:p>
        </w:tc>
      </w:tr>
      <w:tr>
        <w:tc>
          <w:tcPr>
            <w:tcW w:type="dxa" w:w="2436"/>
            <w:shd w:val="clear" w:color="auto" w:fill="FFFFFF"/>
          </w:tcPr>
          <w:p>
            <w:pPr>
              <w:jc w:val="left"/>
            </w:pPr>
            <w:r>
              <w:rPr>
                <w:b/>
                <w:i w:val="0"/>
                <w:color w:val="024F4F"/>
                <w:sz w:val="18"/>
              </w:rPr>
              <w:t>Gap Analysis</w:t>
            </w:r>
          </w:p>
        </w:tc>
        <w:tc>
          <w:tcPr>
            <w:tcW w:type="dxa" w:w="2436"/>
            <w:shd w:val="clear" w:color="auto" w:fill="FFFFFF"/>
          </w:tcPr>
          <w:p>
            <w:pPr>
              <w:jc w:val="left"/>
            </w:pPr>
            <w:r>
              <w:rPr>
                <w:b w:val="0"/>
                <w:i w:val="0"/>
                <w:sz w:val="18"/>
              </w:rPr>
              <w:t>Structural audit — no AI needed</w:t>
            </w:r>
          </w:p>
        </w:tc>
        <w:tc>
          <w:tcPr>
            <w:tcW w:type="dxa" w:w="2436"/>
            <w:shd w:val="clear" w:color="auto" w:fill="FFFFFF"/>
          </w:tcPr>
          <w:p>
            <w:pPr>
              <w:jc w:val="left"/>
            </w:pPr>
            <w:r>
              <w:rPr>
                <w:b w:val="0"/>
                <w:i w:val="0"/>
                <w:color w:val="6B7280"/>
                <w:sz w:val="18"/>
              </w:rPr>
              <w:t>No</w:t>
            </w:r>
          </w:p>
        </w:tc>
        <w:tc>
          <w:tcPr>
            <w:tcW w:type="dxa" w:w="2436"/>
            <w:shd w:val="clear" w:color="auto" w:fill="FFFFFF"/>
          </w:tcPr>
          <w:p>
            <w:pPr>
              <w:jc w:val="left"/>
            </w:pPr>
            <w:r>
              <w:rPr>
                <w:b w:val="0"/>
                <w:i w:val="0"/>
                <w:sz w:val="18"/>
              </w:rPr>
              <w:t>Instant</w:t>
            </w:r>
          </w:p>
        </w:tc>
      </w:tr>
      <w:tr>
        <w:tc>
          <w:tcPr>
            <w:tcW w:type="dxa" w:w="2436"/>
            <w:shd w:val="clear" w:color="auto" w:fill="E6F4F4"/>
          </w:tcPr>
          <w:p>
            <w:pPr>
              <w:jc w:val="left"/>
            </w:pPr>
            <w:r>
              <w:rPr>
                <w:b/>
                <w:i w:val="0"/>
                <w:color w:val="024F4F"/>
                <w:sz w:val="18"/>
              </w:rPr>
              <w:t>Blueprint</w:t>
            </w:r>
          </w:p>
        </w:tc>
        <w:tc>
          <w:tcPr>
            <w:tcW w:type="dxa" w:w="2436"/>
            <w:shd w:val="clear" w:color="auto" w:fill="E6F4F4"/>
          </w:tcPr>
          <w:p>
            <w:pPr>
              <w:jc w:val="left"/>
            </w:pPr>
            <w:r>
              <w:rPr>
                <w:b w:val="0"/>
                <w:i w:val="0"/>
                <w:sz w:val="18"/>
              </w:rPr>
              <w:t>Actionable improvement plan</w:t>
            </w:r>
          </w:p>
        </w:tc>
        <w:tc>
          <w:tcPr>
            <w:tcW w:type="dxa" w:w="2436"/>
            <w:shd w:val="clear" w:color="auto" w:fill="E6F4F4"/>
          </w:tcPr>
          <w:p>
            <w:pPr>
              <w:jc w:val="left"/>
            </w:pPr>
            <w:r>
              <w:rPr>
                <w:b w:val="0"/>
                <w:i w:val="0"/>
                <w:color w:val="16A34A"/>
                <w:sz w:val="18"/>
              </w:rPr>
              <w:t>Yes — Haiku</w:t>
            </w:r>
          </w:p>
        </w:tc>
        <w:tc>
          <w:tcPr>
            <w:tcW w:type="dxa" w:w="2436"/>
            <w:shd w:val="clear" w:color="auto" w:fill="E6F4F4"/>
          </w:tcPr>
          <w:p>
            <w:pPr>
              <w:jc w:val="left"/>
            </w:pPr>
            <w:r>
              <w:rPr>
                <w:b w:val="0"/>
                <w:i w:val="0"/>
                <w:sz w:val="18"/>
              </w:rPr>
              <w:t>~7s</w:t>
            </w:r>
          </w:p>
        </w:tc>
      </w:tr>
      <w:tr>
        <w:tc>
          <w:tcPr>
            <w:tcW w:type="dxa" w:w="2436"/>
            <w:shd w:val="clear" w:color="auto" w:fill="FFFFFF"/>
          </w:tcPr>
          <w:p>
            <w:pPr>
              <w:jc w:val="left"/>
            </w:pPr>
            <w:r>
              <w:rPr>
                <w:b/>
                <w:i w:val="0"/>
                <w:color w:val="024F4F"/>
                <w:sz w:val="18"/>
              </w:rPr>
              <w:t>Process Mining</w:t>
            </w:r>
          </w:p>
        </w:tc>
        <w:tc>
          <w:tcPr>
            <w:tcW w:type="dxa" w:w="2436"/>
            <w:shd w:val="clear" w:color="auto" w:fill="FFFFFF"/>
          </w:tcPr>
          <w:p>
            <w:pPr>
              <w:jc w:val="left"/>
            </w:pPr>
            <w:r>
              <w:rPr>
                <w:b w:val="0"/>
                <w:i w:val="0"/>
                <w:sz w:val="18"/>
              </w:rPr>
              <w:t>Celonis-class operational mining — bottleneck, fitness, deviations</w:t>
            </w:r>
          </w:p>
        </w:tc>
        <w:tc>
          <w:tcPr>
            <w:tcW w:type="dxa" w:w="2436"/>
            <w:shd w:val="clear" w:color="auto" w:fill="FFFFFF"/>
          </w:tcPr>
          <w:p>
            <w:pPr>
              <w:jc w:val="left"/>
            </w:pPr>
            <w:r>
              <w:rPr>
                <w:b w:val="0"/>
                <w:i w:val="0"/>
                <w:color w:val="6B7280"/>
                <w:sz w:val="18"/>
              </w:rPr>
              <w:t>No (pure SQL)</w:t>
            </w:r>
          </w:p>
        </w:tc>
        <w:tc>
          <w:tcPr>
            <w:tcW w:type="dxa" w:w="2436"/>
            <w:shd w:val="clear" w:color="auto" w:fill="FFFFFF"/>
          </w:tcPr>
          <w:p>
            <w:pPr>
              <w:jc w:val="left"/>
            </w:pPr>
            <w:r>
              <w:rPr>
                <w:b w:val="0"/>
                <w:i w:val="0"/>
                <w:sz w:val="18"/>
              </w:rPr>
              <w:t>Instant</w:t>
            </w:r>
          </w:p>
        </w:tc>
      </w:tr>
      <w:tr>
        <w:tc>
          <w:tcPr>
            <w:tcW w:type="dxa" w:w="2436"/>
            <w:shd w:val="clear" w:color="auto" w:fill="E6F4F4"/>
          </w:tcPr>
          <w:p>
            <w:pPr>
              <w:jc w:val="left"/>
            </w:pPr>
            <w:r>
              <w:rPr>
                <w:b/>
                <w:i w:val="0"/>
                <w:color w:val="024F4F"/>
                <w:sz w:val="18"/>
              </w:rPr>
              <w:t>AI Optimise</w:t>
            </w:r>
          </w:p>
        </w:tc>
        <w:tc>
          <w:tcPr>
            <w:tcW w:type="dxa" w:w="2436"/>
            <w:shd w:val="clear" w:color="auto" w:fill="E6F4F4"/>
          </w:tcPr>
          <w:p>
            <w:pPr>
              <w:jc w:val="left"/>
            </w:pPr>
            <w:r>
              <w:rPr>
                <w:b w:val="0"/>
                <w:i w:val="0"/>
                <w:sz w:val="18"/>
              </w:rPr>
              <w:t>Re-routing / SLA / role-assignment suggestions</w:t>
            </w:r>
          </w:p>
        </w:tc>
        <w:tc>
          <w:tcPr>
            <w:tcW w:type="dxa" w:w="2436"/>
            <w:shd w:val="clear" w:color="auto" w:fill="E6F4F4"/>
          </w:tcPr>
          <w:p>
            <w:pPr>
              <w:jc w:val="left"/>
            </w:pPr>
            <w:r>
              <w:rPr>
                <w:b w:val="0"/>
                <w:i w:val="0"/>
                <w:color w:val="16A34A"/>
                <w:sz w:val="18"/>
              </w:rPr>
              <w:t>Yes — Haiku</w:t>
            </w:r>
          </w:p>
        </w:tc>
        <w:tc>
          <w:tcPr>
            <w:tcW w:type="dxa" w:w="2436"/>
            <w:shd w:val="clear" w:color="auto" w:fill="E6F4F4"/>
          </w:tcPr>
          <w:p>
            <w:pPr>
              <w:jc w:val="left"/>
            </w:pPr>
            <w:r>
              <w:rPr>
                <w:b w:val="0"/>
                <w:i w:val="0"/>
                <w:sz w:val="18"/>
              </w:rPr>
              <w:t>~6s</w:t>
            </w:r>
          </w:p>
        </w:tc>
      </w:tr>
      <w:tr>
        <w:tc>
          <w:tcPr>
            <w:tcW w:type="dxa" w:w="2436"/>
            <w:shd w:val="clear" w:color="auto" w:fill="FFFFFF"/>
          </w:tcPr>
          <w:p>
            <w:pPr>
              <w:jc w:val="left"/>
            </w:pPr>
            <w:r>
              <w:rPr>
                <w:b/>
                <w:i w:val="0"/>
                <w:color w:val="024F4F"/>
                <w:sz w:val="18"/>
              </w:rPr>
              <w:t>Audit Check</w:t>
            </w:r>
          </w:p>
        </w:tc>
        <w:tc>
          <w:tcPr>
            <w:tcW w:type="dxa" w:w="2436"/>
            <w:shd w:val="clear" w:color="auto" w:fill="FFFFFF"/>
          </w:tcPr>
          <w:p>
            <w:pPr>
              <w:jc w:val="left"/>
            </w:pPr>
            <w:r>
              <w:rPr>
                <w:b w:val="0"/>
                <w:i w:val="0"/>
                <w:sz w:val="18"/>
              </w:rPr>
              <w:t>Audit document vs SOP — Claude reads prose evidence</w:t>
            </w:r>
          </w:p>
        </w:tc>
        <w:tc>
          <w:tcPr>
            <w:tcW w:type="dxa" w:w="2436"/>
            <w:shd w:val="clear" w:color="auto" w:fill="FFFFFF"/>
          </w:tcPr>
          <w:p>
            <w:pPr>
              <w:jc w:val="left"/>
            </w:pPr>
            <w:r>
              <w:rPr>
                <w:b w:val="0"/>
                <w:i w:val="0"/>
                <w:color w:val="16A34A"/>
                <w:sz w:val="18"/>
              </w:rPr>
              <w:t>Yes — Sonnet</w:t>
            </w:r>
          </w:p>
        </w:tc>
        <w:tc>
          <w:tcPr>
            <w:tcW w:type="dxa" w:w="2436"/>
            <w:shd w:val="clear" w:color="auto" w:fill="FFFFFF"/>
          </w:tcPr>
          <w:p>
            <w:pPr>
              <w:jc w:val="left"/>
            </w:pPr>
            <w:r>
              <w:rPr>
                <w:b w:val="0"/>
                <w:i w:val="0"/>
                <w:sz w:val="18"/>
              </w:rPr>
              <w:t>~30–40s</w:t>
            </w:r>
          </w:p>
        </w:tc>
      </w:tr>
      <w:tr>
        <w:tc>
          <w:tcPr>
            <w:tcW w:type="dxa" w:w="2436"/>
            <w:shd w:val="clear" w:color="auto" w:fill="E6F4F4"/>
          </w:tcPr>
          <w:p>
            <w:pPr>
              <w:jc w:val="left"/>
            </w:pPr>
            <w:r>
              <w:rPr>
                <w:b/>
                <w:i w:val="0"/>
                <w:color w:val="024F4F"/>
                <w:sz w:val="18"/>
              </w:rPr>
              <w:t>Object Model</w:t>
            </w:r>
          </w:p>
        </w:tc>
        <w:tc>
          <w:tcPr>
            <w:tcW w:type="dxa" w:w="2436"/>
            <w:shd w:val="clear" w:color="auto" w:fill="E6F4F4"/>
          </w:tcPr>
          <w:p>
            <w:pPr>
              <w:jc w:val="left"/>
            </w:pPr>
            <w:r>
              <w:rPr>
                <w:b w:val="0"/>
                <w:i w:val="0"/>
                <w:sz w:val="18"/>
              </w:rPr>
              <w:t>Entity Diagram + Pydantic + JSON Schema (BRD §4)</w:t>
            </w:r>
          </w:p>
        </w:tc>
        <w:tc>
          <w:tcPr>
            <w:tcW w:type="dxa" w:w="2436"/>
            <w:shd w:val="clear" w:color="auto" w:fill="E6F4F4"/>
          </w:tcPr>
          <w:p>
            <w:pPr>
              <w:jc w:val="left"/>
            </w:pPr>
            <w:r>
              <w:rPr>
                <w:b w:val="0"/>
                <w:i w:val="0"/>
                <w:color w:val="16A34A"/>
                <w:sz w:val="18"/>
              </w:rPr>
              <w:t>Yes — Sonnet</w:t>
            </w:r>
          </w:p>
        </w:tc>
        <w:tc>
          <w:tcPr>
            <w:tcW w:type="dxa" w:w="2436"/>
            <w:shd w:val="clear" w:color="auto" w:fill="E6F4F4"/>
          </w:tcPr>
          <w:p>
            <w:pPr>
              <w:jc w:val="left"/>
            </w:pPr>
            <w:r>
              <w:rPr>
                <w:b w:val="0"/>
                <w:i w:val="0"/>
                <w:sz w:val="18"/>
              </w:rPr>
              <w:t>~30s</w:t>
            </w:r>
          </w:p>
        </w:tc>
      </w:tr>
      <w:tr>
        <w:tc>
          <w:tcPr>
            <w:tcW w:type="dxa" w:w="2436"/>
            <w:shd w:val="clear" w:color="auto" w:fill="FFFFFF"/>
          </w:tcPr>
          <w:p>
            <w:pPr>
              <w:jc w:val="left"/>
            </w:pPr>
            <w:r>
              <w:rPr>
                <w:b/>
                <w:i w:val="0"/>
                <w:color w:val="024F4F"/>
                <w:sz w:val="18"/>
              </w:rPr>
              <w:t>Pulse Drawer</w:t>
            </w:r>
          </w:p>
        </w:tc>
        <w:tc>
          <w:tcPr>
            <w:tcW w:type="dxa" w:w="2436"/>
            <w:shd w:val="clear" w:color="auto" w:fill="FFFFFF"/>
          </w:tcPr>
          <w:p>
            <w:pPr>
              <w:jc w:val="left"/>
            </w:pPr>
            <w:r>
              <w:rPr>
                <w:b w:val="0"/>
                <w:i w:val="0"/>
                <w:sz w:val="18"/>
              </w:rPr>
              <w:t>Severity-filtered action queue with Dismiss</w:t>
            </w:r>
          </w:p>
        </w:tc>
        <w:tc>
          <w:tcPr>
            <w:tcW w:type="dxa" w:w="2436"/>
            <w:shd w:val="clear" w:color="auto" w:fill="FFFFFF"/>
          </w:tcPr>
          <w:p>
            <w:pPr>
              <w:jc w:val="left"/>
            </w:pPr>
            <w:r>
              <w:rPr>
                <w:b w:val="0"/>
                <w:i w:val="0"/>
                <w:color w:val="6B7280"/>
                <w:sz w:val="18"/>
              </w:rPr>
              <w:t>No / Haiku (insights)</w:t>
            </w:r>
          </w:p>
        </w:tc>
        <w:tc>
          <w:tcPr>
            <w:tcW w:type="dxa" w:w="2436"/>
            <w:shd w:val="clear" w:color="auto" w:fill="FFFFFF"/>
          </w:tcPr>
          <w:p>
            <w:pPr>
              <w:jc w:val="left"/>
            </w:pPr>
            <w:r>
              <w:rPr>
                <w:b w:val="0"/>
                <w:i w:val="0"/>
                <w:sz w:val="18"/>
              </w:rPr>
              <w:t>Instant</w:t>
            </w:r>
          </w:p>
        </w:tc>
      </w:tr>
      <w:tr>
        <w:tc>
          <w:tcPr>
            <w:tcW w:type="dxa" w:w="2436"/>
            <w:shd w:val="clear" w:color="auto" w:fill="E6F4F4"/>
          </w:tcPr>
          <w:p>
            <w:pPr>
              <w:jc w:val="left"/>
            </w:pPr>
            <w:r>
              <w:rPr>
                <w:b/>
                <w:i w:val="0"/>
                <w:color w:val="024F4F"/>
                <w:sz w:val="18"/>
              </w:rPr>
              <w:t>Dashboard</w:t>
            </w:r>
          </w:p>
        </w:tc>
        <w:tc>
          <w:tcPr>
            <w:tcW w:type="dxa" w:w="2436"/>
            <w:shd w:val="clear" w:color="auto" w:fill="E6F4F4"/>
          </w:tcPr>
          <w:p>
            <w:pPr>
              <w:jc w:val="left"/>
            </w:pPr>
            <w:r>
              <w:rPr>
                <w:b w:val="0"/>
                <w:i w:val="0"/>
                <w:sz w:val="18"/>
              </w:rPr>
              <w:t>Bird's-eye view sourced from PM + Gap + Audit</w:t>
            </w:r>
          </w:p>
        </w:tc>
        <w:tc>
          <w:tcPr>
            <w:tcW w:type="dxa" w:w="2436"/>
            <w:shd w:val="clear" w:color="auto" w:fill="E6F4F4"/>
          </w:tcPr>
          <w:p>
            <w:pPr>
              <w:jc w:val="left"/>
            </w:pPr>
            <w:r>
              <w:rPr>
                <w:b w:val="0"/>
                <w:i w:val="0"/>
                <w:color w:val="6B7280"/>
                <w:sz w:val="18"/>
              </w:rPr>
              <w:t>No</w:t>
            </w:r>
          </w:p>
        </w:tc>
        <w:tc>
          <w:tcPr>
            <w:tcW w:type="dxa" w:w="2436"/>
            <w:shd w:val="clear" w:color="auto" w:fill="E6F4F4"/>
          </w:tcPr>
          <w:p>
            <w:pPr>
              <w:jc w:val="left"/>
            </w:pPr>
            <w:r>
              <w:rPr>
                <w:b w:val="0"/>
                <w:i w:val="0"/>
                <w:sz w:val="18"/>
              </w:rPr>
              <w:t>Instant</w:t>
            </w:r>
          </w:p>
        </w:tc>
      </w:tr>
      <w:tr>
        <w:tc>
          <w:tcPr>
            <w:tcW w:type="dxa" w:w="2436"/>
            <w:shd w:val="clear" w:color="auto" w:fill="FFFFFF"/>
          </w:tcPr>
          <w:p>
            <w:pPr>
              <w:jc w:val="left"/>
            </w:pPr>
            <w:r>
              <w:rPr>
                <w:b/>
                <w:i w:val="0"/>
                <w:color w:val="024F4F"/>
                <w:sz w:val="18"/>
              </w:rPr>
              <w:t>Executive Report</w:t>
            </w:r>
          </w:p>
        </w:tc>
        <w:tc>
          <w:tcPr>
            <w:tcW w:type="dxa" w:w="2436"/>
            <w:shd w:val="clear" w:color="auto" w:fill="FFFFFF"/>
          </w:tcPr>
          <w:p>
            <w:pPr>
              <w:jc w:val="left"/>
            </w:pPr>
            <w:r>
              <w:rPr>
                <w:b w:val="0"/>
                <w:i w:val="0"/>
                <w:sz w:val="18"/>
              </w:rPr>
              <w:t>Print-ready HTML — all sections, Metafore brand</w:t>
            </w:r>
          </w:p>
        </w:tc>
        <w:tc>
          <w:tcPr>
            <w:tcW w:type="dxa" w:w="2436"/>
            <w:shd w:val="clear" w:color="auto" w:fill="FFFFFF"/>
          </w:tcPr>
          <w:p>
            <w:pPr>
              <w:jc w:val="left"/>
            </w:pPr>
            <w:r>
              <w:rPr>
                <w:b w:val="0"/>
                <w:i w:val="0"/>
                <w:color w:val="6B7280"/>
                <w:sz w:val="18"/>
              </w:rPr>
              <w:t>No</w:t>
            </w:r>
          </w:p>
        </w:tc>
        <w:tc>
          <w:tcPr>
            <w:tcW w:type="dxa" w:w="2436"/>
            <w:shd w:val="clear" w:color="auto" w:fill="FFFFFF"/>
          </w:tcPr>
          <w:p>
            <w:pPr>
              <w:jc w:val="left"/>
            </w:pPr>
            <w:r>
              <w:rPr>
                <w:b w:val="0"/>
                <w:i w:val="0"/>
                <w:sz w:val="18"/>
              </w:rPr>
              <w:t>Instant</w:t>
            </w:r>
          </w:p>
        </w:tc>
      </w:tr>
    </w:tbl>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