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24F4F"/>
          </w:tcPr>
          <w:p>
            <w:pPr>
              <w:jc w:val="center"/>
            </w:pPr>
            <w:r>
              <w:rPr>
                <w:b/>
                <w:color w:val="FFFFFF"/>
                <w:sz w:val="18"/>
              </w:rPr>
              <w:t>RETAIL BANKING — FINANCIAL CRIME COMPLIANCE</w:t>
            </w:r>
          </w:p>
          <w:p>
            <w:pPr>
              <w:jc w:val="center"/>
            </w:pPr>
            <w:r>
              <w:rPr>
                <w:b/>
                <w:color w:val="FFFFFF"/>
                <w:sz w:val="32"/>
              </w:rPr>
              <w:t>Anti-Money Laundering, Customer Due Diligence and Fair Lending Policy</w:t>
            </w:r>
          </w:p>
          <w:p>
            <w:pPr>
              <w:jc w:val="center"/>
            </w:pPr>
            <w:r>
              <w:rPr>
                <w:color w:val="A7D4D4"/>
                <w:sz w:val="16"/>
              </w:rPr>
              <w:t>POL-COMP-2024-002   |   Version 2.1   |   Effective 1 February 2024</w:t>
            </w:r>
          </w:p>
          <w:p>
            <w:pPr>
              <w:jc w:val="center"/>
            </w:pPr>
            <w:r>
              <w:rPr>
                <w:color w:val="A7D4D4"/>
                <w:sz w:val="16"/>
              </w:rPr>
              <w:t>Owner: Head of Compliance and Financial Crime   |   Classification: Internal Use Only</w:t>
            </w:r>
          </w:p>
        </w:tc>
      </w:tr>
    </w:tbl>
    <w:p/>
    <w:p>
      <w:pPr>
        <w:spacing w:before="280" w:after="80"/>
      </w:pPr>
      <w:r>
        <w:rPr>
          <w:b/>
          <w:color w:val="024F4F"/>
          <w:sz w:val="22"/>
        </w:rPr>
        <w:t>1.  Purpose and Scope</w:t>
      </w:r>
    </w:p>
    <w:p>
      <w:pPr>
        <w:spacing w:after="80"/>
      </w:pPr>
      <w:r>
        <w:rPr>
          <w:color w:val="1F2D2D"/>
          <w:sz w:val="19"/>
        </w:rPr>
        <w:t>This Policy sets out the minimum control standards required to prevent the bank from being used to launder the proceeds of crime, finance terrorism, breach economic sanctions, or engage in unlawful discrimination in the extension of credit. It applies to all retail lending and account-opening activity across all branches, channels and product lines.</w:t>
      </w:r>
    </w:p>
    <w:p>
      <w:pPr>
        <w:spacing w:after="80"/>
      </w:pPr>
      <w:r>
        <w:rPr>
          <w:color w:val="1F2D2D"/>
          <w:sz w:val="19"/>
        </w:rPr>
        <w:t>Adherence is mandatory. Suspected breaches must be reported to the Compliance Officer without delay and, where applicable, escalated under the Financial Crime Reporting Standard.</w:t>
      </w:r>
    </w:p>
    <w:p>
      <w:pPr>
        <w:spacing w:before="280" w:after="80"/>
      </w:pPr>
      <w:r>
        <w:rPr>
          <w:b/>
          <w:color w:val="024F4F"/>
          <w:sz w:val="22"/>
        </w:rPr>
        <w:t>2.  Anti-Money Laundering and Customer Due Diligence</w:t>
      </w:r>
    </w:p>
    <w:p>
      <w:pPr>
        <w:spacing w:before="200" w:after="40"/>
      </w:pPr>
      <w:r>
        <w:rPr>
          <w:b/>
          <w:color w:val="036868"/>
          <w:sz w:val="20"/>
        </w:rPr>
        <w:t>2.1  Customer Identification and Verification</w:t>
      </w:r>
    </w:p>
    <w:p>
      <w:pPr>
        <w:spacing w:after="80"/>
      </w:pPr>
      <w:r>
        <w:rPr>
          <w:color w:val="1F2D2D"/>
          <w:sz w:val="19"/>
        </w:rPr>
        <w:t>All applicants must be subject to Customer Due Diligence prior to the establishment of any credit relationship. CDD comprises identity verification, beneficial ownership disclosure for non-individual applicants, source-of-funds enquiry, and an initial risk rating. Enhanced Due Diligence applies to higher-risk jurisdictions, complex ownership structures, and PEP relationships.</w:t>
      </w:r>
    </w:p>
    <w:p>
      <w:pPr>
        <w:spacing w:before="200" w:after="40"/>
      </w:pPr>
      <w:r>
        <w:rPr>
          <w:b/>
          <w:color w:val="036868"/>
          <w:sz w:val="20"/>
        </w:rPr>
        <w:t>2.2  Sanctions, PEP and Adverse Media Screening</w:t>
      </w:r>
    </w:p>
    <w:p>
      <w:pPr>
        <w:spacing w:after="80"/>
      </w:pPr>
      <w:r>
        <w:rPr>
          <w:color w:val="1F2D2D"/>
          <w:sz w:val="19"/>
        </w:rPr>
        <w:t>Every applicant, beneficial owner, and authorised signatory must be screened against current sanctions lists (OFAC, UN, EU, HMT), recognised PEP databases, and adverse media sources. Positive matches must be referred to the Compliance Officer within four hours and may not be auto-cleared by front-office personnel.</w:t>
      </w:r>
    </w:p>
    <w:p>
      <w:pPr>
        <w:spacing w:before="200" w:after="40"/>
      </w:pPr>
      <w:r>
        <w:rPr>
          <w:b/>
          <w:color w:val="036868"/>
          <w:sz w:val="20"/>
        </w:rPr>
        <w:t>2.3  Sequencing Requirement (Mandatory)</w:t>
      </w:r>
    </w:p>
    <w:p>
      <w:r>
        <w:rPr>
          <w:b/>
          <w:color w:val="DC2626"/>
          <w:sz w:val="19"/>
        </w:rPr>
        <w:t>AML and sanctions screening MUST be completed and a Cleared status formally recorded BEFORE any credit bureau enquiry is initiated for the applicant. Conducting a credit bureau enquiry while AML screening is open or in Alert status is a reportable policy breach. This sequence is non-negotiable and supersedes any operational SOP that may suggest otherwise.</w:t>
      </w:r>
    </w:p>
    <w:p>
      <w:pPr>
        <w:spacing w:before="200" w:after="40"/>
      </w:pPr>
      <w:r>
        <w:rPr>
          <w:b/>
          <w:color w:val="036868"/>
          <w:sz w:val="20"/>
        </w:rPr>
        <w:t>2.4  Suspicious Activity Reporting</w:t>
      </w:r>
    </w:p>
    <w:p>
      <w:pPr>
        <w:spacing w:after="80"/>
      </w:pPr>
      <w:r>
        <w:rPr>
          <w:color w:val="1F2D2D"/>
          <w:sz w:val="19"/>
        </w:rPr>
        <w:t>Where activity inconsistent with the customer profile is identified, a Suspicious Activity Report must be raised through the Financial Crime Case Management standard. Tipping-off is strictly prohibited.</w:t>
      </w:r>
    </w:p>
    <w:p>
      <w:pPr>
        <w:spacing w:before="280" w:after="80"/>
      </w:pPr>
      <w:r>
        <w:rPr>
          <w:b/>
          <w:color w:val="024F4F"/>
          <w:sz w:val="22"/>
        </w:rPr>
        <w:t>3.  Fair Lending and Equal Credit Opportunity</w:t>
      </w:r>
    </w:p>
    <w:p>
      <w:pPr>
        <w:spacing w:after="80"/>
      </w:pPr>
      <w:r>
        <w:rPr>
          <w:color w:val="1F2D2D"/>
          <w:sz w:val="19"/>
        </w:rPr>
        <w:t>Credit decisions must be made solely on demonstrable creditworthiness. Discrimination on the basis of race, color, religion, national origin, sex, marital status, age, or receipt of public assistance income is strictly prohibited under the Equal Credit Opportunity Act (Regulation B) and the Fair Housing Act.</w:t>
      </w:r>
    </w:p>
    <w:p>
      <w:pPr>
        <w:spacing w:after="80"/>
      </w:pPr>
      <w:r>
        <w:rPr>
          <w:color w:val="1F2D2D"/>
          <w:sz w:val="19"/>
        </w:rPr>
        <w:t>All adverse action notices must be issued within 30 days of the credit decision and must state the specific reasons for denial. Disparate impact analysis is performed quarterly by the Compliance team.</w:t>
      </w:r>
    </w:p>
    <w:p>
      <w:pPr>
        <w:spacing w:before="280" w:after="80"/>
      </w:pPr>
      <w:r>
        <w:rPr>
          <w:b/>
          <w:color w:val="024F4F"/>
          <w:sz w:val="22"/>
        </w:rPr>
        <w:t>4.  Roles and Accountabilities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036868"/>
          </w:tcPr>
          <w:p>
            <w:pPr>
              <w:jc w:val="left"/>
            </w:pPr>
            <w:r>
              <w:rPr>
                <w:b/>
                <w:color w:val="FFFFFF"/>
                <w:sz w:val="18"/>
              </w:rPr>
              <w:t>Role</w:t>
            </w:r>
          </w:p>
        </w:tc>
        <w:tc>
          <w:tcPr>
            <w:tcW w:type="dxa" w:w="4873"/>
            <w:shd w:val="clear" w:color="auto" w:fill="036868"/>
          </w:tcPr>
          <w:p>
            <w:pPr>
              <w:jc w:val="left"/>
            </w:pPr>
            <w:r>
              <w:rPr>
                <w:b/>
                <w:color w:val="FFFFFF"/>
                <w:sz w:val="18"/>
              </w:rPr>
              <w:t>Accountability</w:t>
            </w:r>
          </w:p>
        </w:tc>
      </w:tr>
      <w:tr>
        <w:tc>
          <w:tcPr>
            <w:tcW w:type="dxa" w:w="4873"/>
            <w:shd w:val="clear" w:color="auto" w:fill="F0FAFA"/>
          </w:tcPr>
          <w:p>
            <w:pPr>
              <w:jc w:val="left"/>
            </w:pPr>
            <w:r>
              <w:rPr>
                <w:b/>
                <w:color w:val="024F4F"/>
                <w:sz w:val="18"/>
              </w:rPr>
              <w:t>Compliance Officer</w:t>
            </w:r>
          </w:p>
        </w:tc>
        <w:tc>
          <w:tcPr>
            <w:tcW w:type="dxa" w:w="4873"/>
            <w:shd w:val="clear" w:color="auto" w:fill="F0FAFA"/>
          </w:tcPr>
          <w:p>
            <w:pPr>
              <w:jc w:val="left"/>
            </w:pPr>
            <w:r>
              <w:rPr>
                <w:b w:val="0"/>
                <w:sz w:val="18"/>
              </w:rPr>
              <w:t>Owns this Policy. Reviews escalations from front-office. Approves SARs. Conducts thematic compliance reviews. The Compliance Officer is an oversight role and does NOT execute application-processing steps; ownership of operational sequencing rests with the lines of business under their respective SOPs.</w:t>
            </w:r>
          </w:p>
        </w:tc>
      </w:tr>
      <w:tr>
        <w:tc>
          <w:tcPr>
            <w:tcW w:type="dxa" w:w="4873"/>
            <w:shd w:val="clear" w:color="auto" w:fill="FFFFFF"/>
          </w:tcPr>
          <w:p>
            <w:pPr>
              <w:jc w:val="left"/>
            </w:pPr>
            <w:r>
              <w:rPr>
                <w:b/>
                <w:color w:val="024F4F"/>
                <w:sz w:val="18"/>
              </w:rPr>
              <w:t>Branch Manager</w:t>
            </w:r>
          </w:p>
        </w:tc>
        <w:tc>
          <w:tcPr>
            <w:tcW w:type="dxa" w:w="4873"/>
            <w:shd w:val="clear" w:color="auto" w:fill="FFFFFF"/>
          </w:tcPr>
          <w:p>
            <w:pPr>
              <w:jc w:val="left"/>
            </w:pPr>
            <w:r>
              <w:rPr>
                <w:b w:val="0"/>
                <w:sz w:val="18"/>
              </w:rPr>
              <w:t>Accountable for first-line adherence to this Policy within the branch. Required to confirm adherence on a quarterly attestation.</w:t>
            </w:r>
          </w:p>
        </w:tc>
      </w:tr>
      <w:tr>
        <w:tc>
          <w:tcPr>
            <w:tcW w:type="dxa" w:w="4873"/>
            <w:shd w:val="clear" w:color="auto" w:fill="F0FAFA"/>
          </w:tcPr>
          <w:p>
            <w:pPr>
              <w:jc w:val="left"/>
            </w:pPr>
            <w:r>
              <w:rPr>
                <w:b/>
                <w:color w:val="024F4F"/>
                <w:sz w:val="18"/>
              </w:rPr>
              <w:t>All Front-Office Staff</w:t>
            </w:r>
          </w:p>
        </w:tc>
        <w:tc>
          <w:tcPr>
            <w:tcW w:type="dxa" w:w="4873"/>
            <w:shd w:val="clear" w:color="auto" w:fill="F0FAFA"/>
          </w:tcPr>
          <w:p>
            <w:pPr>
              <w:jc w:val="left"/>
            </w:pPr>
            <w:r>
              <w:rPr>
                <w:b w:val="0"/>
                <w:sz w:val="18"/>
              </w:rPr>
              <w:t>Required to complete this Policy's mandatory training annually and to refer any sanctions, PEP, or adverse media match to the Compliance Officer without independent action.</w:t>
            </w:r>
          </w:p>
        </w:tc>
      </w:tr>
    </w:tbl>
    <w:p/>
    <w:p>
      <w:pPr>
        <w:spacing w:before="280" w:after="80"/>
      </w:pPr>
      <w:r>
        <w:rPr>
          <w:b/>
          <w:color w:val="024F4F"/>
          <w:sz w:val="22"/>
        </w:rPr>
        <w:t>5.  Reporting and Escalation</w:t>
      </w:r>
    </w:p>
    <w:p>
      <w:pPr>
        <w:spacing w:after="80"/>
      </w:pPr>
      <w:r>
        <w:rPr>
          <w:color w:val="1F2D2D"/>
          <w:sz w:val="19"/>
        </w:rPr>
        <w:t>All Compliance Officer determinations are reported to the Chief Compliance Officer monthly and to the Audit Committee quarterly. Material incidents must be escalated to the Chief Risk Officer within 24 hours.</w:t>
      </w:r>
    </w:p>
    <w:p>
      <w:pPr>
        <w:spacing w:before="280" w:after="80"/>
      </w:pPr>
      <w:r>
        <w:rPr>
          <w:b/>
          <w:color w:val="024F4F"/>
          <w:sz w:val="22"/>
        </w:rPr>
        <w:t>6.  Cross-Referenced Policies</w:t>
      </w:r>
    </w:p>
    <w:p>
      <w:pPr>
        <w:spacing w:after="80"/>
      </w:pPr>
      <w:r>
        <w:rPr>
          <w:color w:val="1F2D2D"/>
          <w:sz w:val="19"/>
        </w:rPr>
        <w:t>POL-AML-001 Anti-Money Laundering Standard;  POL-DOC-002 Document Completeness Policy;  POL-COMP-005 Document Upload SLA Policy;  POL-FAIR-003 Fair Lending Standard;  POL-SANC-006 Sanctions Screening Standard.</w:t>
      </w:r>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color w:val="024F4F"/>
                <w:sz w:val="18"/>
              </w:rPr>
              <w:t>Approved by</w:t>
            </w:r>
          </w:p>
        </w:tc>
        <w:tc>
          <w:tcPr>
            <w:tcW w:type="dxa" w:w="4873"/>
          </w:tcPr>
          <w:p>
            <w:pPr>
              <w:jc w:val="left"/>
            </w:pPr>
            <w:r>
              <w:rPr>
                <w:b w:val="0"/>
                <w:sz w:val="18"/>
              </w:rPr>
              <w:t>Chief Compliance Officer</w:t>
            </w:r>
          </w:p>
        </w:tc>
      </w:tr>
      <w:tr>
        <w:tc>
          <w:tcPr>
            <w:tcW w:type="dxa" w:w="4873"/>
            <w:shd w:val="clear" w:color="auto" w:fill="E6F4F4"/>
          </w:tcPr>
          <w:p>
            <w:pPr>
              <w:jc w:val="left"/>
            </w:pPr>
            <w:r>
              <w:rPr>
                <w:b/>
                <w:color w:val="024F4F"/>
                <w:sz w:val="18"/>
              </w:rPr>
              <w:t>Reviewed by</w:t>
            </w:r>
          </w:p>
        </w:tc>
        <w:tc>
          <w:tcPr>
            <w:tcW w:type="dxa" w:w="4873"/>
          </w:tcPr>
          <w:p>
            <w:pPr>
              <w:jc w:val="left"/>
            </w:pPr>
            <w:r>
              <w:rPr>
                <w:b w:val="0"/>
                <w:sz w:val="18"/>
              </w:rPr>
              <w:t>General Counsel; Chief Risk Officer</w:t>
            </w:r>
          </w:p>
        </w:tc>
      </w:tr>
      <w:tr>
        <w:tc>
          <w:tcPr>
            <w:tcW w:type="dxa" w:w="4873"/>
            <w:shd w:val="clear" w:color="auto" w:fill="E6F4F4"/>
          </w:tcPr>
          <w:p>
            <w:pPr>
              <w:jc w:val="left"/>
            </w:pPr>
            <w:r>
              <w:rPr>
                <w:b/>
                <w:color w:val="024F4F"/>
                <w:sz w:val="18"/>
              </w:rPr>
              <w:t>Next Review</w:t>
            </w:r>
          </w:p>
        </w:tc>
        <w:tc>
          <w:tcPr>
            <w:tcW w:type="dxa" w:w="4873"/>
          </w:tcPr>
          <w:p>
            <w:pPr>
              <w:jc w:val="left"/>
            </w:pPr>
            <w:r>
              <w:rPr>
                <w:b w:val="0"/>
                <w:sz w:val="18"/>
              </w:rPr>
              <w:t>1 February 2025</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