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360"/>
            <w:shd w:val="clear" w:color="auto" w:fill="024F4F"/>
          </w:tcPr>
          <w:p>
            <w:pPr>
              <w:jc w:val="center"/>
            </w:pPr>
            <w:r>
              <w:rPr>
                <w:b/>
                <w:color w:val="FFFFFF"/>
                <w:sz w:val="18"/>
              </w:rPr>
              <w:t>HUMAN RESOURCES — COMMERCIAL BANKING</w:t>
            </w:r>
          </w:p>
          <w:p>
            <w:pPr>
              <w:jc w:val="center"/>
            </w:pPr>
            <w:r>
              <w:rPr>
                <w:b/>
                <w:color w:val="FFFFFF"/>
                <w:sz w:val="32"/>
              </w:rPr>
              <w:t>Loan Origination Department — Role Descriptions</w:t>
            </w:r>
          </w:p>
          <w:p>
            <w:pPr>
              <w:jc w:val="center"/>
            </w:pPr>
            <w:r>
              <w:rPr>
                <w:color w:val="A7D4D4"/>
                <w:sz w:val="16"/>
              </w:rPr>
              <w:t>HR-RD-2024-LO-V1   |   Version 1.0   |   Effective March 2024</w:t>
            </w:r>
          </w:p>
          <w:p>
            <w:pPr>
              <w:jc w:val="center"/>
            </w:pPr>
            <w:r>
              <w:rPr>
                <w:color w:val="A7D4D4"/>
                <w:sz w:val="16"/>
              </w:rPr>
              <w:t>Owner: HR Business Partner, Commercial Banking   |   Classification: Internal Use Only</w:t>
            </w:r>
          </w:p>
        </w:tc>
      </w:tr>
    </w:tbl>
    <w:p/>
    <w:p>
      <w:pPr>
        <w:spacing w:before="280" w:after="80"/>
      </w:pPr>
      <w:r>
        <w:rPr>
          <w:b/>
          <w:color w:val="024F4F"/>
          <w:sz w:val="22"/>
        </w:rPr>
        <w:t>1.  Purpose</w:t>
      </w:r>
    </w:p>
    <w:p>
      <w:pPr>
        <w:spacing w:after="80"/>
      </w:pPr>
      <w:r>
        <w:rPr>
          <w:color w:val="1F2D2D"/>
          <w:sz w:val="19"/>
        </w:rPr>
        <w:t>This document sets out the formal role descriptions for the five operational positions within the Loan Origination Department. It is the authoritative reference for hiring, performance management, and reporting-line decisions. Where this document and an operational SOP differ, this document governs reporting-line and accountability matters.</w:t>
      </w:r>
    </w:p>
    <w:p>
      <w:pPr>
        <w:spacing w:before="280" w:after="80"/>
      </w:pPr>
      <w:r>
        <w:rPr>
          <w:b/>
          <w:color w:val="024F4F"/>
          <w:sz w:val="22"/>
        </w:rPr>
        <w:t>2.  Roles</w:t>
      </w:r>
    </w:p>
    <w:p>
      <w:pPr>
        <w:spacing w:before="200" w:after="40"/>
      </w:pPr>
      <w:r>
        <w:rPr>
          <w:b/>
          <w:color w:val="036868"/>
          <w:sz w:val="20"/>
        </w:rPr>
        <w:t>2.1  Loan Processing Officer</w:t>
      </w:r>
    </w:p>
    <w:p>
      <w:pPr>
        <w:spacing w:after="80"/>
      </w:pPr>
      <w:r>
        <w:rPr>
          <w:color w:val="1F2D2D"/>
          <w:sz w:val="19"/>
        </w:rPr>
        <w:t>Front-office role responsible for intake of new loan applications and the operational steps that follow customer engagement. Reports to the Branch Manager. Performs document collection, system data entry, AML screening initiation, and bureau enquiry preparation. Minimum qualification: Associate degree plus two years of branch operations experience.</w:t>
      </w:r>
    </w:p>
    <w:p>
      <w:pPr>
        <w:spacing w:before="200" w:after="40"/>
      </w:pPr>
      <w:r>
        <w:rPr>
          <w:b/>
          <w:color w:val="036868"/>
          <w:sz w:val="20"/>
        </w:rPr>
        <w:t>2.2  Credit Analyst</w:t>
      </w:r>
    </w:p>
    <w:p>
      <w:r>
        <w:rPr>
          <w:sz w:val="19"/>
        </w:rPr>
        <w:t>Credit Analysts are responsible for the certification of Debt-to-Income calculations and the preparation of credit assessment reports. Credit Analysts report to the Branch Credit Manager and are administratively aligned to their home branch.</w:t>
      </w:r>
    </w:p>
    <w:p>
      <w:pPr>
        <w:spacing w:after="80"/>
      </w:pPr>
      <w:r>
        <w:rPr>
          <w:color w:val="1F2D2D"/>
          <w:sz w:val="19"/>
        </w:rPr>
        <w:t>Credit Analysts hold the certifying authority for DTI calculations within the Loan Application Worksheet. Loan Processing Officers do not have authority to certify DTI calculations. Minimum qualification: Bachelor's degree in finance, accounting or related field, plus the bank's internal Credit Analyst certification.</w:t>
      </w:r>
    </w:p>
    <w:p>
      <w:pPr>
        <w:spacing w:before="200" w:after="40"/>
      </w:pPr>
      <w:r>
        <w:rPr>
          <w:b/>
          <w:color w:val="036868"/>
          <w:sz w:val="20"/>
        </w:rPr>
        <w:t>2.3  Senior Underwriter</w:t>
      </w:r>
    </w:p>
    <w:p>
      <w:pPr>
        <w:spacing w:after="80"/>
      </w:pPr>
      <w:r>
        <w:rPr>
          <w:color w:val="1F2D2D"/>
          <w:sz w:val="19"/>
        </w:rPr>
        <w:t>Senior Underwriters take responsibility for credit assessment of higher-risk applications, specifically those with Debt-to-Income ratios exceeding 43%. Reports to the Head of Underwriting. Minimum qualification: Five years' commercial credit experience plus the bank's Senior Underwriter accreditation.</w:t>
      </w:r>
    </w:p>
    <w:p>
      <w:pPr>
        <w:spacing w:before="200" w:after="40"/>
      </w:pPr>
      <w:r>
        <w:rPr>
          <w:b/>
          <w:color w:val="036868"/>
          <w:sz w:val="20"/>
        </w:rPr>
        <w:t>2.4  Branch Manager</w:t>
      </w:r>
    </w:p>
    <w:p>
      <w:pPr>
        <w:spacing w:after="80"/>
      </w:pPr>
      <w:r>
        <w:rPr>
          <w:color w:val="1F2D2D"/>
          <w:sz w:val="19"/>
        </w:rPr>
        <w:t>Accountable for branch-level performance and adherence to all procedural standards. Counter-signs Document Completeness Certificates, monitors sanctioning queue status, and is the sole signatory for Commitment Letters issued by the branch. Reports to the Regional Director, Commercial Banking.</w:t>
      </w:r>
    </w:p>
    <w:p>
      <w:pPr>
        <w:spacing w:before="200" w:after="40"/>
      </w:pPr>
      <w:r>
        <w:rPr>
          <w:b/>
          <w:color w:val="036868"/>
          <w:sz w:val="20"/>
        </w:rPr>
        <w:t>2.5  Quality Assurance Officer</w:t>
      </w:r>
    </w:p>
    <w:p>
      <w:pPr>
        <w:spacing w:after="80"/>
      </w:pPr>
      <w:r>
        <w:rPr>
          <w:color w:val="1F2D2D"/>
          <w:sz w:val="19"/>
        </w:rPr>
        <w:t>The Quality Assurance Officer is an independent second-line role attached to each branch. Conducts post-decision sample reviews of completed loan files, tracks defect trends, and reports monthly findings to the Branch Manager and the Regional Director. The Quality Assurance Officer does NOT participate in front-line application processing and is not referenced in operational SOPs governing day-to-day origination activity. Reports to the Regional Director, Commercial Banking. Minimum qualification: Bachelor's degree plus three years' audit or quality assurance experience.</w:t>
      </w:r>
    </w:p>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color w:val="024F4F"/>
                <w:sz w:val="18"/>
              </w:rPr>
              <w:t>Approved by</w:t>
            </w:r>
          </w:p>
        </w:tc>
        <w:tc>
          <w:tcPr>
            <w:tcW w:type="dxa" w:w="4873"/>
          </w:tcPr>
          <w:p>
            <w:pPr>
              <w:jc w:val="left"/>
            </w:pPr>
            <w:r>
              <w:rPr>
                <w:b w:val="0"/>
                <w:sz w:val="18"/>
              </w:rPr>
              <w:t>Head of HR, Commercial Banking</w:t>
            </w:r>
          </w:p>
        </w:tc>
      </w:tr>
      <w:tr>
        <w:tc>
          <w:tcPr>
            <w:tcW w:type="dxa" w:w="4873"/>
            <w:shd w:val="clear" w:color="auto" w:fill="E6F4F4"/>
          </w:tcPr>
          <w:p>
            <w:pPr>
              <w:jc w:val="left"/>
            </w:pPr>
            <w:r>
              <w:rPr>
                <w:b/>
                <w:color w:val="024F4F"/>
                <w:sz w:val="18"/>
              </w:rPr>
              <w:t>Effective</w:t>
            </w:r>
          </w:p>
        </w:tc>
        <w:tc>
          <w:tcPr>
            <w:tcW w:type="dxa" w:w="4873"/>
          </w:tcPr>
          <w:p>
            <w:pPr>
              <w:jc w:val="left"/>
            </w:pPr>
            <w:r>
              <w:rPr>
                <w:b w:val="0"/>
                <w:sz w:val="18"/>
              </w:rPr>
              <w:t>March 2024</w:t>
            </w:r>
          </w:p>
        </w:tc>
      </w:tr>
      <w:tr>
        <w:tc>
          <w:tcPr>
            <w:tcW w:type="dxa" w:w="4873"/>
            <w:shd w:val="clear" w:color="auto" w:fill="E6F4F4"/>
          </w:tcPr>
          <w:p>
            <w:pPr>
              <w:jc w:val="left"/>
            </w:pPr>
            <w:r>
              <w:rPr>
                <w:b/>
                <w:color w:val="024F4F"/>
                <w:sz w:val="18"/>
              </w:rPr>
              <w:t>Review Cycle</w:t>
            </w:r>
          </w:p>
        </w:tc>
        <w:tc>
          <w:tcPr>
            <w:tcW w:type="dxa" w:w="4873"/>
          </w:tcPr>
          <w:p>
            <w:pPr>
              <w:jc w:val="left"/>
            </w:pPr>
            <w:r>
              <w:rPr>
                <w:b w:val="0"/>
                <w:sz w:val="18"/>
              </w:rPr>
              <w:t>Annual</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