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24F4F"/>
          </w:tcPr>
          <w:p>
            <w:pPr>
              <w:jc w:val="center"/>
            </w:pPr>
            <w:r>
              <w:rPr>
                <w:b/>
                <w:color w:val="A7D4D4"/>
                <w:sz w:val="18"/>
              </w:rPr>
              <w:t>METAFORE WORKS</w:t>
            </w:r>
          </w:p>
          <w:p>
            <w:pPr>
              <w:jc w:val="center"/>
            </w:pPr>
            <w:r>
              <w:rPr>
                <w:b/>
                <w:color w:val="FFFFFF"/>
                <w:sz w:val="48"/>
              </w:rPr>
              <w:t>Discovery Engine</w:t>
            </w:r>
          </w:p>
          <w:p>
            <w:pPr>
              <w:jc w:val="center"/>
            </w:pPr>
            <w:r>
              <w:rPr>
                <w:color w:val="A7D4D4"/>
                <w:sz w:val="26"/>
              </w:rPr>
              <w:t>Business Requirements Document</w:t>
            </w:r>
          </w:p>
          <w:p>
            <w:pPr>
              <w:jc w:val="center"/>
            </w:pPr>
            <w:r>
              <w:rPr>
                <w:color w:val="A7D4D4"/>
                <w:sz w:val="17"/>
              </w:rPr>
              <w:t>Version 1.0   |   April 2026   |  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Document Title</w:t>
            </w:r>
          </w:p>
        </w:tc>
        <w:tc>
          <w:tcPr>
            <w:tcW w:type="dxa" w:w="72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Metafore Works Discovery Engine — Business Requirements Document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1.0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72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April 2026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Active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72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Metafore Works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Confidential</w:t>
            </w:r>
          </w:p>
        </w:tc>
      </w:tr>
    </w:tbl>
    <w:p/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1  </w:t>
      </w:r>
      <w:r>
        <w:rPr>
          <w:b/>
          <w:i w:val="0"/>
          <w:color w:val="024F4F"/>
          <w:sz w:val="22"/>
        </w:rPr>
        <w:t>EXECUTIVE SUMMARY</w:t>
      </w:r>
    </w:p>
    <w:p>
      <w:pPr>
        <w:spacing w:after="80"/>
      </w:pPr>
      <w:r>
        <w:rPr>
          <w:color w:val="1F2D2D"/>
          <w:sz w:val="19"/>
        </w:rPr>
        <w:t>The Metafore Works Discovery Engine is an AI-powered document intelligence platform that transforms unstructured business documents — SOPs, policies, audit reports — into structured knowledge graphs. It enables organisations to visualise process flows, identify compliance gaps, generate domain object models, and assess conformance against operating standards, all through a browser-based interface with no installation required beyond Python.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6F4F4"/>
            <w:tcBorders>
              <w:left w:val="single" w:sz="12" w:space="0" w:color="036868"/>
            </w:tcBorders>
          </w:tcPr>
          <w:p>
            <w:r>
              <w:rPr>
                <w:color w:val="024F4F"/>
                <w:sz w:val="18"/>
              </w:rPr>
              <w:t>The Discovery Engine is the foundational layer of the Metafore Works platform. It is designed to be the first step before any application build — understanding the organisation before designing for it.</w:t>
            </w:r>
          </w:p>
        </w:tc>
      </w:tr>
    </w:tbl>
    <w:p/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2  </w:t>
      </w:r>
      <w:r>
        <w:rPr>
          <w:b/>
          <w:i w:val="0"/>
          <w:color w:val="024F4F"/>
          <w:sz w:val="22"/>
        </w:rPr>
        <w:t>BUSINESS CONTEXT AND PROBLEM STATEMENT</w:t>
      </w:r>
    </w:p>
    <w:p>
      <w:pPr>
        <w:spacing w:after="80"/>
      </w:pPr>
      <w:r>
        <w:rPr>
          <w:color w:val="1F2D2D"/>
          <w:sz w:val="19"/>
        </w:rPr>
        <w:t>Organisations accumulate large volumes of operational documentation containing rich process and governance knowledge locked in unstructured text. Extracting, relating, and acting on this knowledge currently requires significant manual analyst effort.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504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Process knowledge buried in long-form documents</w:t>
            </w:r>
          </w:p>
        </w:tc>
        <w:tc>
          <w:tcPr>
            <w:tcW w:type="dxa" w:w="504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Analysts spend days manually mapping workflows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Gap analysis done manually and inconsistently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Critical compliance gaps are missed or under-reported</w:t>
            </w:r>
          </w:p>
        </w:tc>
      </w:tr>
      <w:tr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Object models created from scratch each time</w:t>
            </w:r>
          </w:p>
        </w:tc>
        <w:tc>
          <w:tcPr>
            <w:tcW w:type="dxa" w:w="504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Data model rework delays system design phases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 automated conformance checking against SOPs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Audit findings remain disconnected from source procedures</w:t>
            </w:r>
          </w:p>
        </w:tc>
      </w:tr>
    </w:tbl>
    <w:p/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3  </w:t>
      </w:r>
      <w:r>
        <w:rPr>
          <w:b/>
          <w:i w:val="0"/>
          <w:color w:val="024F4F"/>
          <w:sz w:val="22"/>
        </w:rPr>
        <w:t>OBJECTIVES</w:t>
      </w:r>
    </w:p>
    <w:p>
      <w:pPr>
        <w:spacing w:after="60"/>
      </w:pPr>
      <w:r>
        <w:rPr>
          <w:b/>
          <w:i w:val="0"/>
          <w:color w:val="036868"/>
          <w:sz w:val="19"/>
        </w:rPr>
        <w:t xml:space="preserve">1.  </w:t>
      </w:r>
      <w:r>
        <w:rPr>
          <w:b w:val="0"/>
          <w:i w:val="0"/>
          <w:color w:val="1F2D2D"/>
          <w:sz w:val="19"/>
        </w:rPr>
        <w:t>Extract a structured knowledge graph from any uploaded business document in under 60 seconds.</w:t>
      </w:r>
    </w:p>
    <w:p>
      <w:pPr>
        <w:spacing w:after="60"/>
      </w:pPr>
      <w:r>
        <w:rPr>
          <w:b/>
          <w:i w:val="0"/>
          <w:color w:val="036868"/>
          <w:sz w:val="19"/>
        </w:rPr>
        <w:t xml:space="preserve">2.  </w:t>
      </w:r>
      <w:r>
        <w:rPr>
          <w:b w:val="0"/>
          <w:i w:val="0"/>
          <w:color w:val="1F2D2D"/>
          <w:sz w:val="19"/>
        </w:rPr>
        <w:t>Surface workflow AS-IS and TO-BE suggestions from extracted graph data.</w:t>
      </w:r>
    </w:p>
    <w:p>
      <w:pPr>
        <w:spacing w:after="60"/>
      </w:pPr>
      <w:r>
        <w:rPr>
          <w:b/>
          <w:i w:val="0"/>
          <w:color w:val="036868"/>
          <w:sz w:val="19"/>
        </w:rPr>
        <w:t xml:space="preserve">3.  </w:t>
      </w:r>
      <w:r>
        <w:rPr>
          <w:b w:val="0"/>
          <w:i w:val="0"/>
          <w:color w:val="1F2D2D"/>
          <w:sz w:val="19"/>
        </w:rPr>
        <w:t>Automatically generate a BRD §4-compliant domain object model (Pydantic + JSON Schema).</w:t>
      </w:r>
    </w:p>
    <w:p>
      <w:pPr>
        <w:spacing w:after="60"/>
      </w:pPr>
      <w:r>
        <w:rPr>
          <w:b/>
          <w:i w:val="0"/>
          <w:color w:val="036868"/>
          <w:sz w:val="19"/>
        </w:rPr>
        <w:t xml:space="preserve">4.  </w:t>
      </w:r>
      <w:r>
        <w:rPr>
          <w:b w:val="0"/>
          <w:i w:val="0"/>
          <w:color w:val="1F2D2D"/>
          <w:sz w:val="19"/>
        </w:rPr>
        <w:t>Calculate gap analysis and provide actionable remediation blueprints.</w:t>
      </w:r>
    </w:p>
    <w:p>
      <w:pPr>
        <w:spacing w:after="60"/>
      </w:pPr>
      <w:r>
        <w:rPr>
          <w:b/>
          <w:i w:val="0"/>
          <w:color w:val="036868"/>
          <w:sz w:val="19"/>
        </w:rPr>
        <w:t xml:space="preserve">5.  </w:t>
      </w:r>
      <w:r>
        <w:rPr>
          <w:b w:val="0"/>
          <w:i w:val="0"/>
          <w:color w:val="1F2D2D"/>
          <w:sz w:val="19"/>
        </w:rPr>
        <w:t>Score conformance between evidence documents and the source process graph.</w:t>
      </w:r>
    </w:p>
    <w:p>
      <w:pPr>
        <w:spacing w:after="60"/>
      </w:pPr>
      <w:r>
        <w:rPr>
          <w:b/>
          <w:i w:val="0"/>
          <w:color w:val="036868"/>
          <w:sz w:val="19"/>
        </w:rPr>
        <w:t xml:space="preserve">6.  </w:t>
      </w:r>
      <w:r>
        <w:rPr>
          <w:b w:val="0"/>
          <w:i w:val="0"/>
          <w:color w:val="1F2D2D"/>
          <w:sz w:val="19"/>
        </w:rPr>
        <w:t>Provide natural language querying over the knowledge graph.</w:t>
      </w:r>
    </w:p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4  </w:t>
      </w:r>
      <w:r>
        <w:rPr>
          <w:b/>
          <w:i w:val="0"/>
          <w:color w:val="024F4F"/>
          <w:sz w:val="22"/>
        </w:rPr>
        <w:t>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576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Interest</w:t>
            </w:r>
          </w:p>
        </w:tc>
      </w:tr>
      <w:tr>
        <w:tc>
          <w:tcPr>
            <w:tcW w:type="dxa" w:w="36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Product Owner — Metafore Works</w:t>
            </w:r>
          </w:p>
        </w:tc>
        <w:tc>
          <w:tcPr>
            <w:tcW w:type="dxa" w:w="57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Feature prioritisation and roadmap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Business Analyst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Gap analysis, conformance, object model output</w:t>
            </w:r>
          </w:p>
        </w:tc>
      </w:tr>
      <w:tr>
        <w:tc>
          <w:tcPr>
            <w:tcW w:type="dxa" w:w="36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Data Architect</w:t>
            </w:r>
          </w:p>
        </w:tc>
        <w:tc>
          <w:tcPr>
            <w:tcW w:type="dxa" w:w="57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BRD §4 object model export and ERD review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Process Owner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Workflow suggestions and pulse recommendations</w:t>
            </w:r>
          </w:p>
        </w:tc>
      </w:tr>
      <w:tr>
        <w:tc>
          <w:tcPr>
            <w:tcW w:type="dxa" w:w="36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IT / Infrastructure</w:t>
            </w:r>
          </w:p>
        </w:tc>
        <w:tc>
          <w:tcPr>
            <w:tcW w:type="dxa" w:w="57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Deployment and API key management</w:t>
            </w:r>
          </w:p>
        </w:tc>
      </w:tr>
    </w:tbl>
    <w:p/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5  </w:t>
      </w:r>
      <w:r>
        <w:rPr>
          <w:b/>
          <w:i w:val="0"/>
          <w:color w:val="024F4F"/>
          <w:sz w:val="22"/>
        </w:rPr>
        <w:t>SCOPE</w:t>
      </w:r>
    </w:p>
    <w:p>
      <w:pPr>
        <w:spacing w:before="200" w:after="40"/>
      </w:pPr>
      <w:r>
        <w:rPr>
          <w:b/>
          <w:i w:val="0"/>
          <w:color w:val="024F4F"/>
          <w:sz w:val="20"/>
        </w:rPr>
        <w:t>5.1  In Scope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Document upload: PDF, DOCX, TXT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AI-driven knowledge graph extraction (nodes and edges)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Interactive graph visualisation via vis-network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Workflow generation (AS-IS and TO-BE)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Gap analysis with remediation blueprint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Pulse health recommendations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Conformance checking with evidence document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Object model generation: Pydantic v2, JSON Schema, ERD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Natural language querying over the graph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Single-user, local deployment on Windows</w:t>
      </w:r>
    </w:p>
    <w:p/>
    <w:p>
      <w:pPr>
        <w:spacing w:before="200" w:after="40"/>
      </w:pPr>
      <w:r>
        <w:rPr>
          <w:b/>
          <w:i w:val="0"/>
          <w:color w:val="024F4F"/>
          <w:sz w:val="20"/>
        </w:rPr>
        <w:t>5.2  Out of Scope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Multi-user or multi-tenant access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Persistent database storage (all data is in-memory, reset on server restart)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Authentication or authorisation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Real-time collaboration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Mobile application</w:t>
      </w:r>
    </w:p>
    <w:p>
      <w:pPr>
        <w:pStyle w:val="ListBullet"/>
        <w:spacing w:after="40"/>
        <w:ind w:left="432"/>
      </w:pPr>
      <w:r>
        <w:rPr>
          <w:color w:val="1F2D2D"/>
          <w:sz w:val="18"/>
        </w:rPr>
        <w:t>Neo4j integration (available but disabled by default)</w:t>
      </w:r>
    </w:p>
    <w:p/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6  </w:t>
      </w:r>
      <w:r>
        <w:rPr>
          <w:b/>
          <w:i w:val="0"/>
          <w:color w:val="024F4F"/>
          <w:sz w:val="22"/>
        </w:rPr>
        <w:t>FUNCTIONAL REQUIREMENTS</w:t>
      </w:r>
    </w:p>
    <w:p>
      <w:pPr>
        <w:spacing w:before="200" w:after="40"/>
      </w:pPr>
      <w:r>
        <w:rPr>
          <w:b/>
          <w:i w:val="0"/>
          <w:color w:val="024F4F"/>
          <w:sz w:val="20"/>
        </w:rPr>
        <w:t>6.1  Document Upload and Graph Extraction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0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35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FR-01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 shall accept PDF, DOCX, and TXT documents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FR-02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 shall extract 15–20 nodes and 15–20 edges per document using Claude Sonnet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FR-03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Nodes shall be classified as: Process, Role, System, Policy, DataEntity, Event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FR-04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Extracted graph shall be rendered as an interactive force-directed network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FR-05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Each upload shall produce an independent graph with a unique graph_id (UUID)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FR-06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Document text stored in memory shall be capped at 15,000 characters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6.2  Workflow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0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35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FR-07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 shall generate AS-IS and TO-BE workflows from the knowledge graph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FR-08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Each workflow shall include ordered steps with responsible roles and linked systems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FR-09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Hovering a workflow step shall highlight the corresponding node in the graph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FR-10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Workflows shall be cached per graph_id and not regenerated on repeated navigation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6.3 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0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35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FR-11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 shall identify gaps: missing roles, policies, and systems in the process graph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FR-12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Each gap item shall have a severity: Critical / High / Medium / Low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FR-13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View in Graph shall highlight affected nodes on the knowledge graph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FR-14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 shall generate a remediation blueprint using Claude Haiku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6.4  Pulse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0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35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 shall calculate rule-based health metrics from the knowledge graph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FR-16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 shall generate AI recommendations (up to 5) using Claude Haiku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FR-17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Pulse panel shall be accessible via a slide-in drawer from the sidebar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6.5  Conformance Checking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0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35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FR-18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User shall upload a secondary evidence document (audit report, review log)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FR-19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 shall score each eligible node as: Confirmed / Deviated / Not Found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FR-20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 shall display a conformance percentage and evidence quotes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FR-21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Overlay modes shall allow filtering to confirmed, deviated, or all nodes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FR-22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Event and Objective nodes shall be excluded from conformance assessment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6.6  Object Model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0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35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FR-23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 shall generate a domain object model using BRD Authoring Standard §4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FR-24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Output shall include: Pydantic v2 Python code, JSON Schema, and an ERD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FR-25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Object model shall be cached per graph_id and not regenerated on repeated navigation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FR-26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 shall show a loading spinner while the model is being generated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FR-27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If no graph has been extracted, system shall show an empty-state prompt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6.7  Natural Language Querying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0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35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FR-28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User shall be able to type a plain-English question about the graph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FR-29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 shall return a direct answer plus highlighted relevant nodes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FR-30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Query history shall be maintained per graph_id for the session</w:t>
            </w:r>
          </w:p>
        </w:tc>
      </w:tr>
    </w:tbl>
    <w:p/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7  </w:t>
      </w:r>
      <w:r>
        <w:rPr>
          <w:b/>
          <w:i w:val="0"/>
          <w:color w:val="024F4F"/>
          <w:sz w:val="22"/>
        </w:rP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0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648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NFR-01</w:t>
            </w:r>
          </w:p>
        </w:tc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  <w:tc>
          <w:tcPr>
            <w:tcW w:type="dxa" w:w="648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 extraction shall complete within 60 seconds for documents up to 20,000 characters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NFR-02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Natural language queries shall respond within 10 seconds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NFR-03</w:t>
            </w:r>
          </w:p>
        </w:tc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Usability</w:t>
            </w:r>
          </w:p>
        </w:tc>
        <w:tc>
          <w:tcPr>
            <w:tcW w:type="dxa" w:w="648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All features shall be accessible from a single-page browser UI with no page reloads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NFR-04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Reliability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Server shall auto-restart on code changes during development (uvicorn --reload)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NFR-05</w:t>
            </w:r>
          </w:p>
        </w:tc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648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API key shall be stored in a local .env file and never committed to version control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NFR-06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Compatibility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Frontend shall work in Microsoft Edge without CDN dependency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NFR-07</w:t>
            </w:r>
          </w:p>
        </w:tc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Portability</w:t>
            </w:r>
          </w:p>
        </w:tc>
        <w:tc>
          <w:tcPr>
            <w:tcW w:type="dxa" w:w="648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Application shall run on any Windows machine with Python 3.11+ via double-click START.bat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NFR-08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Data isolation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All session data is in-memory; restart clears all state</w:t>
            </w:r>
          </w:p>
        </w:tc>
      </w:tr>
    </w:tbl>
    <w:p/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8  </w:t>
      </w:r>
      <w:r>
        <w:rPr>
          <w:b/>
          <w:i w:val="0"/>
          <w:color w:val="024F4F"/>
          <w:sz w:val="22"/>
        </w:rPr>
        <w:t>OBJECT MODEL STANDARD — BRD AUTHORING STANDARD §4</w:t>
      </w:r>
    </w:p>
    <w:p>
      <w:pPr>
        <w:spacing w:after="80"/>
      </w:pPr>
      <w:r>
        <w:rPr>
          <w:color w:val="1F2D2D"/>
          <w:sz w:val="19"/>
        </w:rPr>
        <w:t>All domain object models generated by the Discovery Engine must conform to the following rules. These rules apply to both the Pydantic code output and the JSON Schema output.</w:t>
      </w:r>
    </w:p>
    <w:p>
      <w:pPr>
        <w:spacing w:before="200" w:after="40"/>
      </w:pPr>
      <w:r>
        <w:rPr>
          <w:b/>
          <w:i w:val="0"/>
          <w:color w:val="024F4F"/>
          <w:sz w:val="20"/>
        </w:rPr>
        <w:t>8.1  Field Naming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720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Case</w:t>
            </w:r>
          </w:p>
        </w:tc>
        <w:tc>
          <w:tcPr>
            <w:tcW w:type="dxa" w:w="72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snake_case only — no spaces, no camelCase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Length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Maximum 63 characters per field name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FK naming</w:t>
            </w:r>
          </w:p>
        </w:tc>
        <w:tc>
          <w:tcPr>
            <w:tcW w:type="dxa" w:w="72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&lt;parent_table&gt;_id format — e.g. customer_id, account_id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8.2  Mandatory Fields — Every Entity</w:t>
      </w:r>
    </w:p>
    <w:p>
      <w:pPr>
        <w:spacing w:after="80"/>
      </w:pPr>
      <w:r>
        <w:rPr>
          <w:color w:val="1F2D2D"/>
          <w:sz w:val="19"/>
        </w:rPr>
        <w:t>Every entity must include these fields in this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5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Position</w:t>
            </w:r>
          </w:p>
        </w:tc>
        <w:tc>
          <w:tcPr>
            <w:tcW w:type="dxa" w:w="216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88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</w:tr>
      <w:tr>
        <w:tc>
          <w:tcPr>
            <w:tcW w:type="dxa" w:w="11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1st</w:t>
            </w:r>
          </w:p>
        </w:tc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id</w:t>
            </w:r>
          </w:p>
        </w:tc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UUID</w:t>
            </w:r>
          </w:p>
        </w:tc>
        <w:tc>
          <w:tcPr>
            <w:tcW w:type="dxa" w:w="388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Primary Key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2nd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Not Null — audit trail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8.3  Audit Fields — Every Entity</w:t>
      </w:r>
    </w:p>
    <w:p>
      <w:pPr>
        <w:spacing w:after="80"/>
      </w:pPr>
      <w:r>
        <w:rPr>
          <w:color w:val="1F2D2D"/>
          <w:sz w:val="19"/>
        </w:rPr>
        <w:t>Every entity must include these audit-only fields. They carry no FK constraint and must not appear in ERD relationship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created_by</w:t>
            </w:r>
          </w:p>
        </w:tc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UUID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AUDIT ONLY – no relationship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last_changed_by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UUID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AUDIT ONLY – no relationship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8.4  Enum Values</w:t>
      </w:r>
    </w:p>
    <w:p>
      <w:pPr>
        <w:spacing w:after="80"/>
      </w:pPr>
      <w:r>
        <w:rPr>
          <w:color w:val="1F2D2D"/>
          <w:sz w:val="19"/>
        </w:rPr>
        <w:t>All enum values must be UPPERCASE: OPEN, IN_PROGRESS, APPROVED, REJECTED, CLOSED. Never lowercase.</w:t>
      </w:r>
    </w:p>
    <w:p>
      <w:pPr>
        <w:spacing w:before="200" w:after="40"/>
      </w:pPr>
      <w:r>
        <w:rPr>
          <w:b/>
          <w:i w:val="0"/>
          <w:color w:val="024F4F"/>
          <w:sz w:val="20"/>
        </w:rPr>
        <w:t>8.5  Relationship Declaration Format</w:t>
      </w:r>
    </w:p>
    <w:p>
      <w:pPr>
        <w:spacing w:after="80"/>
      </w:pPr>
      <w:r>
        <w:rPr>
          <w:color w:val="1F2D2D"/>
          <w:sz w:val="19"/>
        </w:rPr>
        <w:t>Relationships must use this exact string format: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6F4F4"/>
            <w:tcBorders>
              <w:left w:val="single" w:sz="12" w:space="0" w:color="036868"/>
            </w:tcBorders>
          </w:tcPr>
          <w:p>
            <w:r>
              <w:rPr>
                <w:color w:val="024F4F"/>
                <w:sz w:val="18"/>
              </w:rPr>
              <w:t>entity_a (parent) → entity_b (child) via entity_b.fk_column = entity_a.id</w:t>
              <w:br/>
              <w:br/>
              <w:t>Example: Customer (parent) → LoanApplication (child) via loan_application.customer_id = customer.id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8.6  JSON Schema Requirements</w:t>
      </w:r>
    </w:p>
    <w:p>
      <w:pPr>
        <w:spacing w:after="80"/>
      </w:pPr>
      <w:r>
        <w:rPr>
          <w:color w:val="1F2D2D"/>
          <w:sz w:val="19"/>
        </w:rPr>
        <w:t>The JSON Schema output must include an "entities" array (each with name and fields) and a "relationships" array using the arrow format above.</w:t>
      </w:r>
    </w:p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9  </w:t>
      </w:r>
      <w:r>
        <w:rPr>
          <w:b/>
          <w:i w:val="0"/>
          <w:color w:val="024F4F"/>
          <w:sz w:val="22"/>
        </w:rPr>
        <w:t>SYSTEM ARCHITECTURE</w:t>
      </w:r>
    </w:p>
    <w:p>
      <w:pPr>
        <w:spacing w:before="200" w:after="40"/>
      </w:pPr>
      <w:r>
        <w:rPr>
          <w:b/>
          <w:i w:val="0"/>
          <w:color w:val="024F4F"/>
          <w:sz w:val="20"/>
        </w:rPr>
        <w:t>9.1 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60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60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AI</w:t>
            </w:r>
          </w:p>
        </w:tc>
        <w:tc>
          <w:tcPr>
            <w:tcW w:type="dxa" w:w="36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Anthropic Claude Sonnet 4.6 + Haiku 4.5</w:t>
            </w:r>
          </w:p>
        </w:tc>
        <w:tc>
          <w:tcPr>
            <w:tcW w:type="dxa" w:w="36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Tool-use API — structured output guaranteed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Python 3.11 · FastAPI 0.115 · Uvicorn 0.32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Port 8083, launched via --app-dir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Document parsing</w:t>
            </w:r>
          </w:p>
        </w:tc>
        <w:tc>
          <w:tcPr>
            <w:tcW w:type="dxa" w:w="36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PyMuPDF (PDF) · python-docx (DOCX)</w:t>
            </w:r>
          </w:p>
        </w:tc>
        <w:tc>
          <w:tcPr>
            <w:tcW w:type="dxa" w:w="36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Built-in for TXT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 DB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Neo4j 5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Optional — disabled by default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36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Vanilla JS · vis-network 9.1.9</w:t>
            </w:r>
          </w:p>
        </w:tc>
        <w:tc>
          <w:tcPr>
            <w:tcW w:type="dxa" w:w="36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Self-hosted; no build step required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Fonts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GT America · IBM Plex Mono · Inter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Self-hosted OTF/TTF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9.2 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03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100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432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</w:tr>
      <w:tr>
        <w:tc>
          <w:tcPr>
            <w:tcW w:type="dxa" w:w="403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/api/upload</w:t>
            </w:r>
          </w:p>
        </w:tc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Document upload and graph extraction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/api/workflows/generate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Workflow generation</w:t>
            </w:r>
          </w:p>
        </w:tc>
      </w:tr>
      <w:tr>
        <w:tc>
          <w:tcPr>
            <w:tcW w:type="dxa" w:w="403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/api/workflows/{id}</w:t>
            </w:r>
          </w:p>
        </w:tc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Retrieve cached workflows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/api/generate-object-model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Object model generation</w:t>
            </w:r>
          </w:p>
        </w:tc>
      </w:tr>
      <w:tr>
        <w:tc>
          <w:tcPr>
            <w:tcW w:type="dxa" w:w="403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/api/query/natural-language</w:t>
            </w:r>
          </w:p>
        </w:tc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Natural language query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/api/query/history/{id}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NLQ history</w:t>
            </w:r>
          </w:p>
        </w:tc>
      </w:tr>
      <w:tr>
        <w:tc>
          <w:tcPr>
            <w:tcW w:type="dxa" w:w="403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/api/gap-analysis/calculate</w:t>
            </w:r>
          </w:p>
        </w:tc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Gap analysis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/api/gap-analysis/blueprint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Remediation blueprint</w:t>
            </w:r>
          </w:p>
        </w:tc>
      </w:tr>
      <w:tr>
        <w:tc>
          <w:tcPr>
            <w:tcW w:type="dxa" w:w="403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/api/pulse/calculate</w:t>
            </w:r>
          </w:p>
        </w:tc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Pulse health metrics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/api/pulse/ai-recommendations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AI pulse recommendations</w:t>
            </w:r>
          </w:p>
        </w:tc>
      </w:tr>
      <w:tr>
        <w:tc>
          <w:tcPr>
            <w:tcW w:type="dxa" w:w="403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/conformance/upload</w:t>
            </w:r>
          </w:p>
        </w:tc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Evidence document upload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/conformance/analyse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Conformance analysis</w:t>
            </w:r>
          </w:p>
        </w:tc>
      </w:tr>
      <w:tr>
        <w:tc>
          <w:tcPr>
            <w:tcW w:type="dxa" w:w="403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/conformance/{id}/latest</w:t>
            </w:r>
          </w:p>
        </w:tc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Latest conformance result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9.3  AI Model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6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259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44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Max Tokens</w:t>
            </w:r>
          </w:p>
        </w:tc>
        <w:tc>
          <w:tcPr>
            <w:tcW w:type="dxa" w:w="216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16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 extraction</w:t>
            </w:r>
          </w:p>
        </w:tc>
        <w:tc>
          <w:tcPr>
            <w:tcW w:type="dxa" w:w="259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Claude Sonnet 4.6</w:t>
            </w:r>
          </w:p>
        </w:tc>
        <w:tc>
          <w:tcPr>
            <w:tcW w:type="dxa" w:w="144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8,096</w:t>
            </w:r>
          </w:p>
        </w:tc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Highest accuracy required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Workflow generation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Claude Sonnet 4.6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16,000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Complex nested schema</w:t>
            </w:r>
          </w:p>
        </w:tc>
      </w:tr>
      <w:tr>
        <w:tc>
          <w:tcPr>
            <w:tcW w:type="dxa" w:w="316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Object model</w:t>
            </w:r>
          </w:p>
        </w:tc>
        <w:tc>
          <w:tcPr>
            <w:tcW w:type="dxa" w:w="259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Claude Sonnet 4.6</w:t>
            </w:r>
          </w:p>
        </w:tc>
        <w:tc>
          <w:tcPr>
            <w:tcW w:type="dxa" w:w="144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4,096</w:t>
            </w:r>
          </w:p>
        </w:tc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Code generation quality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Conformance analysis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Claude Sonnet 4.6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6,000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Precise evidence matching</w:t>
            </w:r>
          </w:p>
        </w:tc>
      </w:tr>
      <w:tr>
        <w:tc>
          <w:tcPr>
            <w:tcW w:type="dxa" w:w="316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Natural language query</w:t>
            </w:r>
          </w:p>
        </w:tc>
        <w:tc>
          <w:tcPr>
            <w:tcW w:type="dxa" w:w="259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Claude Haiku 4.5</w:t>
            </w:r>
          </w:p>
        </w:tc>
        <w:tc>
          <w:tcPr>
            <w:tcW w:type="dxa" w:w="144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800</w:t>
            </w:r>
          </w:p>
        </w:tc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Simple Q&amp;A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Blueprint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Claude Haiku 4.5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800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Short summary</w:t>
            </w:r>
          </w:p>
        </w:tc>
      </w:tr>
      <w:tr>
        <w:tc>
          <w:tcPr>
            <w:tcW w:type="dxa" w:w="316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Pulse AI recommendations</w:t>
            </w:r>
          </w:p>
        </w:tc>
        <w:tc>
          <w:tcPr>
            <w:tcW w:type="dxa" w:w="259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Claude Haiku 4.5</w:t>
            </w:r>
          </w:p>
        </w:tc>
        <w:tc>
          <w:tcPr>
            <w:tcW w:type="dxa" w:w="144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2,048</w:t>
            </w:r>
          </w:p>
        </w:tc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Structured list</w:t>
            </w:r>
          </w:p>
        </w:tc>
      </w:tr>
    </w:tbl>
    <w:p/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10  </w:t>
      </w:r>
      <w:r>
        <w:rPr>
          <w:b/>
          <w:i w:val="0"/>
          <w:color w:val="024F4F"/>
          <w:sz w:val="22"/>
        </w:rPr>
        <w:t>DATA MODEL</w:t>
      </w:r>
    </w:p>
    <w:p>
      <w:pPr>
        <w:spacing w:before="200" w:after="40"/>
      </w:pPr>
      <w:r>
        <w:rPr>
          <w:b/>
          <w:i w:val="0"/>
          <w:color w:val="024F4F"/>
          <w:sz w:val="20"/>
        </w:rPr>
        <w:t>10.1  In-Memory Stores</w:t>
      </w:r>
    </w:p>
    <w:p>
      <w:pPr>
        <w:spacing w:after="80"/>
      </w:pPr>
      <w:r>
        <w:rPr>
          <w:color w:val="1F2D2D"/>
          <w:sz w:val="19"/>
        </w:rPr>
        <w:t>All stores are keyed by graph_id (UUID) and reset on server restart. There is no persistent storage.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Store</w:t>
            </w:r>
          </w:p>
        </w:tc>
        <w:tc>
          <w:tcPr>
            <w:tcW w:type="dxa" w:w="187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Key</w:t>
            </w:r>
          </w:p>
        </w:tc>
        <w:tc>
          <w:tcPr>
            <w:tcW w:type="dxa" w:w="432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_graph_store</w:t>
            </w:r>
          </w:p>
        </w:tc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graph_id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Nodes, edges, graph_id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_doc_store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graph_id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Combined document text (max 15,000 chars)</w:t>
            </w:r>
          </w:p>
        </w:tc>
      </w:tr>
      <w:tr>
        <w:tc>
          <w:tcPr>
            <w:tcW w:type="dxa" w:w="316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_workflow_store</w:t>
            </w:r>
          </w:p>
        </w:tc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graph_id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Workflows list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_object_model_store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graph_id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Object model result</w:t>
            </w:r>
          </w:p>
        </w:tc>
      </w:tr>
      <w:tr>
        <w:tc>
          <w:tcPr>
            <w:tcW w:type="dxa" w:w="316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_query_history</w:t>
            </w:r>
          </w:p>
        </w:tc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graph_id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NLQ history entries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_gap_store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graph_id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Gap analysis result</w:t>
            </w:r>
          </w:p>
        </w:tc>
      </w:tr>
      <w:tr>
        <w:tc>
          <w:tcPr>
            <w:tcW w:type="dxa" w:w="316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_blueprint_store</w:t>
            </w:r>
          </w:p>
        </w:tc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graph_id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Blueprint result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_pulse_store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graph_id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Pulse items</w:t>
            </w:r>
          </w:p>
        </w:tc>
      </w:tr>
      <w:tr>
        <w:tc>
          <w:tcPr>
            <w:tcW w:type="dxa" w:w="316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_pulse_ai_store</w:t>
            </w:r>
          </w:p>
        </w:tc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graph_id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AI recommendations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_evidence_store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evidence_id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Evidence document</w:t>
            </w:r>
          </w:p>
        </w:tc>
      </w:tr>
      <w:tr>
        <w:tc>
          <w:tcPr>
            <w:tcW w:type="dxa" w:w="316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_conformance_store</w:t>
            </w:r>
          </w:p>
        </w:tc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evidence_id</w:t>
            </w:r>
          </w:p>
        </w:tc>
        <w:tc>
          <w:tcPr>
            <w:tcW w:type="dxa" w:w="432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Conformance result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_conformance_latest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graph_id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Latest evidence_id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24F4F"/>
          <w:sz w:val="20"/>
        </w:rPr>
        <w:t>10.2  Node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Colour</w:t>
            </w:r>
          </w:p>
        </w:tc>
        <w:tc>
          <w:tcPr>
            <w:tcW w:type="dxa" w:w="576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Represents</w:t>
            </w:r>
          </w:p>
        </w:tc>
      </w:tr>
      <w:tr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Process</w:t>
            </w:r>
          </w:p>
        </w:tc>
        <w:tc>
          <w:tcPr>
            <w:tcW w:type="dxa" w:w="172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Teal</w:t>
            </w:r>
          </w:p>
        </w:tc>
        <w:tc>
          <w:tcPr>
            <w:tcW w:type="dxa" w:w="57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Business processes and activities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Role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Orange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People, teams, job functions</w:t>
            </w:r>
          </w:p>
        </w:tc>
      </w:tr>
      <w:tr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System</w:t>
            </w:r>
          </w:p>
        </w:tc>
        <w:tc>
          <w:tcPr>
            <w:tcW w:type="dxa" w:w="172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Blue</w:t>
            </w:r>
          </w:p>
        </w:tc>
        <w:tc>
          <w:tcPr>
            <w:tcW w:type="dxa" w:w="57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Applications, platforms, databases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Policy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Red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Rules, regulations, compliance requirements</w:t>
            </w:r>
          </w:p>
        </w:tc>
      </w:tr>
      <w:tr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DataEntity</w:t>
            </w:r>
          </w:p>
        </w:tc>
        <w:tc>
          <w:tcPr>
            <w:tcW w:type="dxa" w:w="172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Purple</w:t>
            </w:r>
          </w:p>
        </w:tc>
        <w:tc>
          <w:tcPr>
            <w:tcW w:type="dxa" w:w="57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Data objects, records, documents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Event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Yellow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Triggers, milestones, notifications</w:t>
            </w:r>
          </w:p>
        </w:tc>
      </w:tr>
    </w:tbl>
    <w:p/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11  </w:t>
      </w:r>
      <w:r>
        <w:rPr>
          <w:b/>
          <w:i w:val="0"/>
          <w:color w:val="024F4F"/>
          <w:sz w:val="22"/>
        </w:rPr>
        <w:t>USER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00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35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UI-01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Navigation via a 200px labeled sidebar with five items: Graph, Workflows, Gap Analysis, Conformance, Object Model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UI-02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Left panel width varies per view: Graph 35%, Workflows 60%, Gap 50%, Conformance 50%, Object Model 55%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UI-03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Right graph canvas shall always be visible regardless of the active left panel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UI-04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Sidebar top shows Metafore Works logo and text; header shows DISCOVERY ENGINE only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UI-05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Colour palette follows the Metafore Works design system (primary #036868)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UI-06</w:t>
            </w:r>
          </w:p>
        </w:tc>
        <w:tc>
          <w:tcPr>
            <w:tcW w:type="dxa" w:w="83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All node types in the graph shall use circle shapes only — no mixed shapes</w:t>
            </w:r>
          </w:p>
        </w:tc>
      </w:tr>
      <w:tr>
        <w:tc>
          <w:tcPr>
            <w:tcW w:type="dxa" w:w="100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UI-07</w:t>
            </w:r>
          </w:p>
        </w:tc>
        <w:tc>
          <w:tcPr>
            <w:tcW w:type="dxa" w:w="835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Object model panel shall show a loading spinner during API calls and empty-state when no graph is loaded</w:t>
            </w:r>
          </w:p>
        </w:tc>
      </w:tr>
    </w:tbl>
    <w:p/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12  </w:t>
      </w:r>
      <w:r>
        <w:rPr>
          <w:b/>
          <w:i w:val="0"/>
          <w:color w:val="024F4F"/>
          <w:sz w:val="22"/>
        </w:rPr>
        <w:t>SAMPLE DEMO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259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60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Expected Output</w:t>
            </w:r>
          </w:p>
        </w:tc>
      </w:tr>
      <w:tr>
        <w:tc>
          <w:tcPr>
            <w:tcW w:type="dxa" w:w="316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commercial_banking_loan_sop.docx</w:t>
            </w:r>
          </w:p>
        </w:tc>
        <w:tc>
          <w:tcPr>
            <w:tcW w:type="dxa" w:w="259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Source SOP for extraction</w:t>
            </w:r>
          </w:p>
        </w:tc>
        <w:tc>
          <w:tcPr>
            <w:tcW w:type="dxa" w:w="36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~25 nodes: 8 processes, 6 roles, 4 systems, 3+ policies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loan_audit_report.docx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Evidence for conformance check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~47% conformance: 9 confirmed, 10 deviated, 2 not found</w:t>
            </w:r>
          </w:p>
        </w:tc>
      </w:tr>
    </w:tbl>
    <w:p/>
    <w:p>
      <w:pPr>
        <w:spacing w:after="80"/>
      </w:pPr>
      <w:r>
        <w:rPr>
          <w:color w:val="1F2D2D"/>
          <w:sz w:val="19"/>
        </w:rPr>
        <w:t>Key conformance deviations surfaced by the audit report: AML check sequencing (Critical), property appraisal before completeness check, sanctioning timeline breach, DTI calculation assigned to incorrect role.</w:t>
      </w:r>
    </w:p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13  </w:t>
      </w:r>
      <w:r>
        <w:rPr>
          <w:b/>
          <w:i w:val="0"/>
          <w:color w:val="024F4F"/>
          <w:sz w:val="22"/>
        </w:rPr>
        <w:t>CONSTRAINTS AND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2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7488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Constraint</w:t>
            </w:r>
          </w:p>
        </w:tc>
        <w:tc>
          <w:tcPr>
            <w:tcW w:type="dxa" w:w="748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Requires a valid Anthropic API key with sufficient credits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Constraint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Windows only — batch scripts use .bat syntax</w:t>
            </w:r>
          </w:p>
        </w:tc>
      </w:tr>
      <w:tr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Constraint</w:t>
            </w:r>
          </w:p>
        </w:tc>
        <w:tc>
          <w:tcPr>
            <w:tcW w:type="dxa" w:w="748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Python 3.11+ must be installed with PATH configured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Constraint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All data is session-scoped; no persistence between server restarts</w:t>
            </w:r>
          </w:p>
        </w:tc>
      </w:tr>
      <w:tr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Assumption</w:t>
            </w:r>
          </w:p>
        </w:tc>
        <w:tc>
          <w:tcPr>
            <w:tcW w:type="dxa" w:w="748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Single user at a time — no concurrent session isolation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Assumption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Documents are in English</w:t>
            </w:r>
          </w:p>
        </w:tc>
      </w:tr>
      <w:tr>
        <w:tc>
          <w:tcPr>
            <w:tcW w:type="dxa" w:w="1872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Assumption</w:t>
            </w:r>
          </w:p>
        </w:tc>
        <w:tc>
          <w:tcPr>
            <w:tcW w:type="dxa" w:w="7488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Network access is available for initial pip install</w:t>
            </w:r>
          </w:p>
        </w:tc>
      </w:tr>
    </w:tbl>
    <w:p/>
    <w:p>
      <w:pPr>
        <w:spacing w:before="360" w:after="80"/>
        <w:pBdr>
          <w:top w:val="single" w:sz="6" w:space="4" w:color="036868"/>
        </w:pBdr>
      </w:pPr>
      <w:r>
        <w:rPr>
          <w:b/>
          <w:i w:val="0"/>
          <w:color w:val="036868"/>
          <w:sz w:val="26"/>
        </w:rPr>
        <w:t xml:space="preserve">14  </w:t>
      </w:r>
      <w:r>
        <w:rPr>
          <w:b/>
          <w:i w:val="0"/>
          <w:color w:val="024F4F"/>
          <w:sz w:val="22"/>
        </w:rP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200"/>
            <w:shd w:val="clear" w:color="auto" w:fill="036868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BRD</w:t>
            </w:r>
          </w:p>
        </w:tc>
        <w:tc>
          <w:tcPr>
            <w:tcW w:type="dxa" w:w="72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Business Requirements Document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ERD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Entity Relationship Diagram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SOP</w:t>
            </w:r>
          </w:p>
        </w:tc>
        <w:tc>
          <w:tcPr>
            <w:tcW w:type="dxa" w:w="72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Standard Operating Procedure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NLQ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Natural Language Query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graph_id</w:t>
            </w:r>
          </w:p>
        </w:tc>
        <w:tc>
          <w:tcPr>
            <w:tcW w:type="dxa" w:w="72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UUID assigned to each extracted knowledge graph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evidence_id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UUID assigned to each uploaded conformance evidence document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Pulse</w:t>
            </w:r>
          </w:p>
        </w:tc>
        <w:tc>
          <w:tcPr>
            <w:tcW w:type="dxa" w:w="72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Health score and recommendations derived from the knowledge graph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Blueprint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AI-generated remediation plan for identified gaps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Conformance</w:t>
            </w:r>
          </w:p>
        </w:tc>
        <w:tc>
          <w:tcPr>
            <w:tcW w:type="dxa" w:w="72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Assessment of how closely an evidence document matches the source process graph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AS-IS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Current state of a business process as documented</w:t>
            </w:r>
          </w:p>
        </w:tc>
      </w:tr>
      <w:tr>
        <w:tc>
          <w:tcPr>
            <w:tcW w:type="dxa" w:w="216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TO-BE</w:t>
            </w:r>
          </w:p>
        </w:tc>
        <w:tc>
          <w:tcPr>
            <w:tcW w:type="dxa" w:w="7200"/>
            <w:shd w:val="clear" w:color="auto" w:fill="E6F4F4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Target future state of a process with recommended improvements</w:t>
            </w:r>
          </w:p>
        </w:tc>
      </w:tr>
    </w:tbl>
    <w:p/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