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024F4F"/>
          </w:tcPr>
          <w:p>
            <w:pPr>
              <w:jc w:val="center"/>
            </w:pPr>
            <w:r>
              <w:rPr>
                <w:b/>
                <w:color w:val="A7D4D4"/>
                <w:sz w:val="18"/>
              </w:rPr>
              <w:t>METAFORE</w:t>
            </w:r>
          </w:p>
          <w:p>
            <w:pPr>
              <w:jc w:val="center"/>
            </w:pPr>
            <w:r>
              <w:rPr>
                <w:b/>
                <w:color w:val="FFFFFF"/>
                <w:sz w:val="44"/>
              </w:rPr>
              <w:t>Discovery Engine</w:t>
            </w:r>
          </w:p>
          <w:p>
            <w:pPr>
              <w:jc w:val="center"/>
            </w:pPr>
            <w:r>
              <w:rPr>
                <w:b w:val="0"/>
                <w:color w:val="A7D4D4"/>
                <w:sz w:val="26"/>
              </w:rPr>
              <w:t>Demo Script</w:t>
            </w:r>
          </w:p>
          <w:p>
            <w:pPr>
              <w:jc w:val="center"/>
            </w:pPr>
            <w:r>
              <w:rPr>
                <w:color w:val="A7D4D4"/>
                <w:sz w:val="17"/>
              </w:rPr>
              <w:t>Approx. 12 – 15 minutes   |   http://localhost:8083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6F4F4"/>
          </w:tcPr>
          <w:p>
            <w:pPr>
              <w:jc w:val="left"/>
            </w:pPr>
            <w:r>
              <w:rPr>
                <w:b/>
                <w:i w:val="0"/>
                <w:color w:val="024F4F"/>
                <w:sz w:val="18"/>
              </w:rPr>
              <w:t>URL</w:t>
            </w:r>
          </w:p>
        </w:tc>
        <w:tc>
          <w:tcPr>
            <w:tcW w:type="dxa" w:w="4873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http://localhost:8083</w:t>
            </w:r>
          </w:p>
        </w:tc>
      </w:tr>
      <w:tr>
        <w:tc>
          <w:tcPr>
            <w:tcW w:type="dxa" w:w="4873"/>
            <w:shd w:val="clear" w:color="auto" w:fill="E6F4F4"/>
          </w:tcPr>
          <w:p>
            <w:pPr>
              <w:jc w:val="left"/>
            </w:pPr>
            <w:r>
              <w:rPr>
                <w:b/>
                <w:i w:val="0"/>
                <w:color w:val="024F4F"/>
                <w:sz w:val="18"/>
              </w:rPr>
              <w:t>SOP Document</w:t>
            </w:r>
          </w:p>
        </w:tc>
        <w:tc>
          <w:tcPr>
            <w:tcW w:type="dxa" w:w="4873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sample_docs/commercial_banking_loan_sop.docx</w:t>
            </w:r>
          </w:p>
        </w:tc>
      </w:tr>
      <w:tr>
        <w:tc>
          <w:tcPr>
            <w:tcW w:type="dxa" w:w="4873"/>
            <w:shd w:val="clear" w:color="auto" w:fill="E6F4F4"/>
          </w:tcPr>
          <w:p>
            <w:pPr>
              <w:jc w:val="left"/>
            </w:pPr>
            <w:r>
              <w:rPr>
                <w:b/>
                <w:i w:val="0"/>
                <w:color w:val="024F4F"/>
                <w:sz w:val="18"/>
              </w:rPr>
              <w:t>Audit Document</w:t>
            </w:r>
          </w:p>
        </w:tc>
        <w:tc>
          <w:tcPr>
            <w:tcW w:type="dxa" w:w="4873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sample_docs/loan_audit_report.docx</w:t>
            </w:r>
          </w:p>
        </w:tc>
      </w:tr>
    </w:tbl>
    <w:p/>
    <w:p>
      <w:pPr>
        <w:spacing w:before="320" w:after="40"/>
        <w:pBdr>
          <w:top w:val="single" w:sz="4" w:space="4" w:color="036868"/>
        </w:pBdr>
      </w:pPr>
      <w:r>
        <w:rPr>
          <w:b/>
          <w:color w:val="036868"/>
          <w:sz w:val="16"/>
        </w:rPr>
        <w:t>OPENING LINE  (30 SECONDS)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AFA"/>
            <w:tcBorders>
              <w:left w:val="single" w:sz="12" w:space="0" w:color="036868"/>
            </w:tcBorders>
          </w:tcPr>
          <w:p>
            <w:r>
              <w:rPr>
                <w:i/>
                <w:color w:val="024F4F"/>
                <w:sz w:val="20"/>
              </w:rPr>
              <w:t>"Before you can build or evolve an enterprise application, you need to understand the organisation. The Discovery Engine is how Metafore does that — it reads your existing documents and turns them into a living knowledge graph. Let me show you."</w:t>
            </w:r>
          </w:p>
        </w:tc>
      </w:tr>
    </w:tbl>
    <w:p/>
    <w:p>
      <w:pPr>
        <w:spacing w:before="320" w:after="40"/>
        <w:pBdr>
          <w:top w:val="single" w:sz="4" w:space="4" w:color="036868"/>
        </w:pBdr>
      </w:pPr>
      <w:r>
        <w:rPr>
          <w:b/>
          <w:color w:val="036868"/>
          <w:sz w:val="16"/>
        </w:rPr>
        <w:t>DEMO STEPS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480"/>
            <w:shd w:val="clear" w:color="auto" w:fill="036868"/>
          </w:tcPr>
          <w:p>
            <w:r>
              <w:rPr>
                <w:b/>
                <w:i w:val="0"/>
                <w:color w:val="FFFFFF"/>
                <w:sz w:val="20"/>
              </w:rPr>
              <w:t xml:space="preserve">Step 1  </w:t>
            </w:r>
            <w:r>
              <w:rPr>
                <w:b w:val="0"/>
                <w:i w:val="0"/>
                <w:color w:val="A7D4D4"/>
                <w:sz w:val="20"/>
              </w:rPr>
              <w:t>Upload the Banking SOP</w:t>
            </w:r>
          </w:p>
        </w:tc>
        <w:tc>
          <w:tcPr>
            <w:tcW w:type="dxa" w:w="2880"/>
            <w:shd w:val="clear" w:color="auto" w:fill="036868"/>
          </w:tcPr>
          <w:p>
            <w:pPr>
              <w:jc w:val="right"/>
            </w:pPr>
            <w:r>
              <w:rPr>
                <w:b w:val="0"/>
                <w:i w:val="0"/>
                <w:color w:val="A7D4D4"/>
                <w:sz w:val="18"/>
              </w:rPr>
              <w:t>≈ 2 min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1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Open http://localhost:8083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2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Click Choose Files → select commercial_banking_loan_sop.docx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3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Click Extract Graph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4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While loading (~40s) — narrate (see right →)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AFA"/>
            <w:tcBorders>
              <w:left w:val="single" w:sz="12" w:space="0" w:color="036868"/>
            </w:tcBorders>
          </w:tcPr>
          <w:p>
            <w:r>
              <w:rPr>
                <w:b w:val="0"/>
                <w:i/>
                <w:color w:val="024F4F"/>
                <w:sz w:val="18"/>
              </w:rPr>
              <w:t>Say:  "We're uploading a Loan Origination SOP — the kind of document that sits in a SharePoint and never gets read. The Discovery Engine is extracting every process, role, system, and policy from it automatically."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5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When graph renders — narrate (see right →)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AFA"/>
            <w:tcBorders>
              <w:left w:val="single" w:sz="12" w:space="0" w:color="036868"/>
            </w:tcBorders>
          </w:tcPr>
          <w:p>
            <w:r>
              <w:rPr>
                <w:b w:val="0"/>
                <w:i/>
                <w:color w:val="024F4F"/>
                <w:sz w:val="18"/>
              </w:rPr>
              <w:t>Say:  "What you're seeing is the institutional knowledge of this bank's lending process — extracted in under a minute. Every circle is an entity. Every line is a relationship."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6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Click any node → show source text quote in detail panel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AFA"/>
            <w:tcBorders>
              <w:left w:val="single" w:sz="12" w:space="0" w:color="036868"/>
            </w:tcBorders>
          </w:tcPr>
          <w:p>
            <w:r>
              <w:rPr>
                <w:b w:val="0"/>
                <w:i/>
                <w:color w:val="024F4F"/>
                <w:sz w:val="18"/>
              </w:rPr>
              <w:t>Say:  "Click any node to see where it came from in the original document."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6F4F4"/>
          </w:tcPr>
          <w:p>
            <w:pPr>
              <w:jc w:val="left"/>
            </w:pPr>
            <w:r>
              <w:rPr>
                <w:b/>
                <w:i w:val="0"/>
                <w:color w:val="024F4F"/>
                <w:sz w:val="17"/>
              </w:rPr>
              <w:t>Teal circles</w:t>
            </w:r>
          </w:p>
        </w:tc>
        <w:tc>
          <w:tcPr>
            <w:tcW w:type="dxa" w:w="4873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7"/>
              </w:rPr>
              <w:t>Processes — AML screening, credit bureau pull, sanctioning</w:t>
            </w:r>
          </w:p>
        </w:tc>
      </w:tr>
      <w:tr>
        <w:tc>
          <w:tcPr>
            <w:tcW w:type="dxa" w:w="4873"/>
            <w:shd w:val="clear" w:color="auto" w:fill="E6F4F4"/>
          </w:tcPr>
          <w:p>
            <w:pPr>
              <w:jc w:val="left"/>
            </w:pPr>
            <w:r>
              <w:rPr>
                <w:b/>
                <w:i w:val="0"/>
                <w:color w:val="024F4F"/>
                <w:sz w:val="17"/>
              </w:rPr>
              <w:t>Orange circles</w:t>
            </w:r>
          </w:p>
        </w:tc>
        <w:tc>
          <w:tcPr>
            <w:tcW w:type="dxa" w:w="4873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7"/>
              </w:rPr>
              <w:t>Roles — Loan Processing Officer, Credit Analyst, Credit Committee</w:t>
            </w:r>
          </w:p>
        </w:tc>
      </w:tr>
      <w:tr>
        <w:tc>
          <w:tcPr>
            <w:tcW w:type="dxa" w:w="4873"/>
            <w:shd w:val="clear" w:color="auto" w:fill="E6F4F4"/>
          </w:tcPr>
          <w:p>
            <w:pPr>
              <w:jc w:val="left"/>
            </w:pPr>
            <w:r>
              <w:rPr>
                <w:b/>
                <w:i w:val="0"/>
                <w:color w:val="024F4F"/>
                <w:sz w:val="17"/>
              </w:rPr>
              <w:t>Blue circles</w:t>
            </w:r>
          </w:p>
        </w:tc>
        <w:tc>
          <w:tcPr>
            <w:tcW w:type="dxa" w:w="4873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7"/>
              </w:rPr>
              <w:t>Systems — LoanIQ, Compliance Tracker, Document Management System</w:t>
            </w:r>
          </w:p>
        </w:tc>
      </w:tr>
      <w:tr>
        <w:tc>
          <w:tcPr>
            <w:tcW w:type="dxa" w:w="4873"/>
            <w:shd w:val="clear" w:color="auto" w:fill="E6F4F4"/>
          </w:tcPr>
          <w:p>
            <w:pPr>
              <w:jc w:val="left"/>
            </w:pPr>
            <w:r>
              <w:rPr>
                <w:b/>
                <w:i w:val="0"/>
                <w:color w:val="024F4F"/>
                <w:sz w:val="17"/>
              </w:rPr>
              <w:t>Red circles</w:t>
            </w:r>
          </w:p>
        </w:tc>
        <w:tc>
          <w:tcPr>
            <w:tcW w:type="dxa" w:w="4873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7"/>
              </w:rPr>
              <w:t>Policies — AML Policy, Sanctioning Timeline Policy, DTI Certification Policy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480"/>
            <w:shd w:val="clear" w:color="auto" w:fill="036868"/>
          </w:tcPr>
          <w:p>
            <w:r>
              <w:rPr>
                <w:b/>
                <w:i w:val="0"/>
                <w:color w:val="FFFFFF"/>
                <w:sz w:val="20"/>
              </w:rPr>
              <w:t xml:space="preserve">Step 2  </w:t>
            </w:r>
            <w:r>
              <w:rPr>
                <w:b w:val="0"/>
                <w:i w:val="0"/>
                <w:color w:val="A7D4D4"/>
                <w:sz w:val="20"/>
              </w:rPr>
              <w:t>Gap Analysis</w:t>
            </w:r>
          </w:p>
        </w:tc>
        <w:tc>
          <w:tcPr>
            <w:tcW w:type="dxa" w:w="2880"/>
            <w:shd w:val="clear" w:color="auto" w:fill="036868"/>
          </w:tcPr>
          <w:p>
            <w:pPr>
              <w:jc w:val="right"/>
            </w:pPr>
            <w:r>
              <w:rPr>
                <w:b w:val="0"/>
                <w:i w:val="0"/>
                <w:color w:val="A7D4D4"/>
                <w:sz w:val="18"/>
              </w:rPr>
              <w:t>≈ 1 min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1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Click the Gap Analysis tab (bar chart icon in sidebar)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2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Results appear instantly — no AI call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AFA"/>
            <w:tcBorders>
              <w:left w:val="single" w:sz="12" w:space="0" w:color="036868"/>
            </w:tcBorders>
          </w:tcPr>
          <w:p>
            <w:r>
              <w:rPr>
                <w:b w:val="0"/>
                <w:i/>
                <w:color w:val="024F4F"/>
                <w:sz w:val="18"/>
              </w:rPr>
              <w:t>Say:  "This is a structural audit of the knowledge graph. It checks: does every process have an owner? Is every policy enforced? Are there orphaned nodes? This runs in milliseconds — no Claude call."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3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Point to coverage score — narrate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AFA"/>
            <w:tcBorders>
              <w:left w:val="single" w:sz="12" w:space="0" w:color="036868"/>
            </w:tcBorders>
          </w:tcPr>
          <w:p>
            <w:r>
              <w:rPr>
                <w:b w:val="0"/>
                <w:i/>
                <w:color w:val="024F4F"/>
                <w:sz w:val="18"/>
              </w:rPr>
              <w:t>Say:  "The score tells us how complete this process model is. A low score means real gaps — processes without assigned roles, policies not linked to any process."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4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Click a failing check → click View in Graph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AFA"/>
            <w:tcBorders>
              <w:left w:val="single" w:sz="12" w:space="0" w:color="036868"/>
            </w:tcBorders>
          </w:tcPr>
          <w:p>
            <w:r>
              <w:rPr>
                <w:b w:val="0"/>
                <w:i/>
                <w:color w:val="024F4F"/>
                <w:sz w:val="18"/>
              </w:rPr>
              <w:t>Say:  "The graph highlights exactly which nodes are the problem. No hunting through the document."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480"/>
            <w:shd w:val="clear" w:color="auto" w:fill="036868"/>
          </w:tcPr>
          <w:p>
            <w:r>
              <w:rPr>
                <w:b/>
                <w:i w:val="0"/>
                <w:color w:val="FFFFFF"/>
                <w:sz w:val="20"/>
              </w:rPr>
              <w:t xml:space="preserve">Step 3  </w:t>
            </w:r>
            <w:r>
              <w:rPr>
                <w:b w:val="0"/>
                <w:i w:val="0"/>
                <w:color w:val="A7D4D4"/>
                <w:sz w:val="20"/>
              </w:rPr>
              <w:t>Blueprint</w:t>
            </w:r>
          </w:p>
        </w:tc>
        <w:tc>
          <w:tcPr>
            <w:tcW w:type="dxa" w:w="2880"/>
            <w:shd w:val="clear" w:color="auto" w:fill="036868"/>
          </w:tcPr>
          <w:p>
            <w:pPr>
              <w:jc w:val="right"/>
            </w:pPr>
            <w:r>
              <w:rPr>
                <w:b w:val="0"/>
                <w:i w:val="0"/>
                <w:color w:val="A7D4D4"/>
                <w:sz w:val="18"/>
              </w:rPr>
              <w:t>≈ 1 min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1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Still in Gap Analysis — click Generate Blueprint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2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Wait ~7 seconds (Haiku model)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AFA"/>
            <w:tcBorders>
              <w:left w:val="single" w:sz="12" w:space="0" w:color="036868"/>
            </w:tcBorders>
          </w:tcPr>
          <w:p>
            <w:r>
              <w:rPr>
                <w:b w:val="0"/>
                <w:i/>
                <w:color w:val="024F4F"/>
                <w:sz w:val="18"/>
              </w:rPr>
              <w:t>Say:  "The Blueprint turns the gap analysis into an actionable improvement plan. This is the output you'd hand to a process owner or a consulting team."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3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Read out one of the next steps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AFA"/>
            <w:tcBorders>
              <w:left w:val="single" w:sz="12" w:space="0" w:color="036868"/>
            </w:tcBorders>
          </w:tcPr>
          <w:p>
            <w:r>
              <w:rPr>
                <w:b w:val="0"/>
                <w:i/>
                <w:color w:val="024F4F"/>
                <w:sz w:val="18"/>
              </w:rPr>
              <w:t>Say:  "It even recommends which documents to upload next to fill the gaps — feeding the Knowledge Fabric."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480"/>
            <w:shd w:val="clear" w:color="auto" w:fill="036868"/>
          </w:tcPr>
          <w:p>
            <w:r>
              <w:rPr>
                <w:b/>
                <w:i w:val="0"/>
                <w:color w:val="FFFFFF"/>
                <w:sz w:val="20"/>
              </w:rPr>
              <w:t xml:space="preserve">Step 4  </w:t>
            </w:r>
            <w:r>
              <w:rPr>
                <w:b w:val="0"/>
                <w:i w:val="0"/>
                <w:color w:val="A7D4D4"/>
                <w:sz w:val="20"/>
              </w:rPr>
              <w:t>Pulse Recommendations</w:t>
            </w:r>
          </w:p>
        </w:tc>
        <w:tc>
          <w:tcPr>
            <w:tcW w:type="dxa" w:w="2880"/>
            <w:shd w:val="clear" w:color="auto" w:fill="036868"/>
          </w:tcPr>
          <w:p>
            <w:pPr>
              <w:jc w:val="right"/>
            </w:pPr>
            <w:r>
              <w:rPr>
                <w:b w:val="0"/>
                <w:i w:val="0"/>
                <w:color w:val="A7D4D4"/>
                <w:sz w:val="18"/>
              </w:rPr>
              <w:t>≈ 1 min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1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Click the bell icon in the top-right header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2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Drawer slides in — NOW / THIS_WEEK / BACKLOG items shown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AFA"/>
            <w:tcBorders>
              <w:left w:val="single" w:sz="12" w:space="0" w:color="036868"/>
            </w:tcBorders>
          </w:tcPr>
          <w:p>
            <w:r>
              <w:rPr>
                <w:b w:val="0"/>
                <w:i/>
                <w:color w:val="024F4F"/>
                <w:sz w:val="18"/>
              </w:rPr>
              <w:t>Say:  "Pulse is how the Discovery Engine surfaces what needs attention — prioritised by urgency. NOW means act today. It's not a report, it's a recommended action queue."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3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Click View in Graph on a critical item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AFA"/>
            <w:tcBorders>
              <w:left w:val="single" w:sz="12" w:space="0" w:color="036868"/>
            </w:tcBorders>
          </w:tcPr>
          <w:p>
            <w:r>
              <w:rPr>
                <w:b w:val="0"/>
                <w:i/>
                <w:color w:val="024F4F"/>
                <w:sz w:val="18"/>
              </w:rPr>
              <w:t>Say:  "Clicking View in Graph jumps you directly to the affected nodes — so whoever is responsible can see exactly what's missing."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480"/>
            <w:shd w:val="clear" w:color="auto" w:fill="036868"/>
          </w:tcPr>
          <w:p>
            <w:r>
              <w:rPr>
                <w:b/>
                <w:i w:val="0"/>
                <w:color w:val="FFFFFF"/>
                <w:sz w:val="20"/>
              </w:rPr>
              <w:t xml:space="preserve">Step 5  </w:t>
            </w:r>
            <w:r>
              <w:rPr>
                <w:b w:val="0"/>
                <w:i w:val="0"/>
                <w:color w:val="A7D4D4"/>
                <w:sz w:val="20"/>
              </w:rPr>
              <w:t>Natural Language Query</w:t>
            </w:r>
          </w:p>
        </w:tc>
        <w:tc>
          <w:tcPr>
            <w:tcW w:type="dxa" w:w="2880"/>
            <w:shd w:val="clear" w:color="auto" w:fill="036868"/>
          </w:tcPr>
          <w:p>
            <w:pPr>
              <w:jc w:val="right"/>
            </w:pPr>
            <w:r>
              <w:rPr>
                <w:b w:val="0"/>
                <w:i w:val="0"/>
                <w:color w:val="A7D4D4"/>
                <w:sz w:val="18"/>
              </w:rPr>
              <w:t>≈ 1 min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1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Click the search icon (NLQ tab) in sidebar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2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Type: Who is responsible for AML screening and what system do they use?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3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Wait ~5 seconds (Haiku model)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AFA"/>
            <w:tcBorders>
              <w:left w:val="single" w:sz="12" w:space="0" w:color="036868"/>
            </w:tcBorders>
          </w:tcPr>
          <w:p>
            <w:r>
              <w:rPr>
                <w:b w:val="0"/>
                <w:i/>
                <w:color w:val="024F4F"/>
                <w:sz w:val="18"/>
              </w:rPr>
              <w:t>Say:  "You can now interrogate this organisation's processes in plain English. No SQL, no dashboard config — just a question."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4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Point to highlighted nodes in the graph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AFA"/>
            <w:tcBorders>
              <w:left w:val="single" w:sz="12" w:space="0" w:color="036868"/>
            </w:tcBorders>
          </w:tcPr>
          <w:p>
            <w:r>
              <w:rPr>
                <w:b w:val="0"/>
                <w:i/>
                <w:color w:val="024F4F"/>
                <w:sz w:val="18"/>
              </w:rPr>
              <w:t>Say:  "The answer references specific nodes from the graph — it's grounded, not hallucinated."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5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Click one of the follow-up questions it suggests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480"/>
            <w:shd w:val="clear" w:color="auto" w:fill="036868"/>
          </w:tcPr>
          <w:p>
            <w:r>
              <w:rPr>
                <w:b/>
                <w:i w:val="0"/>
                <w:color w:val="FFFFFF"/>
                <w:sz w:val="20"/>
              </w:rPr>
              <w:t xml:space="preserve">Step 6  </w:t>
            </w:r>
            <w:r>
              <w:rPr>
                <w:b w:val="0"/>
                <w:i w:val="0"/>
                <w:color w:val="A7D4D4"/>
                <w:sz w:val="20"/>
              </w:rPr>
              <w:t>Workflow Generation</w:t>
            </w:r>
          </w:p>
        </w:tc>
        <w:tc>
          <w:tcPr>
            <w:tcW w:type="dxa" w:w="2880"/>
            <w:shd w:val="clear" w:color="auto" w:fill="036868"/>
          </w:tcPr>
          <w:p>
            <w:pPr>
              <w:jc w:val="right"/>
            </w:pPr>
            <w:r>
              <w:rPr>
                <w:b w:val="0"/>
                <w:i w:val="0"/>
                <w:color w:val="A7D4D4"/>
                <w:sz w:val="18"/>
              </w:rPr>
              <w:t>≈ 2 min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1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Click Generate Workflows button in the header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2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Wait ~2 minutes (Sonnet model) — narrate while loading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AFA"/>
            <w:tcBorders>
              <w:left w:val="single" w:sz="12" w:space="0" w:color="036868"/>
            </w:tcBorders>
          </w:tcPr>
          <w:p>
            <w:r>
              <w:rPr>
                <w:b w:val="0"/>
                <w:i/>
                <w:color w:val="024F4F"/>
                <w:sz w:val="18"/>
              </w:rPr>
              <w:t>Say:  "The workflow generator takes the knowledge graph and asks: where could automation add value? It produces AS-IS versus TO-BE comparisons — what the process looks like today versus what it could look like with automation."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3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When cards appear, expand one (e.g. AML &amp; Compliance Pre-Screening Automation)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AFA"/>
            <w:tcBorders>
              <w:left w:val="single" w:sz="12" w:space="0" w:color="036868"/>
            </w:tcBorders>
          </w:tcPr>
          <w:p>
            <w:r>
              <w:rPr>
                <w:b w:val="0"/>
                <w:i/>
                <w:color w:val="024F4F"/>
                <w:sz w:val="18"/>
              </w:rPr>
              <w:t>Say:  "Each workflow shows the current steps, who does them, what system they use, and the SLA status — breach, warning, or OK. The TO-BE view shows which steps get automated and the improvement."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4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Hover over a step with a role → watch node highlight in the graph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AFA"/>
            <w:tcBorders>
              <w:left w:val="single" w:sz="12" w:space="0" w:color="036868"/>
            </w:tcBorders>
          </w:tcPr>
          <w:p>
            <w:r>
              <w:rPr>
                <w:b w:val="0"/>
                <w:i/>
                <w:color w:val="024F4F"/>
                <w:sz w:val="18"/>
              </w:rPr>
              <w:t>Say:  "Hovering a step highlights the actual node in the knowledge graph. Everything stays connected to the source."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BEB"/>
            <w:tcBorders>
              <w:left w:val="single" w:sz="12" w:space="0" w:color="D97706"/>
            </w:tcBorders>
          </w:tcPr>
          <w:p>
            <w:r>
              <w:rPr>
                <w:b/>
                <w:i w:val="0"/>
                <w:color w:val="D97706"/>
                <w:sz w:val="17"/>
              </w:rPr>
              <w:t xml:space="preserve">Tips:  </w:t>
            </w:r>
            <w:r>
              <w:rPr>
                <w:b w:val="0"/>
                <w:i w:val="0"/>
                <w:color w:val="783500"/>
                <w:sz w:val="17"/>
              </w:rPr>
              <w:t>Second click on same file returns workflows instantly (cached)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480"/>
            <w:shd w:val="clear" w:color="auto" w:fill="036868"/>
          </w:tcPr>
          <w:p>
            <w:r>
              <w:rPr>
                <w:b/>
                <w:i w:val="0"/>
                <w:color w:val="FFFFFF"/>
                <w:sz w:val="20"/>
              </w:rPr>
              <w:t xml:space="preserve">Step 7  </w:t>
            </w:r>
            <w:r>
              <w:rPr>
                <w:b w:val="0"/>
                <w:i w:val="0"/>
                <w:color w:val="A7D4D4"/>
                <w:sz w:val="20"/>
              </w:rPr>
              <w:t>Conformance Checker</w:t>
            </w:r>
          </w:p>
        </w:tc>
        <w:tc>
          <w:tcPr>
            <w:tcW w:type="dxa" w:w="2880"/>
            <w:shd w:val="clear" w:color="auto" w:fill="036868"/>
          </w:tcPr>
          <w:p>
            <w:pPr>
              <w:jc w:val="right"/>
            </w:pPr>
            <w:r>
              <w:rPr>
                <w:b w:val="0"/>
                <w:i w:val="0"/>
                <w:color w:val="A7D4D4"/>
                <w:sz w:val="18"/>
              </w:rPr>
              <w:t>≈ 3 min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1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Click the shield icon in sidebar (Conformance tab)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AFA"/>
            <w:tcBorders>
              <w:left w:val="single" w:sz="12" w:space="0" w:color="036868"/>
            </w:tcBorders>
          </w:tcPr>
          <w:p>
            <w:r>
              <w:rPr>
                <w:b w:val="0"/>
                <w:i/>
                <w:color w:val="024F4F"/>
                <w:sz w:val="18"/>
              </w:rPr>
              <w:t>Say:  "This is where the Discovery Engine moves from understanding to auditing. We have the SOP as our source of truth — the knowledge graph. Now we upload an audit report and ask: did reality match the process?"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2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Main document (SOP) already shown at the top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3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Under Evidence Document — click Choose File → select loan_audit_report.docx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4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Click Analyse Conformance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5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Wait ~35 seconds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6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Point to conformance rate (~47%)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AFA"/>
            <w:tcBorders>
              <w:left w:val="single" w:sz="12" w:space="0" w:color="036868"/>
            </w:tcBorders>
          </w:tcPr>
          <w:p>
            <w:r>
              <w:rPr>
                <w:b w:val="0"/>
                <w:i/>
                <w:color w:val="024F4F"/>
                <w:sz w:val="18"/>
              </w:rPr>
              <w:t>Say:  "47% conformance. More than half the process wasn't followed correctly. The Discovery Engine found that automatically — it didn't need a human to read both documents and cross-reference them."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7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Click Show All Overlays → colour-coded graph visible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AFA"/>
            <w:tcBorders>
              <w:left w:val="single" w:sz="12" w:space="0" w:color="036868"/>
            </w:tcBorders>
          </w:tcPr>
          <w:p>
            <w:r>
              <w:rPr>
                <w:b w:val="0"/>
                <w:i/>
                <w:color w:val="024F4F"/>
                <w:sz w:val="18"/>
              </w:rPr>
              <w:t>Say:  "Now the knowledge graph becomes an audit dashboard. You can see at a glance where the organisation is compliant and where it isn't."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8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Click a red deviation card → click View in Graph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AFA"/>
            <w:tcBorders>
              <w:left w:val="single" w:sz="12" w:space="0" w:color="036868"/>
            </w:tcBorders>
          </w:tcPr>
          <w:p>
            <w:r>
              <w:rPr>
                <w:b w:val="0"/>
                <w:i/>
                <w:color w:val="024F4F"/>
                <w:sz w:val="18"/>
              </w:rPr>
              <w:t>Say:  "Every deviation links to a specific node and quotes the exact evidence from the audit report."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480"/>
            <w:shd w:val="clear" w:color="auto" w:fill="036868"/>
          </w:tcPr>
          <w:p>
            <w:r>
              <w:rPr>
                <w:b/>
                <w:i w:val="0"/>
                <w:color w:val="FFFFFF"/>
                <w:sz w:val="20"/>
              </w:rPr>
              <w:t xml:space="preserve">Step 8  </w:t>
            </w:r>
            <w:r>
              <w:rPr>
                <w:b w:val="0"/>
                <w:i w:val="0"/>
                <w:color w:val="A7D4D4"/>
                <w:sz w:val="20"/>
              </w:rPr>
              <w:t>Object Model  (optional)</w:t>
            </w:r>
          </w:p>
        </w:tc>
        <w:tc>
          <w:tcPr>
            <w:tcW w:type="dxa" w:w="2880"/>
            <w:shd w:val="clear" w:color="auto" w:fill="036868"/>
          </w:tcPr>
          <w:p>
            <w:pPr>
              <w:jc w:val="right"/>
            </w:pPr>
            <w:r>
              <w:rPr>
                <w:b w:val="0"/>
                <w:i w:val="0"/>
                <w:color w:val="A7D4D4"/>
                <w:sz w:val="18"/>
              </w:rPr>
              <w:t>≈ 1 min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1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Click Generate Object Model button (top of upload panel)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2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Wait ~40s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AFA"/>
            <w:tcBorders>
              <w:left w:val="single" w:sz="12" w:space="0" w:color="036868"/>
            </w:tcBorders>
          </w:tcPr>
          <w:p>
            <w:r>
              <w:rPr>
                <w:b w:val="0"/>
                <w:i/>
                <w:color w:val="024F4F"/>
                <w:sz w:val="18"/>
              </w:rPr>
              <w:t>Say:  "The object model is the bridge from understanding to building. The Discovery Engine generates the data schema — Pydantic models, JSON Schema, and a visual entity diagram — that an application built on this process would need. This is an early signal of what the ALM will produce."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"/>
            <w:shd w:val="clear" w:color="auto" w:fill="E6F4F4"/>
          </w:tcPr>
          <w:p>
            <w:pPr>
              <w:jc w:val="center"/>
            </w:pPr>
            <w:r>
              <w:rPr>
                <w:b/>
                <w:i w:val="0"/>
                <w:color w:val="036868"/>
                <w:sz w:val="18"/>
              </w:rPr>
              <w:t>3</w:t>
            </w:r>
          </w:p>
        </w:tc>
        <w:tc>
          <w:tcPr>
            <w:tcW w:type="dxa" w:w="8856"/>
            <w:shd w:val="clear" w:color="auto" w:fill="F7FCFC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Show Pydantic tab, JSON Schema tab, then Entity Diagram tab</w:t>
            </w:r>
          </w:p>
        </w:tc>
      </w:tr>
    </w:tbl>
    <w:p/>
    <w:p>
      <w:pPr>
        <w:spacing w:before="320" w:after="40"/>
        <w:pBdr>
          <w:top w:val="single" w:sz="4" w:space="4" w:color="036868"/>
        </w:pBdr>
      </w:pPr>
      <w:r>
        <w:rPr>
          <w:b/>
          <w:color w:val="036868"/>
          <w:sz w:val="16"/>
        </w:rPr>
        <w:t>CLOSING LINE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0FAFA"/>
            <w:tcBorders>
              <w:left w:val="single" w:sz="12" w:space="0" w:color="036868"/>
            </w:tcBorders>
          </w:tcPr>
          <w:p>
            <w:r>
              <w:rPr>
                <w:i/>
                <w:color w:val="024F4F"/>
                <w:sz w:val="20"/>
              </w:rPr>
              <w:t>"In 12 minutes we went from a Word document to a knowledge graph, a gap analysis, a conformance audit, automation workflows, and a data model. That's the Discovery Engine — understanding your organisation before building anything. It's the foundation everything else in Metafore sits on."</w:t>
            </w:r>
          </w:p>
        </w:tc>
      </w:tr>
    </w:tbl>
    <w:p/>
    <w:p>
      <w:pPr>
        <w:spacing w:before="320" w:after="40"/>
        <w:pBdr>
          <w:top w:val="single" w:sz="4" w:space="4" w:color="036868"/>
        </w:pBdr>
      </w:pPr>
      <w:r>
        <w:rPr>
          <w:b/>
          <w:color w:val="036868"/>
          <w:sz w:val="16"/>
        </w:rPr>
        <w:t>PRESENTER TIPS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6F4F4"/>
          </w:tcPr>
          <w:p>
            <w:pPr>
              <w:jc w:val="left"/>
            </w:pPr>
            <w:r>
              <w:rPr>
                <w:b/>
                <w:i w:val="0"/>
                <w:color w:val="024F4F"/>
                <w:sz w:val="18"/>
              </w:rPr>
              <w:t>If a Claude call fails</w:t>
            </w:r>
          </w:p>
        </w:tc>
        <w:tc>
          <w:tcPr>
            <w:tcW w:type="dxa" w:w="4873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Skip to the next feature — Gap Analysis and Pulse work instantly with no API calls.</w:t>
            </w:r>
          </w:p>
        </w:tc>
      </w:tr>
      <w:tr>
        <w:tc>
          <w:tcPr>
            <w:tcW w:type="dxa" w:w="4873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024F4F"/>
                <w:sz w:val="18"/>
              </w:rPr>
              <w:t>Graph zoom</w:t>
            </w:r>
          </w:p>
        </w:tc>
        <w:tc>
          <w:tcPr>
            <w:tcW w:type="dxa" w:w="4873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The graph looks more impressive zoomed into dense clusters — use the scroll wheel.</w:t>
            </w:r>
          </w:p>
        </w:tc>
      </w:tr>
      <w:tr>
        <w:tc>
          <w:tcPr>
            <w:tcW w:type="dxa" w:w="4873"/>
            <w:shd w:val="clear" w:color="auto" w:fill="E6F4F4"/>
          </w:tcPr>
          <w:p>
            <w:pPr>
              <w:jc w:val="left"/>
            </w:pPr>
            <w:r>
              <w:rPr>
                <w:b/>
                <w:i w:val="0"/>
                <w:color w:val="024F4F"/>
                <w:sz w:val="18"/>
              </w:rPr>
              <w:t>Conformance deviations</w:t>
            </w:r>
          </w:p>
        </w:tc>
        <w:tc>
          <w:tcPr>
            <w:tcW w:type="dxa" w:w="4873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The banking documents surface real named deviations — let the red cards do the talking.</w:t>
            </w:r>
          </w:p>
        </w:tc>
      </w:tr>
      <w:tr>
        <w:tc>
          <w:tcPr>
            <w:tcW w:type="dxa" w:w="4873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024F4F"/>
                <w:sz w:val="18"/>
              </w:rPr>
              <w:t>Reset between demos</w:t>
            </w:r>
          </w:p>
        </w:tc>
        <w:tc>
          <w:tcPr>
            <w:tcW w:type="dxa" w:w="4873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Click the Reset button — it clears all state cleanly in one click.</w:t>
            </w:r>
          </w:p>
        </w:tc>
      </w:tr>
      <w:tr>
        <w:tc>
          <w:tcPr>
            <w:tcW w:type="dxa" w:w="4873"/>
            <w:shd w:val="clear" w:color="auto" w:fill="E6F4F4"/>
          </w:tcPr>
          <w:p>
            <w:pPr>
              <w:jc w:val="left"/>
            </w:pPr>
            <w:r>
              <w:rPr>
                <w:b/>
                <w:i w:val="0"/>
                <w:color w:val="024F4F"/>
                <w:sz w:val="18"/>
              </w:rPr>
              <w:t>Workflow cache</w:t>
            </w:r>
          </w:p>
        </w:tc>
        <w:tc>
          <w:tcPr>
            <w:tcW w:type="dxa" w:w="4873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Second upload of the same file returns workflows instantly — no wait time.</w:t>
            </w:r>
          </w:p>
        </w:tc>
      </w:tr>
    </w:tbl>
    <w:p/>
    <w:p>
      <w:pPr>
        <w:spacing w:before="320" w:after="40"/>
        <w:pBdr>
          <w:top w:val="single" w:sz="4" w:space="4" w:color="036868"/>
        </w:pBdr>
      </w:pPr>
      <w:r>
        <w:rPr>
          <w:b/>
          <w:color w:val="036868"/>
          <w:sz w:val="16"/>
        </w:rPr>
        <w:t>QUICK REFERENCE — WHAT EACH FEATURE SHOWS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Feature</w:t>
            </w:r>
          </w:p>
        </w:tc>
        <w:tc>
          <w:tcPr>
            <w:tcW w:type="dxa" w:w="2436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Key Message</w:t>
            </w:r>
          </w:p>
        </w:tc>
        <w:tc>
          <w:tcPr>
            <w:tcW w:type="dxa" w:w="2436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AI Call?</w:t>
            </w:r>
          </w:p>
        </w:tc>
        <w:tc>
          <w:tcPr>
            <w:tcW w:type="dxa" w:w="2436"/>
            <w:shd w:val="clear" w:color="auto" w:fill="036868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Wait Time</w:t>
            </w:r>
          </w:p>
        </w:tc>
      </w:tr>
      <w:tr>
        <w:tc>
          <w:tcPr>
            <w:tcW w:type="dxa" w:w="2436"/>
            <w:shd w:val="clear" w:color="auto" w:fill="E6F4F4"/>
          </w:tcPr>
          <w:p>
            <w:pPr>
              <w:jc w:val="left"/>
            </w:pPr>
            <w:r>
              <w:rPr>
                <w:b/>
                <w:i w:val="0"/>
                <w:color w:val="024F4F"/>
                <w:sz w:val="18"/>
              </w:rPr>
              <w:t>Graph Extraction</w:t>
            </w:r>
          </w:p>
        </w:tc>
        <w:tc>
          <w:tcPr>
            <w:tcW w:type="dxa" w:w="243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Turns documents into structured knowledge</w:t>
            </w:r>
          </w:p>
        </w:tc>
        <w:tc>
          <w:tcPr>
            <w:tcW w:type="dxa" w:w="243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color w:val="16A34A"/>
                <w:sz w:val="18"/>
              </w:rPr>
              <w:t>Yes — Sonnet</w:t>
            </w:r>
          </w:p>
        </w:tc>
        <w:tc>
          <w:tcPr>
            <w:tcW w:type="dxa" w:w="243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~40s</w:t>
            </w:r>
          </w:p>
        </w:tc>
      </w:tr>
      <w:tr>
        <w:tc>
          <w:tcPr>
            <w:tcW w:type="dxa" w:w="2436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024F4F"/>
                <w:sz w:val="18"/>
              </w:rPr>
              <w:t>Gap Analysis</w:t>
            </w:r>
          </w:p>
        </w:tc>
        <w:tc>
          <w:tcPr>
            <w:tcW w:type="dxa" w:w="243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Structural audit — no AI needed</w:t>
            </w:r>
          </w:p>
        </w:tc>
        <w:tc>
          <w:tcPr>
            <w:tcW w:type="dxa" w:w="243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6B7280"/>
                <w:sz w:val="18"/>
              </w:rPr>
              <w:t>No</w:t>
            </w:r>
          </w:p>
        </w:tc>
        <w:tc>
          <w:tcPr>
            <w:tcW w:type="dxa" w:w="243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Instant</w:t>
            </w:r>
          </w:p>
        </w:tc>
      </w:tr>
      <w:tr>
        <w:tc>
          <w:tcPr>
            <w:tcW w:type="dxa" w:w="2436"/>
            <w:shd w:val="clear" w:color="auto" w:fill="E6F4F4"/>
          </w:tcPr>
          <w:p>
            <w:pPr>
              <w:jc w:val="left"/>
            </w:pPr>
            <w:r>
              <w:rPr>
                <w:b/>
                <w:i w:val="0"/>
                <w:color w:val="024F4F"/>
                <w:sz w:val="18"/>
              </w:rPr>
              <w:t>Blueprint</w:t>
            </w:r>
          </w:p>
        </w:tc>
        <w:tc>
          <w:tcPr>
            <w:tcW w:type="dxa" w:w="243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Actionable improvement plan</w:t>
            </w:r>
          </w:p>
        </w:tc>
        <w:tc>
          <w:tcPr>
            <w:tcW w:type="dxa" w:w="243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color w:val="16A34A"/>
                <w:sz w:val="18"/>
              </w:rPr>
              <w:t>Yes — Haiku</w:t>
            </w:r>
          </w:p>
        </w:tc>
        <w:tc>
          <w:tcPr>
            <w:tcW w:type="dxa" w:w="243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~7s</w:t>
            </w:r>
          </w:p>
        </w:tc>
      </w:tr>
      <w:tr>
        <w:tc>
          <w:tcPr>
            <w:tcW w:type="dxa" w:w="2436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024F4F"/>
                <w:sz w:val="18"/>
              </w:rPr>
              <w:t>Pulse</w:t>
            </w:r>
          </w:p>
        </w:tc>
        <w:tc>
          <w:tcPr>
            <w:tcW w:type="dxa" w:w="243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Prioritised action queue</w:t>
            </w:r>
          </w:p>
        </w:tc>
        <w:tc>
          <w:tcPr>
            <w:tcW w:type="dxa" w:w="243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6B7280"/>
                <w:sz w:val="18"/>
              </w:rPr>
              <w:t>No (rule-based)</w:t>
            </w:r>
          </w:p>
        </w:tc>
        <w:tc>
          <w:tcPr>
            <w:tcW w:type="dxa" w:w="243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Instant</w:t>
            </w:r>
          </w:p>
        </w:tc>
      </w:tr>
      <w:tr>
        <w:tc>
          <w:tcPr>
            <w:tcW w:type="dxa" w:w="2436"/>
            <w:shd w:val="clear" w:color="auto" w:fill="E6F4F4"/>
          </w:tcPr>
          <w:p>
            <w:pPr>
              <w:jc w:val="left"/>
            </w:pPr>
            <w:r>
              <w:rPr>
                <w:b/>
                <w:i w:val="0"/>
                <w:color w:val="024F4F"/>
                <w:sz w:val="18"/>
              </w:rPr>
              <w:t>NLQ</w:t>
            </w:r>
          </w:p>
        </w:tc>
        <w:tc>
          <w:tcPr>
            <w:tcW w:type="dxa" w:w="243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Plain English queries, grounded answers</w:t>
            </w:r>
          </w:p>
        </w:tc>
        <w:tc>
          <w:tcPr>
            <w:tcW w:type="dxa" w:w="243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color w:val="16A34A"/>
                <w:sz w:val="18"/>
              </w:rPr>
              <w:t>Yes — Haiku</w:t>
            </w:r>
          </w:p>
        </w:tc>
        <w:tc>
          <w:tcPr>
            <w:tcW w:type="dxa" w:w="243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~5s</w:t>
            </w:r>
          </w:p>
        </w:tc>
      </w:tr>
      <w:tr>
        <w:tc>
          <w:tcPr>
            <w:tcW w:type="dxa" w:w="2436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024F4F"/>
                <w:sz w:val="18"/>
              </w:rPr>
              <w:t>Workflow Generation</w:t>
            </w:r>
          </w:p>
        </w:tc>
        <w:tc>
          <w:tcPr>
            <w:tcW w:type="dxa" w:w="243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AS-IS vs TO-BE automation roadmap</w:t>
            </w:r>
          </w:p>
        </w:tc>
        <w:tc>
          <w:tcPr>
            <w:tcW w:type="dxa" w:w="243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16A34A"/>
                <w:sz w:val="18"/>
              </w:rPr>
              <w:t>Yes — Sonnet</w:t>
            </w:r>
          </w:p>
        </w:tc>
        <w:tc>
          <w:tcPr>
            <w:tcW w:type="dxa" w:w="243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~2 min</w:t>
            </w:r>
          </w:p>
        </w:tc>
      </w:tr>
      <w:tr>
        <w:tc>
          <w:tcPr>
            <w:tcW w:type="dxa" w:w="2436"/>
            <w:shd w:val="clear" w:color="auto" w:fill="E6F4F4"/>
          </w:tcPr>
          <w:p>
            <w:pPr>
              <w:jc w:val="left"/>
            </w:pPr>
            <w:r>
              <w:rPr>
                <w:b/>
                <w:i w:val="0"/>
                <w:color w:val="024F4F"/>
                <w:sz w:val="18"/>
              </w:rPr>
              <w:t>Conformance Checker</w:t>
            </w:r>
          </w:p>
        </w:tc>
        <w:tc>
          <w:tcPr>
            <w:tcW w:type="dxa" w:w="243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Audit report vs SOP — automated gap finding</w:t>
            </w:r>
          </w:p>
        </w:tc>
        <w:tc>
          <w:tcPr>
            <w:tcW w:type="dxa" w:w="243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color w:val="16A34A"/>
                <w:sz w:val="18"/>
              </w:rPr>
              <w:t>Yes — Sonnet</w:t>
            </w:r>
          </w:p>
        </w:tc>
        <w:tc>
          <w:tcPr>
            <w:tcW w:type="dxa" w:w="2436"/>
            <w:shd w:val="clear" w:color="auto" w:fill="E6F4F4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~35s</w:t>
            </w:r>
          </w:p>
        </w:tc>
      </w:tr>
      <w:tr>
        <w:tc>
          <w:tcPr>
            <w:tcW w:type="dxa" w:w="2436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024F4F"/>
                <w:sz w:val="18"/>
              </w:rPr>
              <w:t>Object Model</w:t>
            </w:r>
          </w:p>
        </w:tc>
        <w:tc>
          <w:tcPr>
            <w:tcW w:type="dxa" w:w="243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Schema for applications built on this domain</w:t>
            </w:r>
          </w:p>
        </w:tc>
        <w:tc>
          <w:tcPr>
            <w:tcW w:type="dxa" w:w="243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16A34A"/>
                <w:sz w:val="18"/>
              </w:rPr>
              <w:t>Yes — Sonnet</w:t>
            </w:r>
          </w:p>
        </w:tc>
        <w:tc>
          <w:tcPr>
            <w:tcW w:type="dxa" w:w="243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~40s</w:t>
            </w:r>
          </w:p>
        </w:tc>
      </w:tr>
    </w:tbl>
    <w:p/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