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360"/>
            <w:shd w:val="clear" w:color="auto" w:fill="024F4F"/>
          </w:tcPr>
          <w:p>
            <w:pPr>
              <w:jc w:val="center"/>
            </w:pPr>
            <w:r>
              <w:rPr>
                <w:b/>
                <w:color w:val="FFFFFF"/>
                <w:sz w:val="18"/>
              </w:rPr>
              <w:t>COMMERCIAL BANKING DIVISION</w:t>
            </w:r>
          </w:p>
          <w:p>
            <w:pPr>
              <w:jc w:val="center"/>
            </w:pPr>
            <w:r>
              <w:rPr>
                <w:b/>
                <w:color w:val="FFFFFF"/>
                <w:sz w:val="32"/>
              </w:rPr>
              <w:t>Loan Origination Standard Operating Procedure</w:t>
            </w:r>
          </w:p>
          <w:p>
            <w:pPr>
              <w:jc w:val="center"/>
            </w:pPr>
            <w:r>
              <w:rPr>
                <w:color w:val="A7D4D4"/>
                <w:sz w:val="16"/>
              </w:rPr>
              <w:t>SOP-LO-004.2   |   Version 4.2   |   Effective 1 March 2024</w:t>
            </w:r>
          </w:p>
          <w:p>
            <w:pPr>
              <w:jc w:val="center"/>
            </w:pPr>
            <w:r>
              <w:rPr>
                <w:color w:val="A7D4D4"/>
                <w:sz w:val="16"/>
              </w:rPr>
              <w:t>Owner: Head of Commercial Banking   |   Classification: Internal Use Only</w:t>
            </w:r>
          </w:p>
        </w:tc>
      </w:tr>
    </w:tbl>
    <w:p/>
    <w:p>
      <w:pPr>
        <w:spacing w:before="280" w:after="80"/>
      </w:pPr>
      <w:r>
        <w:rPr>
          <w:b/>
          <w:color w:val="024F4F"/>
          <w:sz w:val="22"/>
        </w:rPr>
        <w:t>1.  Purpose and Scope</w:t>
      </w:r>
    </w:p>
    <w:p>
      <w:pPr>
        <w:spacing w:after="80"/>
      </w:pPr>
      <w:r>
        <w:rPr>
          <w:color w:val="1F2D2D"/>
          <w:sz w:val="19"/>
        </w:rPr>
        <w:t>This Standard Operating Procedure governs the end-to-end loan origination process for all commercial loan applications processed by the Commercial Banking Division. It applies to all branch locations and covers applications from initial enquiry through to commitment letter issuance.</w:t>
      </w:r>
    </w:p>
    <w:p>
      <w:pPr>
        <w:spacing w:after="80"/>
      </w:pPr>
      <w:r>
        <w:rPr>
          <w:color w:val="1F2D2D"/>
          <w:sz w:val="19"/>
        </w:rPr>
        <w:t>All Loan Processing Officers, Credit Analysts, Branch Managers, and Credit Committee members are required to comply with this SOP. Non-compliance must be escalated to the Compliance Officer within 24 hours of identification.</w:t>
      </w:r>
    </w:p>
    <w:p>
      <w:pPr>
        <w:spacing w:before="280" w:after="80"/>
      </w:pPr>
      <w:r>
        <w:rPr>
          <w:b/>
          <w:color w:val="024F4F"/>
          <w:sz w:val="22"/>
        </w:rPr>
        <w:t>2.  Process Overview</w:t>
      </w:r>
    </w:p>
    <w:p>
      <w:pPr>
        <w:spacing w:after="80"/>
      </w:pPr>
      <w:r>
        <w:rPr>
          <w:color w:val="1F2D2D"/>
          <w:sz w:val="19"/>
        </w:rPr>
        <w:t>The loan origination process consists of eight sequential stages. Each stage has a designated responsible role, a system of record, and a mandatory completion gate before the next stage may begin.</w:t>
      </w:r>
    </w:p>
    <w:tbl>
      <w:tblPr>
        <w:tblStyle w:val="TableGrid"/>
        <w:tblW w:type="auto" w:w="0"/>
        <w:tblLook w:firstColumn="1" w:firstRow="1" w:lastColumn="0" w:lastRow="0" w:noHBand="0" w:noVBand="1" w:val="04A0"/>
      </w:tblPr>
      <w:tblGrid>
        <w:gridCol w:w="4873"/>
        <w:gridCol w:w="4873"/>
      </w:tblGrid>
      <w:tr>
        <w:tc>
          <w:tcPr>
            <w:tcW w:type="dxa" w:w="4873"/>
            <w:shd w:val="clear" w:color="auto" w:fill="036868"/>
          </w:tcPr>
          <w:p>
            <w:pPr>
              <w:jc w:val="left"/>
            </w:pPr>
            <w:r>
              <w:rPr>
                <w:b/>
                <w:color w:val="FFFFFF"/>
                <w:sz w:val="18"/>
              </w:rPr>
              <w:t>Stage</w:t>
            </w:r>
          </w:p>
        </w:tc>
        <w:tc>
          <w:tcPr>
            <w:tcW w:type="dxa" w:w="4873"/>
            <w:shd w:val="clear" w:color="auto" w:fill="036868"/>
          </w:tcPr>
          <w:p>
            <w:pPr>
              <w:jc w:val="left"/>
            </w:pPr>
            <w:r>
              <w:rPr>
                <w:b/>
                <w:color w:val="FFFFFF"/>
                <w:sz w:val="18"/>
              </w:rPr>
              <w:t>Description</w:t>
            </w:r>
          </w:p>
        </w:tc>
      </w:tr>
      <w:tr>
        <w:tc>
          <w:tcPr>
            <w:tcW w:type="dxa" w:w="4873"/>
            <w:shd w:val="clear" w:color="auto" w:fill="F0FAFA"/>
          </w:tcPr>
          <w:p>
            <w:pPr>
              <w:jc w:val="left"/>
            </w:pPr>
            <w:r>
              <w:rPr>
                <w:b/>
                <w:color w:val="024F4F"/>
                <w:sz w:val="18"/>
              </w:rPr>
              <w:t>Stage 1</w:t>
            </w:r>
          </w:p>
        </w:tc>
        <w:tc>
          <w:tcPr>
            <w:tcW w:type="dxa" w:w="4873"/>
            <w:shd w:val="clear" w:color="auto" w:fill="F0FAFA"/>
          </w:tcPr>
          <w:p>
            <w:pPr>
              <w:jc w:val="left"/>
            </w:pPr>
            <w:r>
              <w:rPr>
                <w:b w:val="0"/>
                <w:sz w:val="18"/>
              </w:rPr>
              <w:t>AML and Compliance Pre-Screening</w:t>
            </w:r>
          </w:p>
        </w:tc>
      </w:tr>
      <w:tr>
        <w:tc>
          <w:tcPr>
            <w:tcW w:type="dxa" w:w="4873"/>
            <w:shd w:val="clear" w:color="auto" w:fill="FFFFFF"/>
          </w:tcPr>
          <w:p>
            <w:pPr>
              <w:jc w:val="left"/>
            </w:pPr>
            <w:r>
              <w:rPr>
                <w:b/>
                <w:color w:val="024F4F"/>
                <w:sz w:val="18"/>
              </w:rPr>
              <w:t>Stage 2</w:t>
            </w:r>
          </w:p>
        </w:tc>
        <w:tc>
          <w:tcPr>
            <w:tcW w:type="dxa" w:w="4873"/>
            <w:shd w:val="clear" w:color="auto" w:fill="FFFFFF"/>
          </w:tcPr>
          <w:p>
            <w:pPr>
              <w:jc w:val="left"/>
            </w:pPr>
            <w:r>
              <w:rPr>
                <w:b w:val="0"/>
                <w:sz w:val="18"/>
              </w:rPr>
              <w:t>Credit Bureau Pull</w:t>
            </w:r>
          </w:p>
        </w:tc>
      </w:tr>
      <w:tr>
        <w:tc>
          <w:tcPr>
            <w:tcW w:type="dxa" w:w="4873"/>
            <w:shd w:val="clear" w:color="auto" w:fill="F0FAFA"/>
          </w:tcPr>
          <w:p>
            <w:pPr>
              <w:jc w:val="left"/>
            </w:pPr>
            <w:r>
              <w:rPr>
                <w:b/>
                <w:color w:val="024F4F"/>
                <w:sz w:val="18"/>
              </w:rPr>
              <w:t>Stage 3</w:t>
            </w:r>
          </w:p>
        </w:tc>
        <w:tc>
          <w:tcPr>
            <w:tcW w:type="dxa" w:w="4873"/>
            <w:shd w:val="clear" w:color="auto" w:fill="F0FAFA"/>
          </w:tcPr>
          <w:p>
            <w:pPr>
              <w:jc w:val="left"/>
            </w:pPr>
            <w:r>
              <w:rPr>
                <w:b w:val="0"/>
                <w:sz w:val="18"/>
              </w:rPr>
              <w:t>Document Collection and Upload</w:t>
            </w:r>
          </w:p>
        </w:tc>
      </w:tr>
      <w:tr>
        <w:tc>
          <w:tcPr>
            <w:tcW w:type="dxa" w:w="4873"/>
            <w:shd w:val="clear" w:color="auto" w:fill="FFFFFF"/>
          </w:tcPr>
          <w:p>
            <w:pPr>
              <w:jc w:val="left"/>
            </w:pPr>
            <w:r>
              <w:rPr>
                <w:b/>
                <w:color w:val="024F4F"/>
                <w:sz w:val="18"/>
              </w:rPr>
              <w:t>Stage 4</w:t>
            </w:r>
          </w:p>
        </w:tc>
        <w:tc>
          <w:tcPr>
            <w:tcW w:type="dxa" w:w="4873"/>
            <w:shd w:val="clear" w:color="auto" w:fill="FFFFFF"/>
          </w:tcPr>
          <w:p>
            <w:pPr>
              <w:jc w:val="left"/>
            </w:pPr>
            <w:r>
              <w:rPr>
                <w:b w:val="0"/>
                <w:sz w:val="18"/>
              </w:rPr>
              <w:t>Debt-to-Income Ratio Calculation</w:t>
            </w:r>
          </w:p>
        </w:tc>
      </w:tr>
      <w:tr>
        <w:tc>
          <w:tcPr>
            <w:tcW w:type="dxa" w:w="4873"/>
            <w:shd w:val="clear" w:color="auto" w:fill="F0FAFA"/>
          </w:tcPr>
          <w:p>
            <w:pPr>
              <w:jc w:val="left"/>
            </w:pPr>
            <w:r>
              <w:rPr>
                <w:b/>
                <w:color w:val="024F4F"/>
                <w:sz w:val="18"/>
              </w:rPr>
              <w:t>Stage 5</w:t>
            </w:r>
          </w:p>
        </w:tc>
        <w:tc>
          <w:tcPr>
            <w:tcW w:type="dxa" w:w="4873"/>
            <w:shd w:val="clear" w:color="auto" w:fill="F0FAFA"/>
          </w:tcPr>
          <w:p>
            <w:pPr>
              <w:jc w:val="left"/>
            </w:pPr>
            <w:r>
              <w:rPr>
                <w:b w:val="0"/>
                <w:sz w:val="18"/>
              </w:rPr>
              <w:t>Property Appraisal</w:t>
            </w:r>
          </w:p>
        </w:tc>
      </w:tr>
      <w:tr>
        <w:tc>
          <w:tcPr>
            <w:tcW w:type="dxa" w:w="4873"/>
            <w:shd w:val="clear" w:color="auto" w:fill="FFFFFF"/>
          </w:tcPr>
          <w:p>
            <w:pPr>
              <w:jc w:val="left"/>
            </w:pPr>
            <w:r>
              <w:rPr>
                <w:b/>
                <w:color w:val="024F4F"/>
                <w:sz w:val="18"/>
              </w:rPr>
              <w:t>Stage 6</w:t>
            </w:r>
          </w:p>
        </w:tc>
        <w:tc>
          <w:tcPr>
            <w:tcW w:type="dxa" w:w="4873"/>
            <w:shd w:val="clear" w:color="auto" w:fill="FFFFFF"/>
          </w:tcPr>
          <w:p>
            <w:pPr>
              <w:jc w:val="left"/>
            </w:pPr>
            <w:r>
              <w:rPr>
                <w:b w:val="0"/>
                <w:sz w:val="18"/>
              </w:rPr>
              <w:t>Credit Assessment and Underwriting</w:t>
            </w:r>
          </w:p>
        </w:tc>
      </w:tr>
      <w:tr>
        <w:tc>
          <w:tcPr>
            <w:tcW w:type="dxa" w:w="4873"/>
            <w:shd w:val="clear" w:color="auto" w:fill="F0FAFA"/>
          </w:tcPr>
          <w:p>
            <w:pPr>
              <w:jc w:val="left"/>
            </w:pPr>
            <w:r>
              <w:rPr>
                <w:b/>
                <w:color w:val="024F4F"/>
                <w:sz w:val="18"/>
              </w:rPr>
              <w:t>Stage 7</w:t>
            </w:r>
          </w:p>
        </w:tc>
        <w:tc>
          <w:tcPr>
            <w:tcW w:type="dxa" w:w="4873"/>
            <w:shd w:val="clear" w:color="auto" w:fill="F0FAFA"/>
          </w:tcPr>
          <w:p>
            <w:pPr>
              <w:jc w:val="left"/>
            </w:pPr>
            <w:r>
              <w:rPr>
                <w:b w:val="0"/>
                <w:sz w:val="18"/>
              </w:rPr>
              <w:t>Sanctioning Decision</w:t>
            </w:r>
          </w:p>
        </w:tc>
      </w:tr>
      <w:tr>
        <w:tc>
          <w:tcPr>
            <w:tcW w:type="dxa" w:w="4873"/>
            <w:shd w:val="clear" w:color="auto" w:fill="FFFFFF"/>
          </w:tcPr>
          <w:p>
            <w:pPr>
              <w:jc w:val="left"/>
            </w:pPr>
            <w:r>
              <w:rPr>
                <w:b/>
                <w:color w:val="024F4F"/>
                <w:sz w:val="18"/>
              </w:rPr>
              <w:t>Stage 8</w:t>
            </w:r>
          </w:p>
        </w:tc>
        <w:tc>
          <w:tcPr>
            <w:tcW w:type="dxa" w:w="4873"/>
            <w:shd w:val="clear" w:color="auto" w:fill="FFFFFF"/>
          </w:tcPr>
          <w:p>
            <w:pPr>
              <w:jc w:val="left"/>
            </w:pPr>
            <w:r>
              <w:rPr>
                <w:b w:val="0"/>
                <w:sz w:val="18"/>
              </w:rPr>
              <w:t>Commitment Letter Issuance</w:t>
            </w:r>
          </w:p>
        </w:tc>
      </w:tr>
    </w:tbl>
    <w:p/>
    <w:p>
      <w:pPr>
        <w:spacing w:before="280" w:after="80"/>
      </w:pPr>
      <w:r>
        <w:rPr>
          <w:b/>
          <w:color w:val="024F4F"/>
          <w:sz w:val="22"/>
        </w:rPr>
        <w:t>3.  Detailed Procedures</w:t>
      </w:r>
    </w:p>
    <w:p>
      <w:pPr>
        <w:spacing w:before="200" w:after="40"/>
      </w:pPr>
      <w:r>
        <w:rPr>
          <w:b/>
          <w:color w:val="036868"/>
          <w:sz w:val="20"/>
        </w:rPr>
        <w:t>3.1  Stage 1 — AML and Compliance Pre-Screening</w:t>
      </w:r>
    </w:p>
    <w:tbl>
      <w:tblPr>
        <w:tblStyle w:val="TableGrid"/>
        <w:tblW w:type="auto" w:w="0"/>
        <w:tblLook w:firstColumn="1" w:firstRow="1" w:lastColumn="0" w:lastRow="0" w:noHBand="0" w:noVBand="1" w:val="04A0"/>
      </w:tblPr>
      <w:tblGrid>
        <w:gridCol w:w="4873"/>
        <w:gridCol w:w="4873"/>
      </w:tblGrid>
      <w:tr>
        <w:tc>
          <w:tcPr>
            <w:tcW w:type="dxa" w:w="2304"/>
            <w:shd w:val="clear" w:color="auto" w:fill="E6F4F4"/>
          </w:tcPr>
          <w:p>
            <w:pPr>
              <w:jc w:val="left"/>
            </w:pPr>
            <w:r>
              <w:rPr>
                <w:b/>
                <w:color w:val="024F4F"/>
                <w:sz w:val="18"/>
              </w:rPr>
              <w:t>Responsible Role</w:t>
            </w:r>
          </w:p>
        </w:tc>
        <w:tc>
          <w:tcPr>
            <w:tcW w:type="dxa" w:w="7056"/>
          </w:tcPr>
          <w:p>
            <w:pPr>
              <w:jc w:val="left"/>
            </w:pPr>
            <w:r>
              <w:rPr>
                <w:b w:val="0"/>
                <w:sz w:val="18"/>
              </w:rPr>
              <w:t>Loan Processing Officer</w:t>
            </w:r>
          </w:p>
        </w:tc>
      </w:tr>
      <w:tr>
        <w:tc>
          <w:tcPr>
            <w:tcW w:type="dxa" w:w="2304"/>
            <w:shd w:val="clear" w:color="auto" w:fill="E6F4F4"/>
          </w:tcPr>
          <w:p>
            <w:pPr>
              <w:jc w:val="left"/>
            </w:pPr>
            <w:r>
              <w:rPr>
                <w:b/>
                <w:color w:val="024F4F"/>
                <w:sz w:val="18"/>
              </w:rPr>
              <w:t>System of Record</w:t>
            </w:r>
          </w:p>
        </w:tc>
        <w:tc>
          <w:tcPr>
            <w:tcW w:type="dxa" w:w="7056"/>
          </w:tcPr>
          <w:p>
            <w:pPr>
              <w:jc w:val="left"/>
            </w:pPr>
            <w:r>
              <w:rPr>
                <w:b w:val="0"/>
                <w:sz w:val="18"/>
              </w:rPr>
              <w:t>Compliance Tracker</w:t>
            </w:r>
          </w:p>
        </w:tc>
      </w:tr>
      <w:tr>
        <w:tc>
          <w:tcPr>
            <w:tcW w:type="dxa" w:w="2304"/>
            <w:shd w:val="clear" w:color="auto" w:fill="E6F4F4"/>
          </w:tcPr>
          <w:p>
            <w:pPr>
              <w:jc w:val="left"/>
            </w:pPr>
            <w:r>
              <w:rPr>
                <w:b/>
                <w:color w:val="024F4F"/>
                <w:sz w:val="18"/>
              </w:rPr>
              <w:t>SLA</w:t>
            </w:r>
          </w:p>
        </w:tc>
        <w:tc>
          <w:tcPr>
            <w:tcW w:type="dxa" w:w="7056"/>
          </w:tcPr>
          <w:p>
            <w:pPr>
              <w:jc w:val="left"/>
            </w:pPr>
            <w:r>
              <w:rPr>
                <w:b w:val="0"/>
                <w:sz w:val="18"/>
              </w:rPr>
              <w:t>Completed within 4 business hours of application receipt</w:t>
            </w:r>
          </w:p>
        </w:tc>
      </w:tr>
      <w:tr>
        <w:tc>
          <w:tcPr>
            <w:tcW w:type="dxa" w:w="2304"/>
            <w:shd w:val="clear" w:color="auto" w:fill="E6F4F4"/>
          </w:tcPr>
          <w:p>
            <w:pPr>
              <w:jc w:val="left"/>
            </w:pPr>
            <w:r>
              <w:rPr>
                <w:b/>
                <w:color w:val="024F4F"/>
                <w:sz w:val="18"/>
              </w:rPr>
              <w:t>Gate</w:t>
            </w:r>
          </w:p>
        </w:tc>
        <w:tc>
          <w:tcPr>
            <w:tcW w:type="dxa" w:w="7056"/>
          </w:tcPr>
          <w:p>
            <w:pPr>
              <w:jc w:val="left"/>
            </w:pPr>
            <w:r>
              <w:rPr>
                <w:b w:val="0"/>
                <w:sz w:val="18"/>
              </w:rPr>
              <w:t>AML Cleared status must be recorded in Compliance Tracker before any credit enquiry is initiated</w:t>
            </w:r>
          </w:p>
        </w:tc>
      </w:tr>
    </w:tbl>
    <w:p/>
    <w:p>
      <w:pPr>
        <w:spacing w:after="80"/>
      </w:pPr>
      <w:r>
        <w:rPr>
          <w:color w:val="1F2D2D"/>
          <w:sz w:val="19"/>
        </w:rPr>
        <w:t>The Loan Processing Officer must initiate an Anti-Money Laundering screen through the Compliance Tracker system immediately upon receipt of a new loan application. The AML check covers sanctions list screening, Politically Exposed Person (PEP) checks, and adverse media review.</w:t>
      </w:r>
    </w:p>
    <w:p>
      <w:pPr>
        <w:spacing w:after="80"/>
      </w:pPr>
      <w:r>
        <w:rPr>
          <w:color w:val="1F2D2D"/>
          <w:sz w:val="19"/>
        </w:rPr>
        <w:t>The AML pre-screen MUST be completed and show a Cleared status in the Compliance Tracker before the credit bureau pull in Stage 2 may be initiated. This sequence is mandatory under the Bank's AML Policy (POL-AML-001). Under no circumstances may a credit bureau query be submitted while an AML screen is pending or shows an Alert status.</w:t>
      </w:r>
    </w:p>
    <w:p>
      <w:pPr>
        <w:spacing w:after="80"/>
      </w:pPr>
      <w:r>
        <w:rPr>
          <w:color w:val="1F2D2D"/>
          <w:sz w:val="19"/>
        </w:rPr>
        <w:t>If the AML screen returns an Alert, the application must be referred to the Compliance Officer before proceeding.</w:t>
      </w:r>
    </w:p>
    <w:p>
      <w:pPr>
        <w:spacing w:before="200" w:after="40"/>
      </w:pPr>
      <w:r>
        <w:rPr>
          <w:b/>
          <w:color w:val="036868"/>
          <w:sz w:val="20"/>
        </w:rPr>
        <w:t>3.2  Stage 2 — Credit Bureau Pull</w:t>
      </w:r>
    </w:p>
    <w:tbl>
      <w:tblPr>
        <w:tblStyle w:val="TableGrid"/>
        <w:tblW w:type="auto" w:w="0"/>
        <w:tblLook w:firstColumn="1" w:firstRow="1" w:lastColumn="0" w:lastRow="0" w:noHBand="0" w:noVBand="1" w:val="04A0"/>
      </w:tblPr>
      <w:tblGrid>
        <w:gridCol w:w="4873"/>
        <w:gridCol w:w="4873"/>
      </w:tblGrid>
      <w:tr>
        <w:tc>
          <w:tcPr>
            <w:tcW w:type="dxa" w:w="2304"/>
            <w:shd w:val="clear" w:color="auto" w:fill="E6F4F4"/>
          </w:tcPr>
          <w:p>
            <w:pPr>
              <w:jc w:val="left"/>
            </w:pPr>
            <w:r>
              <w:rPr>
                <w:b/>
                <w:color w:val="024F4F"/>
                <w:sz w:val="18"/>
              </w:rPr>
              <w:t>Responsible Role</w:t>
            </w:r>
          </w:p>
        </w:tc>
        <w:tc>
          <w:tcPr>
            <w:tcW w:type="dxa" w:w="7056"/>
          </w:tcPr>
          <w:p>
            <w:pPr>
              <w:jc w:val="left"/>
            </w:pPr>
            <w:r>
              <w:rPr>
                <w:b w:val="0"/>
                <w:sz w:val="18"/>
              </w:rPr>
              <w:t>Loan Processing Officer</w:t>
            </w:r>
          </w:p>
        </w:tc>
      </w:tr>
      <w:tr>
        <w:tc>
          <w:tcPr>
            <w:tcW w:type="dxa" w:w="2304"/>
            <w:shd w:val="clear" w:color="auto" w:fill="E6F4F4"/>
          </w:tcPr>
          <w:p>
            <w:pPr>
              <w:jc w:val="left"/>
            </w:pPr>
            <w:r>
              <w:rPr>
                <w:b/>
                <w:color w:val="024F4F"/>
                <w:sz w:val="18"/>
              </w:rPr>
              <w:t>System of Record</w:t>
            </w:r>
          </w:p>
        </w:tc>
        <w:tc>
          <w:tcPr>
            <w:tcW w:type="dxa" w:w="7056"/>
          </w:tcPr>
          <w:p>
            <w:pPr>
              <w:jc w:val="left"/>
            </w:pPr>
            <w:r>
              <w:rPr>
                <w:b w:val="0"/>
                <w:sz w:val="18"/>
              </w:rPr>
              <w:t>LoanIQ</w:t>
            </w:r>
          </w:p>
        </w:tc>
      </w:tr>
      <w:tr>
        <w:tc>
          <w:tcPr>
            <w:tcW w:type="dxa" w:w="2304"/>
            <w:shd w:val="clear" w:color="auto" w:fill="E6F4F4"/>
          </w:tcPr>
          <w:p>
            <w:pPr>
              <w:jc w:val="left"/>
            </w:pPr>
            <w:r>
              <w:rPr>
                <w:b/>
                <w:color w:val="024F4F"/>
                <w:sz w:val="18"/>
              </w:rPr>
              <w:t>SLA</w:t>
            </w:r>
          </w:p>
        </w:tc>
        <w:tc>
          <w:tcPr>
            <w:tcW w:type="dxa" w:w="7056"/>
          </w:tcPr>
          <w:p>
            <w:pPr>
              <w:jc w:val="left"/>
            </w:pPr>
            <w:r>
              <w:rPr>
                <w:b w:val="0"/>
                <w:sz w:val="18"/>
              </w:rPr>
              <w:t>Completed within 1 business day of AML clearance</w:t>
            </w:r>
          </w:p>
        </w:tc>
      </w:tr>
      <w:tr>
        <w:tc>
          <w:tcPr>
            <w:tcW w:type="dxa" w:w="2304"/>
            <w:shd w:val="clear" w:color="auto" w:fill="E6F4F4"/>
          </w:tcPr>
          <w:p>
            <w:pPr>
              <w:jc w:val="left"/>
            </w:pPr>
            <w:r>
              <w:rPr>
                <w:b/>
                <w:color w:val="024F4F"/>
                <w:sz w:val="18"/>
              </w:rPr>
              <w:t>Gate</w:t>
            </w:r>
          </w:p>
        </w:tc>
        <w:tc>
          <w:tcPr>
            <w:tcW w:type="dxa" w:w="7056"/>
          </w:tcPr>
          <w:p>
            <w:pPr>
              <w:jc w:val="left"/>
            </w:pPr>
            <w:r>
              <w:rPr>
                <w:b w:val="0"/>
                <w:sz w:val="18"/>
              </w:rPr>
              <w:t>Bureau reports filed in Document Management System</w:t>
            </w:r>
          </w:p>
        </w:tc>
      </w:tr>
    </w:tbl>
    <w:p/>
    <w:p>
      <w:pPr>
        <w:spacing w:after="80"/>
      </w:pPr>
      <w:r>
        <w:rPr>
          <w:color w:val="1F2D2D"/>
          <w:sz w:val="19"/>
        </w:rPr>
        <w:t>The Loan Processing Officer initiates a dual credit bureau pull through LoanIQ using both Experian and TransUnion. Both bureau reports must be formally retrieved and filed in the designated folder structure within the Document Management System.</w:t>
      </w:r>
    </w:p>
    <w:p>
      <w:pPr>
        <w:spacing w:after="80"/>
      </w:pPr>
      <w:r>
        <w:rPr>
          <w:color w:val="1F2D2D"/>
          <w:sz w:val="19"/>
        </w:rPr>
        <w:t>Bureau reports must be obtained prior to the commencement of any credit analysis activity. The LoanIQ system records timestamps of all bureau queries and these are reviewed during compliance audits.</w:t>
      </w:r>
    </w:p>
    <w:p>
      <w:pPr>
        <w:spacing w:before="200" w:after="40"/>
      </w:pPr>
      <w:r>
        <w:rPr>
          <w:b/>
          <w:color w:val="036868"/>
          <w:sz w:val="20"/>
        </w:rPr>
        <w:t>3.3  Stage 3 — Document Collection and Upload</w:t>
      </w:r>
    </w:p>
    <w:tbl>
      <w:tblPr>
        <w:tblStyle w:val="TableGrid"/>
        <w:tblW w:type="auto" w:w="0"/>
        <w:tblLook w:firstColumn="1" w:firstRow="1" w:lastColumn="0" w:lastRow="0" w:noHBand="0" w:noVBand="1" w:val="04A0"/>
      </w:tblPr>
      <w:tblGrid>
        <w:gridCol w:w="4873"/>
        <w:gridCol w:w="4873"/>
      </w:tblGrid>
      <w:tr>
        <w:tc>
          <w:tcPr>
            <w:tcW w:type="dxa" w:w="2304"/>
            <w:shd w:val="clear" w:color="auto" w:fill="E6F4F4"/>
          </w:tcPr>
          <w:p>
            <w:pPr>
              <w:jc w:val="left"/>
            </w:pPr>
            <w:r>
              <w:rPr>
                <w:b/>
                <w:color w:val="024F4F"/>
                <w:sz w:val="18"/>
              </w:rPr>
              <w:t>Responsible Role</w:t>
            </w:r>
          </w:p>
        </w:tc>
        <w:tc>
          <w:tcPr>
            <w:tcW w:type="dxa" w:w="7056"/>
          </w:tcPr>
          <w:p>
            <w:pPr>
              <w:jc w:val="left"/>
            </w:pPr>
            <w:r>
              <w:rPr>
                <w:b w:val="0"/>
                <w:sz w:val="18"/>
              </w:rPr>
              <w:t>Loan Processing Officer</w:t>
            </w:r>
          </w:p>
        </w:tc>
      </w:tr>
      <w:tr>
        <w:tc>
          <w:tcPr>
            <w:tcW w:type="dxa" w:w="2304"/>
            <w:shd w:val="clear" w:color="auto" w:fill="E6F4F4"/>
          </w:tcPr>
          <w:p>
            <w:pPr>
              <w:jc w:val="left"/>
            </w:pPr>
            <w:r>
              <w:rPr>
                <w:b/>
                <w:color w:val="024F4F"/>
                <w:sz w:val="18"/>
              </w:rPr>
              <w:t>System of Record</w:t>
            </w:r>
          </w:p>
        </w:tc>
        <w:tc>
          <w:tcPr>
            <w:tcW w:type="dxa" w:w="7056"/>
          </w:tcPr>
          <w:p>
            <w:pPr>
              <w:jc w:val="left"/>
            </w:pPr>
            <w:r>
              <w:rPr>
                <w:b w:val="0"/>
                <w:sz w:val="18"/>
              </w:rPr>
              <w:t>Document Management System</w:t>
            </w:r>
          </w:p>
        </w:tc>
      </w:tr>
      <w:tr>
        <w:tc>
          <w:tcPr>
            <w:tcW w:type="dxa" w:w="2304"/>
            <w:shd w:val="clear" w:color="auto" w:fill="E6F4F4"/>
          </w:tcPr>
          <w:p>
            <w:pPr>
              <w:jc w:val="left"/>
            </w:pPr>
            <w:r>
              <w:rPr>
                <w:b/>
                <w:color w:val="024F4F"/>
                <w:sz w:val="18"/>
              </w:rPr>
              <w:t>SLA</w:t>
            </w:r>
          </w:p>
        </w:tc>
        <w:tc>
          <w:tcPr>
            <w:tcW w:type="dxa" w:w="7056"/>
          </w:tcPr>
          <w:p>
            <w:pPr>
              <w:jc w:val="left"/>
            </w:pPr>
            <w:r>
              <w:rPr>
                <w:b w:val="0"/>
                <w:sz w:val="18"/>
              </w:rPr>
              <w:t>All required documents uploaded within 48 hours of application receipt (80% compliance threshold)</w:t>
            </w:r>
          </w:p>
        </w:tc>
      </w:tr>
      <w:tr>
        <w:tc>
          <w:tcPr>
            <w:tcW w:type="dxa" w:w="2304"/>
            <w:shd w:val="clear" w:color="auto" w:fill="E6F4F4"/>
          </w:tcPr>
          <w:p>
            <w:pPr>
              <w:jc w:val="left"/>
            </w:pPr>
            <w:r>
              <w:rPr>
                <w:b/>
                <w:color w:val="024F4F"/>
                <w:sz w:val="18"/>
              </w:rPr>
              <w:t>Gate</w:t>
            </w:r>
          </w:p>
        </w:tc>
        <w:tc>
          <w:tcPr>
            <w:tcW w:type="dxa" w:w="7056"/>
          </w:tcPr>
          <w:p>
            <w:pPr>
              <w:jc w:val="left"/>
            </w:pPr>
            <w:r>
              <w:rPr>
                <w:b w:val="0"/>
                <w:sz w:val="18"/>
              </w:rPr>
              <w:t>Document Completeness Certificate issued and countersigned by Branch Manager</w:t>
            </w:r>
          </w:p>
        </w:tc>
      </w:tr>
    </w:tbl>
    <w:p/>
    <w:p>
      <w:pPr>
        <w:spacing w:after="80"/>
      </w:pPr>
      <w:r>
        <w:rPr>
          <w:color w:val="1F2D2D"/>
          <w:sz w:val="19"/>
        </w:rPr>
        <w:t>The Loan Processing Officer is responsible for collecting all required customer documentation and uploading it to the Document Management System within 48 hours of application receipt.</w:t>
      </w:r>
    </w:p>
    <w:p>
      <w:pPr>
        <w:spacing w:after="80"/>
      </w:pPr>
      <w:r>
        <w:rPr>
          <w:color w:val="1F2D2D"/>
          <w:sz w:val="19"/>
        </w:rPr>
        <w:t>Required documents include: signed loan application form, proof of identity, proof of address, financial statements (3 years), business plan (commercial loans), and property details where applicable.</w:t>
      </w:r>
    </w:p>
    <w:p>
      <w:pPr>
        <w:spacing w:after="80"/>
      </w:pPr>
      <w:r>
        <w:rPr>
          <w:color w:val="1F2D2D"/>
          <w:sz w:val="19"/>
        </w:rPr>
        <w:t>Upon completion of document upload, the Loan Processing Officer must issue a Document Completeness Certificate and obtain countersignature from the Branch Manager. This certificate is a mandatory prerequisite for Stage 5 (Property Appraisal). Under no circumstances may an appraisal be commissioned before the Document Completeness Certificate has been issued and countersigned.</w:t>
      </w:r>
    </w:p>
    <w:p>
      <w:pPr>
        <w:spacing w:before="200" w:after="40"/>
      </w:pPr>
      <w:r>
        <w:rPr>
          <w:b/>
          <w:color w:val="036868"/>
          <w:sz w:val="20"/>
        </w:rPr>
        <w:t>3.4  Stage 4 — Debt-to-Income Ratio Calculation</w:t>
      </w:r>
    </w:p>
    <w:tbl>
      <w:tblPr>
        <w:tblStyle w:val="TableGrid"/>
        <w:tblW w:type="auto" w:w="0"/>
        <w:tblLook w:firstColumn="1" w:firstRow="1" w:lastColumn="0" w:lastRow="0" w:noHBand="0" w:noVBand="1" w:val="04A0"/>
      </w:tblPr>
      <w:tblGrid>
        <w:gridCol w:w="4873"/>
        <w:gridCol w:w="4873"/>
      </w:tblGrid>
      <w:tr>
        <w:tc>
          <w:tcPr>
            <w:tcW w:type="dxa" w:w="2304"/>
            <w:shd w:val="clear" w:color="auto" w:fill="E6F4F4"/>
          </w:tcPr>
          <w:p>
            <w:pPr>
              <w:jc w:val="left"/>
            </w:pPr>
            <w:r>
              <w:rPr>
                <w:b/>
                <w:color w:val="024F4F"/>
                <w:sz w:val="18"/>
              </w:rPr>
              <w:t>Responsible Role</w:t>
            </w:r>
          </w:p>
        </w:tc>
        <w:tc>
          <w:tcPr>
            <w:tcW w:type="dxa" w:w="7056"/>
          </w:tcPr>
          <w:p>
            <w:pPr>
              <w:jc w:val="left"/>
            </w:pPr>
            <w:r>
              <w:rPr>
                <w:b w:val="0"/>
                <w:sz w:val="18"/>
              </w:rPr>
              <w:t>Credit Analyst</w:t>
            </w:r>
          </w:p>
        </w:tc>
      </w:tr>
      <w:tr>
        <w:tc>
          <w:tcPr>
            <w:tcW w:type="dxa" w:w="2304"/>
            <w:shd w:val="clear" w:color="auto" w:fill="E6F4F4"/>
          </w:tcPr>
          <w:p>
            <w:pPr>
              <w:jc w:val="left"/>
            </w:pPr>
            <w:r>
              <w:rPr>
                <w:b/>
                <w:color w:val="024F4F"/>
                <w:sz w:val="18"/>
              </w:rPr>
              <w:t>System of Record</w:t>
            </w:r>
          </w:p>
        </w:tc>
        <w:tc>
          <w:tcPr>
            <w:tcW w:type="dxa" w:w="7056"/>
          </w:tcPr>
          <w:p>
            <w:pPr>
              <w:jc w:val="left"/>
            </w:pPr>
            <w:r>
              <w:rPr>
                <w:b w:val="0"/>
                <w:sz w:val="18"/>
              </w:rPr>
              <w:t>Loan Application Worksheet</w:t>
            </w:r>
          </w:p>
        </w:tc>
      </w:tr>
      <w:tr>
        <w:tc>
          <w:tcPr>
            <w:tcW w:type="dxa" w:w="2304"/>
            <w:shd w:val="clear" w:color="auto" w:fill="E6F4F4"/>
          </w:tcPr>
          <w:p>
            <w:pPr>
              <w:jc w:val="left"/>
            </w:pPr>
            <w:r>
              <w:rPr>
                <w:b/>
                <w:color w:val="024F4F"/>
                <w:sz w:val="18"/>
              </w:rPr>
              <w:t>SLA</w:t>
            </w:r>
          </w:p>
        </w:tc>
        <w:tc>
          <w:tcPr>
            <w:tcW w:type="dxa" w:w="7056"/>
          </w:tcPr>
          <w:p>
            <w:pPr>
              <w:jc w:val="left"/>
            </w:pPr>
            <w:r>
              <w:rPr>
                <w:b w:val="0"/>
                <w:sz w:val="18"/>
              </w:rPr>
              <w:t>Completed within 1 business day of document upload</w:t>
            </w:r>
          </w:p>
        </w:tc>
      </w:tr>
      <w:tr>
        <w:tc>
          <w:tcPr>
            <w:tcW w:type="dxa" w:w="2304"/>
            <w:shd w:val="clear" w:color="auto" w:fill="E6F4F4"/>
          </w:tcPr>
          <w:p>
            <w:pPr>
              <w:jc w:val="left"/>
            </w:pPr>
            <w:r>
              <w:rPr>
                <w:b/>
                <w:color w:val="024F4F"/>
                <w:sz w:val="18"/>
              </w:rPr>
              <w:t>Gate</w:t>
            </w:r>
          </w:p>
        </w:tc>
        <w:tc>
          <w:tcPr>
            <w:tcW w:type="dxa" w:w="7056"/>
          </w:tcPr>
          <w:p>
            <w:pPr>
              <w:jc w:val="left"/>
            </w:pPr>
            <w:r>
              <w:rPr>
                <w:b w:val="0"/>
                <w:sz w:val="18"/>
              </w:rPr>
              <w:t>DTI calculation certified on Loan Application Worksheet</w:t>
            </w:r>
          </w:p>
        </w:tc>
      </w:tr>
    </w:tbl>
    <w:p/>
    <w:p>
      <w:pPr>
        <w:spacing w:after="80"/>
      </w:pPr>
      <w:r>
        <w:rPr>
          <w:color w:val="1F2D2D"/>
          <w:sz w:val="19"/>
        </w:rPr>
        <w:t>The Debt-to-Income ratio calculation must be performed and formally certified by a Credit Analyst on the standard Loan Application Worksheet. Only personnel holding the Credit Analyst role designation within LoanIQ may certify the DTI calculation field. Loan Processing Officers and Loan Officers do not have authority to certify DTI calculations under this SOP.</w:t>
      </w:r>
    </w:p>
    <w:p>
      <w:pPr>
        <w:spacing w:after="80"/>
      </w:pPr>
      <w:r>
        <w:rPr>
          <w:color w:val="1F2D2D"/>
          <w:sz w:val="19"/>
        </w:rPr>
        <w:t>The DTI ratio is calculated as total monthly debt obligations divided by gross monthly income. Applications with a DTI ratio exceeding 43% are referred to the Senior Underwriter for further assessment before proceeding to Credit Assessment.</w:t>
      </w:r>
    </w:p>
    <w:p>
      <w:pPr>
        <w:spacing w:before="200" w:after="40"/>
      </w:pPr>
      <w:r>
        <w:rPr>
          <w:b/>
          <w:color w:val="036868"/>
          <w:sz w:val="20"/>
        </w:rPr>
        <w:t>3.5  Stage 5 — Property Appraisal</w:t>
      </w:r>
    </w:p>
    <w:tbl>
      <w:tblPr>
        <w:tblStyle w:val="TableGrid"/>
        <w:tblW w:type="auto" w:w="0"/>
        <w:tblLook w:firstColumn="1" w:firstRow="1" w:lastColumn="0" w:lastRow="0" w:noHBand="0" w:noVBand="1" w:val="04A0"/>
      </w:tblPr>
      <w:tblGrid>
        <w:gridCol w:w="4873"/>
        <w:gridCol w:w="4873"/>
      </w:tblGrid>
      <w:tr>
        <w:tc>
          <w:tcPr>
            <w:tcW w:type="dxa" w:w="2304"/>
            <w:shd w:val="clear" w:color="auto" w:fill="E6F4F4"/>
          </w:tcPr>
          <w:p>
            <w:pPr>
              <w:jc w:val="left"/>
            </w:pPr>
            <w:r>
              <w:rPr>
                <w:b/>
                <w:color w:val="024F4F"/>
                <w:sz w:val="18"/>
              </w:rPr>
              <w:t>Responsible Role</w:t>
            </w:r>
          </w:p>
        </w:tc>
        <w:tc>
          <w:tcPr>
            <w:tcW w:type="dxa" w:w="7056"/>
          </w:tcPr>
          <w:p>
            <w:pPr>
              <w:jc w:val="left"/>
            </w:pPr>
            <w:r>
              <w:rPr>
                <w:b w:val="0"/>
                <w:sz w:val="18"/>
              </w:rPr>
              <w:t>Loan Processing Officer</w:t>
            </w:r>
          </w:p>
        </w:tc>
      </w:tr>
      <w:tr>
        <w:tc>
          <w:tcPr>
            <w:tcW w:type="dxa" w:w="2304"/>
            <w:shd w:val="clear" w:color="auto" w:fill="E6F4F4"/>
          </w:tcPr>
          <w:p>
            <w:pPr>
              <w:jc w:val="left"/>
            </w:pPr>
            <w:r>
              <w:rPr>
                <w:b/>
                <w:color w:val="024F4F"/>
                <w:sz w:val="18"/>
              </w:rPr>
              <w:t>System of Record</w:t>
            </w:r>
          </w:p>
        </w:tc>
        <w:tc>
          <w:tcPr>
            <w:tcW w:type="dxa" w:w="7056"/>
          </w:tcPr>
          <w:p>
            <w:pPr>
              <w:jc w:val="left"/>
            </w:pPr>
            <w:r>
              <w:rPr>
                <w:b w:val="0"/>
                <w:sz w:val="18"/>
              </w:rPr>
              <w:t>Appraisal Management System</w:t>
            </w:r>
          </w:p>
        </w:tc>
      </w:tr>
      <w:tr>
        <w:tc>
          <w:tcPr>
            <w:tcW w:type="dxa" w:w="2304"/>
            <w:shd w:val="clear" w:color="auto" w:fill="E6F4F4"/>
          </w:tcPr>
          <w:p>
            <w:pPr>
              <w:jc w:val="left"/>
            </w:pPr>
            <w:r>
              <w:rPr>
                <w:b/>
                <w:color w:val="024F4F"/>
                <w:sz w:val="18"/>
              </w:rPr>
              <w:t>SLA</w:t>
            </w:r>
          </w:p>
        </w:tc>
        <w:tc>
          <w:tcPr>
            <w:tcW w:type="dxa" w:w="7056"/>
          </w:tcPr>
          <w:p>
            <w:pPr>
              <w:jc w:val="left"/>
            </w:pPr>
            <w:r>
              <w:rPr>
                <w:b w:val="0"/>
                <w:sz w:val="18"/>
              </w:rPr>
              <w:t>Appraisal report received within 5 business days of appraisal instruction</w:t>
            </w:r>
          </w:p>
        </w:tc>
      </w:tr>
      <w:tr>
        <w:tc>
          <w:tcPr>
            <w:tcW w:type="dxa" w:w="2304"/>
            <w:shd w:val="clear" w:color="auto" w:fill="E6F4F4"/>
          </w:tcPr>
          <w:p>
            <w:pPr>
              <w:jc w:val="left"/>
            </w:pPr>
            <w:r>
              <w:rPr>
                <w:b/>
                <w:color w:val="024F4F"/>
                <w:sz w:val="18"/>
              </w:rPr>
              <w:t>Gate</w:t>
            </w:r>
          </w:p>
        </w:tc>
        <w:tc>
          <w:tcPr>
            <w:tcW w:type="dxa" w:w="7056"/>
          </w:tcPr>
          <w:p>
            <w:pPr>
              <w:jc w:val="left"/>
            </w:pPr>
            <w:r>
              <w:rPr>
                <w:b w:val="0"/>
                <w:sz w:val="18"/>
              </w:rPr>
              <w:t>Document Completeness Certificate (from Stage 3) must exist before appraisal vendor is engaged</w:t>
            </w:r>
          </w:p>
        </w:tc>
      </w:tr>
    </w:tbl>
    <w:p/>
    <w:p>
      <w:pPr>
        <w:spacing w:after="80"/>
      </w:pPr>
      <w:r>
        <w:rPr>
          <w:color w:val="1F2D2D"/>
          <w:sz w:val="19"/>
        </w:rPr>
        <w:t>The Loan Processing Officer engages an approved appraisal vendor through the Appraisal Management System. The system will only permit appraisal instruction if a valid Document Completeness Certificate exists for the application. A property appraisal may not be commissioned until Stage 3 is complete.</w:t>
      </w:r>
    </w:p>
    <w:p>
      <w:pPr>
        <w:spacing w:after="80"/>
      </w:pPr>
      <w:r>
        <w:rPr>
          <w:color w:val="1F2D2D"/>
          <w:sz w:val="19"/>
        </w:rPr>
        <w:t>The appraisal report must be filed in the Document Management System upon receipt and linked to the relevant application record in LoanIQ.</w:t>
      </w:r>
    </w:p>
    <w:p>
      <w:pPr>
        <w:spacing w:before="200" w:after="40"/>
      </w:pPr>
      <w:r>
        <w:rPr>
          <w:b/>
          <w:color w:val="036868"/>
          <w:sz w:val="20"/>
        </w:rPr>
        <w:t>3.6  Stage 6 — Credit Assessment and Underwriting</w:t>
      </w:r>
    </w:p>
    <w:tbl>
      <w:tblPr>
        <w:tblStyle w:val="TableGrid"/>
        <w:tblW w:type="auto" w:w="0"/>
        <w:tblLook w:firstColumn="1" w:firstRow="1" w:lastColumn="0" w:lastRow="0" w:noHBand="0" w:noVBand="1" w:val="04A0"/>
      </w:tblPr>
      <w:tblGrid>
        <w:gridCol w:w="4873"/>
        <w:gridCol w:w="4873"/>
      </w:tblGrid>
      <w:tr>
        <w:tc>
          <w:tcPr>
            <w:tcW w:type="dxa" w:w="2304"/>
            <w:shd w:val="clear" w:color="auto" w:fill="E6F4F4"/>
          </w:tcPr>
          <w:p>
            <w:pPr>
              <w:jc w:val="left"/>
            </w:pPr>
            <w:r>
              <w:rPr>
                <w:b/>
                <w:color w:val="024F4F"/>
                <w:sz w:val="18"/>
              </w:rPr>
              <w:t>Responsible Role</w:t>
            </w:r>
          </w:p>
        </w:tc>
        <w:tc>
          <w:tcPr>
            <w:tcW w:type="dxa" w:w="7056"/>
          </w:tcPr>
          <w:p>
            <w:pPr>
              <w:jc w:val="left"/>
            </w:pPr>
            <w:r>
              <w:rPr>
                <w:b w:val="0"/>
                <w:sz w:val="18"/>
              </w:rPr>
              <w:t>Senior Underwriter (DTI &gt; 43%) / Credit Analyst (standard)</w:t>
            </w:r>
          </w:p>
        </w:tc>
      </w:tr>
      <w:tr>
        <w:tc>
          <w:tcPr>
            <w:tcW w:type="dxa" w:w="2304"/>
            <w:shd w:val="clear" w:color="auto" w:fill="E6F4F4"/>
          </w:tcPr>
          <w:p>
            <w:pPr>
              <w:jc w:val="left"/>
            </w:pPr>
            <w:r>
              <w:rPr>
                <w:b/>
                <w:color w:val="024F4F"/>
                <w:sz w:val="18"/>
              </w:rPr>
              <w:t>System of Record</w:t>
            </w:r>
          </w:p>
        </w:tc>
        <w:tc>
          <w:tcPr>
            <w:tcW w:type="dxa" w:w="7056"/>
          </w:tcPr>
          <w:p>
            <w:pPr>
              <w:jc w:val="left"/>
            </w:pPr>
            <w:r>
              <w:rPr>
                <w:b w:val="0"/>
                <w:sz w:val="18"/>
              </w:rPr>
              <w:t>LoanIQ</w:t>
            </w:r>
          </w:p>
        </w:tc>
      </w:tr>
      <w:tr>
        <w:tc>
          <w:tcPr>
            <w:tcW w:type="dxa" w:w="2304"/>
            <w:shd w:val="clear" w:color="auto" w:fill="E6F4F4"/>
          </w:tcPr>
          <w:p>
            <w:pPr>
              <w:jc w:val="left"/>
            </w:pPr>
            <w:r>
              <w:rPr>
                <w:b/>
                <w:color w:val="024F4F"/>
                <w:sz w:val="18"/>
              </w:rPr>
              <w:t>SLA</w:t>
            </w:r>
          </w:p>
        </w:tc>
        <w:tc>
          <w:tcPr>
            <w:tcW w:type="dxa" w:w="7056"/>
          </w:tcPr>
          <w:p>
            <w:pPr>
              <w:jc w:val="left"/>
            </w:pPr>
            <w:r>
              <w:rPr>
                <w:b w:val="0"/>
                <w:sz w:val="18"/>
              </w:rPr>
              <w:t>Assessment completed within 2 business days of all Stage 3–5 inputs being available</w:t>
            </w:r>
          </w:p>
        </w:tc>
      </w:tr>
      <w:tr>
        <w:tc>
          <w:tcPr>
            <w:tcW w:type="dxa" w:w="2304"/>
            <w:shd w:val="clear" w:color="auto" w:fill="E6F4F4"/>
          </w:tcPr>
          <w:p>
            <w:pPr>
              <w:jc w:val="left"/>
            </w:pPr>
            <w:r>
              <w:rPr>
                <w:b/>
                <w:color w:val="024F4F"/>
                <w:sz w:val="18"/>
              </w:rPr>
              <w:t>Gate</w:t>
            </w:r>
          </w:p>
        </w:tc>
        <w:tc>
          <w:tcPr>
            <w:tcW w:type="dxa" w:w="7056"/>
          </w:tcPr>
          <w:p>
            <w:pPr>
              <w:jc w:val="left"/>
            </w:pPr>
            <w:r>
              <w:rPr>
                <w:b w:val="0"/>
                <w:sz w:val="18"/>
              </w:rPr>
              <w:t>Credit Assessment Report filed in LoanIQ</w:t>
            </w:r>
          </w:p>
        </w:tc>
      </w:tr>
    </w:tbl>
    <w:p/>
    <w:p>
      <w:pPr>
        <w:spacing w:after="80"/>
      </w:pPr>
      <w:r>
        <w:rPr>
          <w:color w:val="1F2D2D"/>
          <w:sz w:val="19"/>
        </w:rPr>
        <w:t>The Credit Analyst or Senior Underwriter conducts a comprehensive credit assessment covering: DTI analysis, credit bureau report review, financial statement analysis, collateral valuation, and sector risk evaluation.</w:t>
      </w:r>
    </w:p>
    <w:p>
      <w:pPr>
        <w:spacing w:after="80"/>
      </w:pPr>
      <w:r>
        <w:rPr>
          <w:color w:val="1F2D2D"/>
          <w:sz w:val="19"/>
        </w:rPr>
        <w:t>The completed Credit Assessment Report must be filed in LoanIQ and forms the primary input for the Sanctioning Decision in Stage 7.</w:t>
      </w:r>
    </w:p>
    <w:p>
      <w:pPr>
        <w:spacing w:before="200" w:after="40"/>
      </w:pPr>
      <w:r>
        <w:rPr>
          <w:b/>
          <w:color w:val="036868"/>
          <w:sz w:val="20"/>
        </w:rPr>
        <w:t>3.7  Stage 7 — Sanctioning Decision</w:t>
      </w:r>
    </w:p>
    <w:tbl>
      <w:tblPr>
        <w:tblStyle w:val="TableGrid"/>
        <w:tblW w:type="auto" w:w="0"/>
        <w:tblLook w:firstColumn="1" w:firstRow="1" w:lastColumn="0" w:lastRow="0" w:noHBand="0" w:noVBand="1" w:val="04A0"/>
      </w:tblPr>
      <w:tblGrid>
        <w:gridCol w:w="4873"/>
        <w:gridCol w:w="4873"/>
      </w:tblGrid>
      <w:tr>
        <w:tc>
          <w:tcPr>
            <w:tcW w:type="dxa" w:w="2304"/>
            <w:shd w:val="clear" w:color="auto" w:fill="E6F4F4"/>
          </w:tcPr>
          <w:p>
            <w:pPr>
              <w:jc w:val="left"/>
            </w:pPr>
            <w:r>
              <w:rPr>
                <w:b/>
                <w:color w:val="024F4F"/>
                <w:sz w:val="18"/>
              </w:rPr>
              <w:t>Responsible Role</w:t>
            </w:r>
          </w:p>
        </w:tc>
        <w:tc>
          <w:tcPr>
            <w:tcW w:type="dxa" w:w="7056"/>
          </w:tcPr>
          <w:p>
            <w:pPr>
              <w:jc w:val="left"/>
            </w:pPr>
            <w:r>
              <w:rPr>
                <w:b w:val="0"/>
                <w:sz w:val="18"/>
              </w:rPr>
              <w:t>Credit Committee</w:t>
            </w:r>
          </w:p>
        </w:tc>
      </w:tr>
      <w:tr>
        <w:tc>
          <w:tcPr>
            <w:tcW w:type="dxa" w:w="2304"/>
            <w:shd w:val="clear" w:color="auto" w:fill="E6F4F4"/>
          </w:tcPr>
          <w:p>
            <w:pPr>
              <w:jc w:val="left"/>
            </w:pPr>
            <w:r>
              <w:rPr>
                <w:b/>
                <w:color w:val="024F4F"/>
                <w:sz w:val="18"/>
              </w:rPr>
              <w:t>System of Record</w:t>
            </w:r>
          </w:p>
        </w:tc>
        <w:tc>
          <w:tcPr>
            <w:tcW w:type="dxa" w:w="7056"/>
          </w:tcPr>
          <w:p>
            <w:pPr>
              <w:jc w:val="left"/>
            </w:pPr>
            <w:r>
              <w:rPr>
                <w:b w:val="0"/>
                <w:sz w:val="18"/>
              </w:rPr>
              <w:t>Credit Committee System</w:t>
            </w:r>
          </w:p>
        </w:tc>
      </w:tr>
      <w:tr>
        <w:tc>
          <w:tcPr>
            <w:tcW w:type="dxa" w:w="2304"/>
            <w:shd w:val="clear" w:color="auto" w:fill="E6F4F4"/>
          </w:tcPr>
          <w:p>
            <w:pPr>
              <w:jc w:val="left"/>
            </w:pPr>
            <w:r>
              <w:rPr>
                <w:b/>
                <w:color w:val="024F4F"/>
                <w:sz w:val="18"/>
              </w:rPr>
              <w:t>SLA</w:t>
            </w:r>
          </w:p>
        </w:tc>
        <w:tc>
          <w:tcPr>
            <w:tcW w:type="dxa" w:w="7056"/>
          </w:tcPr>
          <w:p>
            <w:pPr>
              <w:jc w:val="left"/>
            </w:pPr>
            <w:r>
              <w:rPr>
                <w:b w:val="0"/>
                <w:sz w:val="18"/>
              </w:rPr>
              <w:t>Decision issued within 1 business day of Credit Assessment Report submission</w:t>
            </w:r>
          </w:p>
        </w:tc>
      </w:tr>
      <w:tr>
        <w:tc>
          <w:tcPr>
            <w:tcW w:type="dxa" w:w="2304"/>
            <w:shd w:val="clear" w:color="auto" w:fill="E6F4F4"/>
          </w:tcPr>
          <w:p>
            <w:pPr>
              <w:jc w:val="left"/>
            </w:pPr>
            <w:r>
              <w:rPr>
                <w:b/>
                <w:color w:val="024F4F"/>
                <w:sz w:val="18"/>
              </w:rPr>
              <w:t>Escalation</w:t>
            </w:r>
          </w:p>
        </w:tc>
        <w:tc>
          <w:tcPr>
            <w:tcW w:type="dxa" w:w="7056"/>
          </w:tcPr>
          <w:p>
            <w:pPr>
              <w:jc w:val="left"/>
            </w:pPr>
            <w:r>
              <w:rPr>
                <w:b w:val="0"/>
                <w:sz w:val="18"/>
              </w:rPr>
              <w:t>Branch Manager must escalate any application exceeding 2 business days without a decision</w:t>
            </w:r>
          </w:p>
        </w:tc>
      </w:tr>
    </w:tbl>
    <w:p/>
    <w:p>
      <w:pPr>
        <w:spacing w:after="80"/>
      </w:pPr>
      <w:r>
        <w:rPr>
          <w:color w:val="1F2D2D"/>
          <w:sz w:val="19"/>
        </w:rPr>
        <w:t>The Credit Committee reviews the Credit Assessment Report and issues a sanctioning decision: Approved, Conditionally Approved, or Declined.</w:t>
      </w:r>
    </w:p>
    <w:p>
      <w:pPr>
        <w:spacing w:after="80"/>
      </w:pPr>
      <w:r>
        <w:rPr>
          <w:color w:val="1F2D2D"/>
          <w:sz w:val="19"/>
        </w:rPr>
        <w:t>The 1 business day SLA is mandatory. Branch Managers are required to monitor sanctioning queue status daily via the LoanIQ dashboard and initiate escalation to the Credit Committee for any application that has not received a decision within 2 business days.</w:t>
      </w:r>
    </w:p>
    <w:p>
      <w:pPr>
        <w:spacing w:after="80"/>
      </w:pPr>
      <w:r>
        <w:rPr>
          <w:color w:val="1F2D2D"/>
          <w:sz w:val="19"/>
        </w:rPr>
        <w:t>If the Credit Committee does not convene within the escalation window, the Branch Manager must notify the Head of Commercial Banking.</w:t>
      </w:r>
    </w:p>
    <w:p>
      <w:pPr>
        <w:spacing w:before="200" w:after="40"/>
      </w:pPr>
      <w:r>
        <w:rPr>
          <w:b/>
          <w:color w:val="036868"/>
          <w:sz w:val="20"/>
        </w:rPr>
        <w:t>3.8  Stage 8 — Commitment Letter Issuance</w:t>
      </w:r>
    </w:p>
    <w:tbl>
      <w:tblPr>
        <w:tblStyle w:val="TableGrid"/>
        <w:tblW w:type="auto" w:w="0"/>
        <w:tblLook w:firstColumn="1" w:firstRow="1" w:lastColumn="0" w:lastRow="0" w:noHBand="0" w:noVBand="1" w:val="04A0"/>
      </w:tblPr>
      <w:tblGrid>
        <w:gridCol w:w="4873"/>
        <w:gridCol w:w="4873"/>
      </w:tblGrid>
      <w:tr>
        <w:tc>
          <w:tcPr>
            <w:tcW w:type="dxa" w:w="2304"/>
            <w:shd w:val="clear" w:color="auto" w:fill="E6F4F4"/>
          </w:tcPr>
          <w:p>
            <w:pPr>
              <w:jc w:val="left"/>
            </w:pPr>
            <w:r>
              <w:rPr>
                <w:b/>
                <w:color w:val="024F4F"/>
                <w:sz w:val="18"/>
              </w:rPr>
              <w:t>Responsible Role</w:t>
            </w:r>
          </w:p>
        </w:tc>
        <w:tc>
          <w:tcPr>
            <w:tcW w:type="dxa" w:w="7056"/>
          </w:tcPr>
          <w:p>
            <w:pPr>
              <w:jc w:val="left"/>
            </w:pPr>
            <w:r>
              <w:rPr>
                <w:b w:val="0"/>
                <w:sz w:val="18"/>
              </w:rPr>
              <w:t>Branch Manager</w:t>
            </w:r>
          </w:p>
        </w:tc>
      </w:tr>
      <w:tr>
        <w:tc>
          <w:tcPr>
            <w:tcW w:type="dxa" w:w="2304"/>
            <w:shd w:val="clear" w:color="auto" w:fill="E6F4F4"/>
          </w:tcPr>
          <w:p>
            <w:pPr>
              <w:jc w:val="left"/>
            </w:pPr>
            <w:r>
              <w:rPr>
                <w:b/>
                <w:color w:val="024F4F"/>
                <w:sz w:val="18"/>
              </w:rPr>
              <w:t>System of Record</w:t>
            </w:r>
          </w:p>
        </w:tc>
        <w:tc>
          <w:tcPr>
            <w:tcW w:type="dxa" w:w="7056"/>
          </w:tcPr>
          <w:p>
            <w:pPr>
              <w:jc w:val="left"/>
            </w:pPr>
            <w:r>
              <w:rPr>
                <w:b w:val="0"/>
                <w:sz w:val="18"/>
              </w:rPr>
              <w:t>Document Management System</w:t>
            </w:r>
          </w:p>
        </w:tc>
      </w:tr>
      <w:tr>
        <w:tc>
          <w:tcPr>
            <w:tcW w:type="dxa" w:w="2304"/>
            <w:shd w:val="clear" w:color="auto" w:fill="E6F4F4"/>
          </w:tcPr>
          <w:p>
            <w:pPr>
              <w:jc w:val="left"/>
            </w:pPr>
            <w:r>
              <w:rPr>
                <w:b/>
                <w:color w:val="024F4F"/>
                <w:sz w:val="18"/>
              </w:rPr>
              <w:t>SLA</w:t>
            </w:r>
          </w:p>
        </w:tc>
        <w:tc>
          <w:tcPr>
            <w:tcW w:type="dxa" w:w="7056"/>
          </w:tcPr>
          <w:p>
            <w:pPr>
              <w:jc w:val="left"/>
            </w:pPr>
            <w:r>
              <w:rPr>
                <w:b w:val="0"/>
                <w:sz w:val="18"/>
              </w:rPr>
              <w:t>Issued within 1 business day of sanctioning approval</w:t>
            </w:r>
          </w:p>
        </w:tc>
      </w:tr>
      <w:tr>
        <w:tc>
          <w:tcPr>
            <w:tcW w:type="dxa" w:w="2304"/>
            <w:shd w:val="clear" w:color="auto" w:fill="E6F4F4"/>
          </w:tcPr>
          <w:p>
            <w:pPr>
              <w:jc w:val="left"/>
            </w:pPr>
            <w:r>
              <w:rPr>
                <w:b/>
                <w:color w:val="024F4F"/>
                <w:sz w:val="18"/>
              </w:rPr>
              <w:t>Gate</w:t>
            </w:r>
          </w:p>
        </w:tc>
        <w:tc>
          <w:tcPr>
            <w:tcW w:type="dxa" w:w="7056"/>
          </w:tcPr>
          <w:p>
            <w:pPr>
              <w:jc w:val="left"/>
            </w:pPr>
            <w:r>
              <w:rPr>
                <w:b w:val="0"/>
                <w:sz w:val="18"/>
              </w:rPr>
              <w:t>Sanctioning decision must be Approved or Conditionally Approved</w:t>
            </w:r>
          </w:p>
        </w:tc>
      </w:tr>
    </w:tbl>
    <w:p/>
    <w:p>
      <w:pPr>
        <w:spacing w:after="80"/>
      </w:pPr>
      <w:r>
        <w:rPr>
          <w:color w:val="1F2D2D"/>
          <w:sz w:val="19"/>
        </w:rPr>
        <w:t>Upon receipt of an Approved or Conditionally Approved sanctioning decision from the Credit Committee, the Branch Manager issues the formal Commitment Letter to the customer. The letter must include all approved terms, conditions, fee disclosures, and expiry date.</w:t>
      </w:r>
    </w:p>
    <w:p>
      <w:pPr>
        <w:spacing w:after="80"/>
      </w:pPr>
      <w:r>
        <w:rPr>
          <w:color w:val="1F2D2D"/>
          <w:sz w:val="19"/>
        </w:rPr>
        <w:t>The Branch Manager is the sole signatory for Commitment Letters. Letters must be filed in the Document Management System and linked to the application in LoanIQ.</w:t>
      </w:r>
    </w:p>
    <w:p>
      <w:pPr>
        <w:spacing w:before="280" w:after="80"/>
      </w:pPr>
      <w:r>
        <w:rPr>
          <w:b/>
          <w:color w:val="024F4F"/>
          <w:sz w:val="22"/>
        </w:rPr>
        <w:t>4.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036868"/>
          </w:tcPr>
          <w:p>
            <w:pPr>
              <w:jc w:val="left"/>
            </w:pPr>
            <w:r>
              <w:rPr>
                <w:b/>
                <w:color w:val="FFFFFF"/>
                <w:sz w:val="18"/>
              </w:rPr>
              <w:t>Role</w:t>
            </w:r>
          </w:p>
        </w:tc>
        <w:tc>
          <w:tcPr>
            <w:tcW w:type="dxa" w:w="4873"/>
            <w:shd w:val="clear" w:color="auto" w:fill="036868"/>
          </w:tcPr>
          <w:p>
            <w:pPr>
              <w:jc w:val="left"/>
            </w:pPr>
            <w:r>
              <w:rPr>
                <w:b/>
                <w:color w:val="FFFFFF"/>
                <w:sz w:val="18"/>
              </w:rPr>
              <w:t>Responsibilities</w:t>
            </w:r>
          </w:p>
        </w:tc>
      </w:tr>
      <w:tr>
        <w:tc>
          <w:tcPr>
            <w:tcW w:type="dxa" w:w="4873"/>
            <w:shd w:val="clear" w:color="auto" w:fill="F0FAFA"/>
          </w:tcPr>
          <w:p>
            <w:pPr>
              <w:jc w:val="left"/>
            </w:pPr>
            <w:r>
              <w:rPr>
                <w:b/>
                <w:color w:val="024F4F"/>
                <w:sz w:val="18"/>
              </w:rPr>
              <w:t>Loan Processing Officer</w:t>
            </w:r>
          </w:p>
        </w:tc>
        <w:tc>
          <w:tcPr>
            <w:tcW w:type="dxa" w:w="4873"/>
            <w:shd w:val="clear" w:color="auto" w:fill="F0FAFA"/>
          </w:tcPr>
          <w:p>
            <w:pPr>
              <w:jc w:val="left"/>
            </w:pPr>
            <w:r>
              <w:rPr>
                <w:b w:val="0"/>
                <w:sz w:val="18"/>
              </w:rPr>
              <w:t>Stages 1, 2, 3, 5 — initiates AML screening, pulls bureau reports, collects and uploads documents, engages appraisal vendors</w:t>
            </w:r>
          </w:p>
        </w:tc>
      </w:tr>
      <w:tr>
        <w:tc>
          <w:tcPr>
            <w:tcW w:type="dxa" w:w="4873"/>
            <w:shd w:val="clear" w:color="auto" w:fill="FFFFFF"/>
          </w:tcPr>
          <w:p>
            <w:pPr>
              <w:jc w:val="left"/>
            </w:pPr>
            <w:r>
              <w:rPr>
                <w:b/>
                <w:color w:val="024F4F"/>
                <w:sz w:val="18"/>
              </w:rPr>
              <w:t>Credit Analyst</w:t>
            </w:r>
          </w:p>
        </w:tc>
        <w:tc>
          <w:tcPr>
            <w:tcW w:type="dxa" w:w="4873"/>
            <w:shd w:val="clear" w:color="auto" w:fill="FFFFFF"/>
          </w:tcPr>
          <w:p>
            <w:pPr>
              <w:jc w:val="left"/>
            </w:pPr>
            <w:r>
              <w:rPr>
                <w:b w:val="0"/>
                <w:sz w:val="18"/>
              </w:rPr>
              <w:t>Stages 4, 6 — certifies DTI calculations, conducts standard credit assessments</w:t>
            </w:r>
          </w:p>
        </w:tc>
      </w:tr>
      <w:tr>
        <w:tc>
          <w:tcPr>
            <w:tcW w:type="dxa" w:w="4873"/>
            <w:shd w:val="clear" w:color="auto" w:fill="F0FAFA"/>
          </w:tcPr>
          <w:p>
            <w:pPr>
              <w:jc w:val="left"/>
            </w:pPr>
            <w:r>
              <w:rPr>
                <w:b/>
                <w:color w:val="024F4F"/>
                <w:sz w:val="18"/>
              </w:rPr>
              <w:t>Senior Underwriter</w:t>
            </w:r>
          </w:p>
        </w:tc>
        <w:tc>
          <w:tcPr>
            <w:tcW w:type="dxa" w:w="4873"/>
            <w:shd w:val="clear" w:color="auto" w:fill="F0FAFA"/>
          </w:tcPr>
          <w:p>
            <w:pPr>
              <w:jc w:val="left"/>
            </w:pPr>
            <w:r>
              <w:rPr>
                <w:b w:val="0"/>
                <w:sz w:val="18"/>
              </w:rPr>
              <w:t>Stage 6 — conducts credit assessment for high-DTI applications (DTI &gt; 43%)</w:t>
            </w:r>
          </w:p>
        </w:tc>
      </w:tr>
      <w:tr>
        <w:tc>
          <w:tcPr>
            <w:tcW w:type="dxa" w:w="4873"/>
            <w:shd w:val="clear" w:color="auto" w:fill="FFFFFF"/>
          </w:tcPr>
          <w:p>
            <w:pPr>
              <w:jc w:val="left"/>
            </w:pPr>
            <w:r>
              <w:rPr>
                <w:b/>
                <w:color w:val="024F4F"/>
                <w:sz w:val="18"/>
              </w:rPr>
              <w:t>Branch Manager</w:t>
            </w:r>
          </w:p>
        </w:tc>
        <w:tc>
          <w:tcPr>
            <w:tcW w:type="dxa" w:w="4873"/>
            <w:shd w:val="clear" w:color="auto" w:fill="FFFFFF"/>
          </w:tcPr>
          <w:p>
            <w:pPr>
              <w:jc w:val="left"/>
            </w:pPr>
            <w:r>
              <w:rPr>
                <w:b w:val="0"/>
                <w:sz w:val="18"/>
              </w:rPr>
              <w:t>Stage 3 (countersign), Stage 7 (escalation monitoring), Stage 8 (commitment letter signatory)</w:t>
            </w:r>
          </w:p>
        </w:tc>
      </w:tr>
      <w:tr>
        <w:tc>
          <w:tcPr>
            <w:tcW w:type="dxa" w:w="4873"/>
            <w:shd w:val="clear" w:color="auto" w:fill="F0FAFA"/>
          </w:tcPr>
          <w:p>
            <w:pPr>
              <w:jc w:val="left"/>
            </w:pPr>
            <w:r>
              <w:rPr>
                <w:b/>
                <w:color w:val="024F4F"/>
                <w:sz w:val="18"/>
              </w:rPr>
              <w:t>Credit Committee</w:t>
            </w:r>
          </w:p>
        </w:tc>
        <w:tc>
          <w:tcPr>
            <w:tcW w:type="dxa" w:w="4873"/>
            <w:shd w:val="clear" w:color="auto" w:fill="F0FAFA"/>
          </w:tcPr>
          <w:p>
            <w:pPr>
              <w:jc w:val="left"/>
            </w:pPr>
            <w:r>
              <w:rPr>
                <w:b w:val="0"/>
                <w:sz w:val="18"/>
              </w:rPr>
              <w:t>Stage 7 — reviews Credit Assessment Reports and issues sanctioning decisions</w:t>
            </w:r>
          </w:p>
        </w:tc>
      </w:tr>
      <w:tr>
        <w:tc>
          <w:tcPr>
            <w:tcW w:type="dxa" w:w="4873"/>
            <w:shd w:val="clear" w:color="auto" w:fill="FFFFFF"/>
          </w:tcPr>
          <w:p>
            <w:pPr>
              <w:jc w:val="left"/>
            </w:pPr>
            <w:r>
              <w:rPr>
                <w:b/>
                <w:color w:val="024F4F"/>
                <w:sz w:val="18"/>
              </w:rPr>
              <w:t>Compliance Officer</w:t>
            </w:r>
          </w:p>
        </w:tc>
        <w:tc>
          <w:tcPr>
            <w:tcW w:type="dxa" w:w="4873"/>
            <w:shd w:val="clear" w:color="auto" w:fill="FFFFFF"/>
          </w:tcPr>
          <w:p>
            <w:pPr>
              <w:jc w:val="left"/>
            </w:pPr>
            <w:r>
              <w:rPr>
                <w:b w:val="0"/>
                <w:sz w:val="18"/>
              </w:rPr>
              <w:t>AML Alert referrals, compliance breach escalations</w:t>
            </w:r>
          </w:p>
        </w:tc>
      </w:tr>
    </w:tbl>
    <w:p/>
    <w:p>
      <w:pPr>
        <w:spacing w:before="280" w:after="80"/>
      </w:pPr>
      <w:r>
        <w:rPr>
          <w:b/>
          <w:color w:val="024F4F"/>
          <w:sz w:val="22"/>
        </w:rPr>
        <w:t>5.  Systems Referenced</w:t>
      </w:r>
    </w:p>
    <w:tbl>
      <w:tblPr>
        <w:tblStyle w:val="TableGrid"/>
        <w:tblW w:type="auto" w:w="0"/>
        <w:tblLook w:firstColumn="1" w:firstRow="1" w:lastColumn="0" w:lastRow="0" w:noHBand="0" w:noVBand="1" w:val="04A0"/>
      </w:tblPr>
      <w:tblGrid>
        <w:gridCol w:w="4873"/>
        <w:gridCol w:w="4873"/>
      </w:tblGrid>
      <w:tr>
        <w:tc>
          <w:tcPr>
            <w:tcW w:type="dxa" w:w="4873"/>
            <w:shd w:val="clear" w:color="auto" w:fill="036868"/>
          </w:tcPr>
          <w:p>
            <w:pPr>
              <w:jc w:val="left"/>
            </w:pPr>
            <w:r>
              <w:rPr>
                <w:b/>
                <w:color w:val="FFFFFF"/>
                <w:sz w:val="18"/>
              </w:rPr>
              <w:t>System</w:t>
            </w:r>
          </w:p>
        </w:tc>
        <w:tc>
          <w:tcPr>
            <w:tcW w:type="dxa" w:w="4873"/>
            <w:shd w:val="clear" w:color="auto" w:fill="036868"/>
          </w:tcPr>
          <w:p>
            <w:pPr>
              <w:jc w:val="left"/>
            </w:pPr>
            <w:r>
              <w:rPr>
                <w:b/>
                <w:color w:val="FFFFFF"/>
                <w:sz w:val="18"/>
              </w:rPr>
              <w:t>Purpose</w:t>
            </w:r>
          </w:p>
        </w:tc>
      </w:tr>
      <w:tr>
        <w:tc>
          <w:tcPr>
            <w:tcW w:type="dxa" w:w="4873"/>
            <w:shd w:val="clear" w:color="auto" w:fill="F0FAFA"/>
          </w:tcPr>
          <w:p>
            <w:pPr>
              <w:jc w:val="left"/>
            </w:pPr>
            <w:r>
              <w:rPr>
                <w:b/>
                <w:color w:val="024F4F"/>
                <w:sz w:val="18"/>
              </w:rPr>
              <w:t>LoanIQ</w:t>
            </w:r>
          </w:p>
        </w:tc>
        <w:tc>
          <w:tcPr>
            <w:tcW w:type="dxa" w:w="4873"/>
            <w:shd w:val="clear" w:color="auto" w:fill="F0FAFA"/>
          </w:tcPr>
          <w:p>
            <w:pPr>
              <w:jc w:val="left"/>
            </w:pPr>
            <w:r>
              <w:rPr>
                <w:b w:val="0"/>
                <w:sz w:val="18"/>
              </w:rPr>
              <w:t>Primary loan management and origination system</w:t>
            </w:r>
          </w:p>
        </w:tc>
      </w:tr>
      <w:tr>
        <w:tc>
          <w:tcPr>
            <w:tcW w:type="dxa" w:w="4873"/>
            <w:shd w:val="clear" w:color="auto" w:fill="FFFFFF"/>
          </w:tcPr>
          <w:p>
            <w:pPr>
              <w:jc w:val="left"/>
            </w:pPr>
            <w:r>
              <w:rPr>
                <w:b/>
                <w:color w:val="024F4F"/>
                <w:sz w:val="18"/>
              </w:rPr>
              <w:t>Compliance Tracker</w:t>
            </w:r>
          </w:p>
        </w:tc>
        <w:tc>
          <w:tcPr>
            <w:tcW w:type="dxa" w:w="4873"/>
            <w:shd w:val="clear" w:color="auto" w:fill="FFFFFF"/>
          </w:tcPr>
          <w:p>
            <w:pPr>
              <w:jc w:val="left"/>
            </w:pPr>
            <w:r>
              <w:rPr>
                <w:b w:val="0"/>
                <w:sz w:val="18"/>
              </w:rPr>
              <w:t>AML screening, PEP checks, adverse media review</w:t>
            </w:r>
          </w:p>
        </w:tc>
      </w:tr>
      <w:tr>
        <w:tc>
          <w:tcPr>
            <w:tcW w:type="dxa" w:w="4873"/>
            <w:shd w:val="clear" w:color="auto" w:fill="F0FAFA"/>
          </w:tcPr>
          <w:p>
            <w:pPr>
              <w:jc w:val="left"/>
            </w:pPr>
            <w:r>
              <w:rPr>
                <w:b/>
                <w:color w:val="024F4F"/>
                <w:sz w:val="18"/>
              </w:rPr>
              <w:t>Document Management System</w:t>
            </w:r>
          </w:p>
        </w:tc>
        <w:tc>
          <w:tcPr>
            <w:tcW w:type="dxa" w:w="4873"/>
            <w:shd w:val="clear" w:color="auto" w:fill="F0FAFA"/>
          </w:tcPr>
          <w:p>
            <w:pPr>
              <w:jc w:val="left"/>
            </w:pPr>
            <w:r>
              <w:rPr>
                <w:b w:val="0"/>
                <w:sz w:val="18"/>
              </w:rPr>
              <w:t>Document storage, completeness certificates, commitment letters</w:t>
            </w:r>
          </w:p>
        </w:tc>
      </w:tr>
      <w:tr>
        <w:tc>
          <w:tcPr>
            <w:tcW w:type="dxa" w:w="4873"/>
            <w:shd w:val="clear" w:color="auto" w:fill="FFFFFF"/>
          </w:tcPr>
          <w:p>
            <w:pPr>
              <w:jc w:val="left"/>
            </w:pPr>
            <w:r>
              <w:rPr>
                <w:b/>
                <w:color w:val="024F4F"/>
                <w:sz w:val="18"/>
              </w:rPr>
              <w:t>Loan Application Worksheet</w:t>
            </w:r>
          </w:p>
        </w:tc>
        <w:tc>
          <w:tcPr>
            <w:tcW w:type="dxa" w:w="4873"/>
            <w:shd w:val="clear" w:color="auto" w:fill="FFFFFF"/>
          </w:tcPr>
          <w:p>
            <w:pPr>
              <w:jc w:val="left"/>
            </w:pPr>
            <w:r>
              <w:rPr>
                <w:b w:val="0"/>
                <w:sz w:val="18"/>
              </w:rPr>
              <w:t>DTI calculation, credit certification</w:t>
            </w:r>
          </w:p>
        </w:tc>
      </w:tr>
      <w:tr>
        <w:tc>
          <w:tcPr>
            <w:tcW w:type="dxa" w:w="4873"/>
            <w:shd w:val="clear" w:color="auto" w:fill="F0FAFA"/>
          </w:tcPr>
          <w:p>
            <w:pPr>
              <w:jc w:val="left"/>
            </w:pPr>
            <w:r>
              <w:rPr>
                <w:b/>
                <w:color w:val="024F4F"/>
                <w:sz w:val="18"/>
              </w:rPr>
              <w:t>Appraisal Management System</w:t>
            </w:r>
          </w:p>
        </w:tc>
        <w:tc>
          <w:tcPr>
            <w:tcW w:type="dxa" w:w="4873"/>
            <w:shd w:val="clear" w:color="auto" w:fill="F0FAFA"/>
          </w:tcPr>
          <w:p>
            <w:pPr>
              <w:jc w:val="left"/>
            </w:pPr>
            <w:r>
              <w:rPr>
                <w:b w:val="0"/>
                <w:sz w:val="18"/>
              </w:rPr>
              <w:t>Appraisal vendor engagement and tracking</w:t>
            </w:r>
          </w:p>
        </w:tc>
      </w:tr>
      <w:tr>
        <w:tc>
          <w:tcPr>
            <w:tcW w:type="dxa" w:w="4873"/>
            <w:shd w:val="clear" w:color="auto" w:fill="FFFFFF"/>
          </w:tcPr>
          <w:p>
            <w:pPr>
              <w:jc w:val="left"/>
            </w:pPr>
            <w:r>
              <w:rPr>
                <w:b/>
                <w:color w:val="024F4F"/>
                <w:sz w:val="18"/>
              </w:rPr>
              <w:t>Credit Committee System</w:t>
            </w:r>
          </w:p>
        </w:tc>
        <w:tc>
          <w:tcPr>
            <w:tcW w:type="dxa" w:w="4873"/>
            <w:shd w:val="clear" w:color="auto" w:fill="FFFFFF"/>
          </w:tcPr>
          <w:p>
            <w:pPr>
              <w:jc w:val="left"/>
            </w:pPr>
            <w:r>
              <w:rPr>
                <w:b w:val="0"/>
                <w:sz w:val="18"/>
              </w:rPr>
              <w:t>Sanctioning workflow and decision recording</w:t>
            </w:r>
          </w:p>
        </w:tc>
      </w:tr>
    </w:tbl>
    <w:p/>
    <w:p>
      <w:pPr>
        <w:spacing w:before="280" w:after="80"/>
      </w:pPr>
      <w:r>
        <w:rPr>
          <w:b/>
          <w:color w:val="024F4F"/>
          <w:sz w:val="22"/>
        </w:rPr>
        <w:t>6.  Key Policies and Compliance References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36868"/>
          </w:tcPr>
          <w:p>
            <w:pPr>
              <w:jc w:val="left"/>
            </w:pPr>
            <w:r>
              <w:rPr>
                <w:b/>
                <w:color w:val="FFFFFF"/>
                <w:sz w:val="18"/>
              </w:rPr>
              <w:t>Policy Ref</w:t>
            </w:r>
          </w:p>
        </w:tc>
        <w:tc>
          <w:tcPr>
            <w:tcW w:type="dxa" w:w="3249"/>
            <w:shd w:val="clear" w:color="auto" w:fill="036868"/>
          </w:tcPr>
          <w:p>
            <w:pPr>
              <w:jc w:val="left"/>
            </w:pPr>
            <w:r>
              <w:rPr>
                <w:b/>
                <w:color w:val="FFFFFF"/>
                <w:sz w:val="18"/>
              </w:rPr>
              <w:t>Policy Name</w:t>
            </w:r>
          </w:p>
        </w:tc>
        <w:tc>
          <w:tcPr>
            <w:tcW w:type="dxa" w:w="3249"/>
            <w:shd w:val="clear" w:color="auto" w:fill="036868"/>
          </w:tcPr>
          <w:p>
            <w:pPr>
              <w:jc w:val="left"/>
            </w:pPr>
            <w:r>
              <w:rPr>
                <w:b/>
                <w:color w:val="FFFFFF"/>
                <w:sz w:val="18"/>
              </w:rPr>
              <w:t>Requirement</w:t>
            </w:r>
          </w:p>
        </w:tc>
      </w:tr>
      <w:tr>
        <w:tc>
          <w:tcPr>
            <w:tcW w:type="dxa" w:w="3249"/>
            <w:shd w:val="clear" w:color="auto" w:fill="F0FAFA"/>
          </w:tcPr>
          <w:p>
            <w:pPr>
              <w:jc w:val="left"/>
            </w:pPr>
            <w:r>
              <w:rPr>
                <w:b/>
                <w:color w:val="024F4F"/>
                <w:sz w:val="18"/>
              </w:rPr>
              <w:t>POL-AML-001</w:t>
            </w:r>
          </w:p>
        </w:tc>
        <w:tc>
          <w:tcPr>
            <w:tcW w:type="dxa" w:w="3249"/>
            <w:shd w:val="clear" w:color="auto" w:fill="F0FAFA"/>
          </w:tcPr>
          <w:p>
            <w:pPr>
              <w:jc w:val="left"/>
            </w:pPr>
            <w:r>
              <w:rPr>
                <w:b w:val="0"/>
                <w:sz w:val="18"/>
              </w:rPr>
              <w:t>Anti-Money Laundering Policy</w:t>
            </w:r>
          </w:p>
        </w:tc>
        <w:tc>
          <w:tcPr>
            <w:tcW w:type="dxa" w:w="3249"/>
            <w:shd w:val="clear" w:color="auto" w:fill="F0FAFA"/>
          </w:tcPr>
          <w:p>
            <w:pPr>
              <w:jc w:val="left"/>
            </w:pPr>
            <w:r>
              <w:rPr>
                <w:b w:val="0"/>
                <w:sz w:val="18"/>
              </w:rPr>
              <w:t>AML screen mandatory before credit bureau query (Section 2.3)</w:t>
            </w:r>
          </w:p>
        </w:tc>
      </w:tr>
      <w:tr>
        <w:tc>
          <w:tcPr>
            <w:tcW w:type="dxa" w:w="3249"/>
            <w:shd w:val="clear" w:color="auto" w:fill="FFFFFF"/>
          </w:tcPr>
          <w:p>
            <w:pPr>
              <w:jc w:val="left"/>
            </w:pPr>
            <w:r>
              <w:rPr>
                <w:b/>
                <w:color w:val="024F4F"/>
                <w:sz w:val="18"/>
              </w:rPr>
              <w:t>POL-DOC-002</w:t>
            </w:r>
          </w:p>
        </w:tc>
        <w:tc>
          <w:tcPr>
            <w:tcW w:type="dxa" w:w="3249"/>
            <w:shd w:val="clear" w:color="auto" w:fill="FFFFFF"/>
          </w:tcPr>
          <w:p>
            <w:pPr>
              <w:jc w:val="left"/>
            </w:pPr>
            <w:r>
              <w:rPr>
                <w:b w:val="0"/>
                <w:sz w:val="18"/>
              </w:rPr>
              <w:t>Document Completeness Policy</w:t>
            </w:r>
          </w:p>
        </w:tc>
        <w:tc>
          <w:tcPr>
            <w:tcW w:type="dxa" w:w="3249"/>
            <w:shd w:val="clear" w:color="auto" w:fill="FFFFFF"/>
          </w:tcPr>
          <w:p>
            <w:pPr>
              <w:jc w:val="left"/>
            </w:pPr>
            <w:r>
              <w:rPr>
                <w:b w:val="0"/>
                <w:sz w:val="18"/>
              </w:rPr>
              <w:t>Certificate required before appraisal instruction (Section 3.1)</w:t>
            </w:r>
          </w:p>
        </w:tc>
      </w:tr>
      <w:tr>
        <w:tc>
          <w:tcPr>
            <w:tcW w:type="dxa" w:w="3249"/>
            <w:shd w:val="clear" w:color="auto" w:fill="F0FAFA"/>
          </w:tcPr>
          <w:p>
            <w:pPr>
              <w:jc w:val="left"/>
            </w:pPr>
            <w:r>
              <w:rPr>
                <w:b/>
                <w:color w:val="024F4F"/>
                <w:sz w:val="18"/>
              </w:rPr>
              <w:t>POL-CRED-003</w:t>
            </w:r>
          </w:p>
        </w:tc>
        <w:tc>
          <w:tcPr>
            <w:tcW w:type="dxa" w:w="3249"/>
            <w:shd w:val="clear" w:color="auto" w:fill="F0FAFA"/>
          </w:tcPr>
          <w:p>
            <w:pPr>
              <w:jc w:val="left"/>
            </w:pPr>
            <w:r>
              <w:rPr>
                <w:b w:val="0"/>
                <w:sz w:val="18"/>
              </w:rPr>
              <w:t>DTI Certification Policy</w:t>
            </w:r>
          </w:p>
        </w:tc>
        <w:tc>
          <w:tcPr>
            <w:tcW w:type="dxa" w:w="3249"/>
            <w:shd w:val="clear" w:color="auto" w:fill="F0FAFA"/>
          </w:tcPr>
          <w:p>
            <w:pPr>
              <w:jc w:val="left"/>
            </w:pPr>
            <w:r>
              <w:rPr>
                <w:b w:val="0"/>
                <w:sz w:val="18"/>
              </w:rPr>
              <w:t>Credit Analyst sign-off only (Section 4.1)</w:t>
            </w:r>
          </w:p>
        </w:tc>
      </w:tr>
      <w:tr>
        <w:tc>
          <w:tcPr>
            <w:tcW w:type="dxa" w:w="3249"/>
            <w:shd w:val="clear" w:color="auto" w:fill="FFFFFF"/>
          </w:tcPr>
          <w:p>
            <w:pPr>
              <w:jc w:val="left"/>
            </w:pPr>
            <w:r>
              <w:rPr>
                <w:b/>
                <w:color w:val="024F4F"/>
                <w:sz w:val="18"/>
              </w:rPr>
              <w:t>POL-SANC-004</w:t>
            </w:r>
          </w:p>
        </w:tc>
        <w:tc>
          <w:tcPr>
            <w:tcW w:type="dxa" w:w="3249"/>
            <w:shd w:val="clear" w:color="auto" w:fill="FFFFFF"/>
          </w:tcPr>
          <w:p>
            <w:pPr>
              <w:jc w:val="left"/>
            </w:pPr>
            <w:r>
              <w:rPr>
                <w:b w:val="0"/>
                <w:sz w:val="18"/>
              </w:rPr>
              <w:t>Sanctioning Timeline Policy</w:t>
            </w:r>
          </w:p>
        </w:tc>
        <w:tc>
          <w:tcPr>
            <w:tcW w:type="dxa" w:w="3249"/>
            <w:shd w:val="clear" w:color="auto" w:fill="FFFFFF"/>
          </w:tcPr>
          <w:p>
            <w:pPr>
              <w:jc w:val="left"/>
            </w:pPr>
            <w:r>
              <w:rPr>
                <w:b w:val="0"/>
                <w:sz w:val="18"/>
              </w:rPr>
              <w:t>1 business day SLA (Section 5.2)</w:t>
            </w:r>
          </w:p>
        </w:tc>
      </w:tr>
      <w:tr>
        <w:tc>
          <w:tcPr>
            <w:tcW w:type="dxa" w:w="3249"/>
            <w:shd w:val="clear" w:color="auto" w:fill="F0FAFA"/>
          </w:tcPr>
          <w:p>
            <w:pPr>
              <w:jc w:val="left"/>
            </w:pPr>
            <w:r>
              <w:rPr>
                <w:b/>
                <w:color w:val="024F4F"/>
                <w:sz w:val="18"/>
              </w:rPr>
              <w:t>POL-COMP-005</w:t>
            </w:r>
          </w:p>
        </w:tc>
        <w:tc>
          <w:tcPr>
            <w:tcW w:type="dxa" w:w="3249"/>
            <w:shd w:val="clear" w:color="auto" w:fill="F0FAFA"/>
          </w:tcPr>
          <w:p>
            <w:pPr>
              <w:jc w:val="left"/>
            </w:pPr>
            <w:r>
              <w:rPr>
                <w:b w:val="0"/>
                <w:sz w:val="18"/>
              </w:rPr>
              <w:t>Document Upload SLA Policy</w:t>
            </w:r>
          </w:p>
        </w:tc>
        <w:tc>
          <w:tcPr>
            <w:tcW w:type="dxa" w:w="3249"/>
            <w:shd w:val="clear" w:color="auto" w:fill="F0FAFA"/>
          </w:tcPr>
          <w:p>
            <w:pPr>
              <w:jc w:val="left"/>
            </w:pPr>
            <w:r>
              <w:rPr>
                <w:b w:val="0"/>
                <w:sz w:val="18"/>
              </w:rPr>
              <w:t>80% of applications within 48 hours (Section 2.1)</w:t>
            </w:r>
          </w:p>
        </w:tc>
      </w:tr>
    </w:tbl>
    <w:p/>
    <w:p>
      <w:pPr>
        <w:spacing w:before="280" w:after="80"/>
      </w:pPr>
      <w:r>
        <w:rPr>
          <w:b/>
          <w:color w:val="024F4F"/>
          <w:sz w:val="22"/>
        </w:rPr>
        <w:t>7.  SLA Summary</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36868"/>
          </w:tcPr>
          <w:p>
            <w:pPr>
              <w:jc w:val="left"/>
            </w:pPr>
            <w:r>
              <w:rPr>
                <w:b/>
                <w:color w:val="FFFFFF"/>
                <w:sz w:val="18"/>
              </w:rPr>
              <w:t>Stage / Activity</w:t>
            </w:r>
          </w:p>
        </w:tc>
        <w:tc>
          <w:tcPr>
            <w:tcW w:type="dxa" w:w="3249"/>
            <w:shd w:val="clear" w:color="auto" w:fill="036868"/>
          </w:tcPr>
          <w:p>
            <w:pPr>
              <w:jc w:val="left"/>
            </w:pPr>
            <w:r>
              <w:rPr>
                <w:b/>
                <w:color w:val="FFFFFF"/>
                <w:sz w:val="18"/>
              </w:rPr>
              <w:t>Responsible Role</w:t>
            </w:r>
          </w:p>
        </w:tc>
        <w:tc>
          <w:tcPr>
            <w:tcW w:type="dxa" w:w="3249"/>
            <w:shd w:val="clear" w:color="auto" w:fill="036868"/>
          </w:tcPr>
          <w:p>
            <w:pPr>
              <w:jc w:val="left"/>
            </w:pPr>
            <w:r>
              <w:rPr>
                <w:b/>
                <w:color w:val="FFFFFF"/>
                <w:sz w:val="18"/>
              </w:rPr>
              <w:t>SLA</w:t>
            </w:r>
          </w:p>
        </w:tc>
      </w:tr>
      <w:tr>
        <w:tc>
          <w:tcPr>
            <w:tcW w:type="dxa" w:w="3249"/>
            <w:shd w:val="clear" w:color="auto" w:fill="F0FAFA"/>
          </w:tcPr>
          <w:p>
            <w:pPr>
              <w:jc w:val="left"/>
            </w:pPr>
            <w:r>
              <w:rPr>
                <w:b/>
                <w:sz w:val="18"/>
              </w:rPr>
              <w:t>AML Pre-Screening</w:t>
            </w:r>
          </w:p>
        </w:tc>
        <w:tc>
          <w:tcPr>
            <w:tcW w:type="dxa" w:w="3249"/>
            <w:shd w:val="clear" w:color="auto" w:fill="F0FAFA"/>
          </w:tcPr>
          <w:p>
            <w:pPr>
              <w:jc w:val="left"/>
            </w:pPr>
            <w:r>
              <w:rPr>
                <w:b w:val="0"/>
                <w:sz w:val="18"/>
              </w:rPr>
              <w:t>Loan Processing Officer</w:t>
            </w:r>
          </w:p>
        </w:tc>
        <w:tc>
          <w:tcPr>
            <w:tcW w:type="dxa" w:w="3249"/>
            <w:shd w:val="clear" w:color="auto" w:fill="F0FAFA"/>
          </w:tcPr>
          <w:p>
            <w:pPr>
              <w:jc w:val="left"/>
            </w:pPr>
            <w:r>
              <w:rPr>
                <w:b w:val="0"/>
                <w:sz w:val="18"/>
              </w:rPr>
              <w:t>4 business hours</w:t>
            </w:r>
          </w:p>
        </w:tc>
      </w:tr>
      <w:tr>
        <w:tc>
          <w:tcPr>
            <w:tcW w:type="dxa" w:w="3249"/>
            <w:shd w:val="clear" w:color="auto" w:fill="FFFFFF"/>
          </w:tcPr>
          <w:p>
            <w:pPr>
              <w:jc w:val="left"/>
            </w:pPr>
            <w:r>
              <w:rPr>
                <w:b/>
                <w:sz w:val="18"/>
              </w:rPr>
              <w:t>Credit Bureau Pull</w:t>
            </w:r>
          </w:p>
        </w:tc>
        <w:tc>
          <w:tcPr>
            <w:tcW w:type="dxa" w:w="3249"/>
            <w:shd w:val="clear" w:color="auto" w:fill="FFFFFF"/>
          </w:tcPr>
          <w:p>
            <w:pPr>
              <w:jc w:val="left"/>
            </w:pPr>
            <w:r>
              <w:rPr>
                <w:b w:val="0"/>
                <w:sz w:val="18"/>
              </w:rPr>
              <w:t>Loan Processing Officer</w:t>
            </w:r>
          </w:p>
        </w:tc>
        <w:tc>
          <w:tcPr>
            <w:tcW w:type="dxa" w:w="3249"/>
            <w:shd w:val="clear" w:color="auto" w:fill="FFFFFF"/>
          </w:tcPr>
          <w:p>
            <w:pPr>
              <w:jc w:val="left"/>
            </w:pPr>
            <w:r>
              <w:rPr>
                <w:b w:val="0"/>
                <w:sz w:val="18"/>
              </w:rPr>
              <w:t>1 business day</w:t>
            </w:r>
          </w:p>
        </w:tc>
      </w:tr>
      <w:tr>
        <w:tc>
          <w:tcPr>
            <w:tcW w:type="dxa" w:w="3249"/>
            <w:shd w:val="clear" w:color="auto" w:fill="F0FAFA"/>
          </w:tcPr>
          <w:p>
            <w:pPr>
              <w:jc w:val="left"/>
            </w:pPr>
            <w:r>
              <w:rPr>
                <w:b/>
                <w:sz w:val="18"/>
              </w:rPr>
              <w:t>Document Upload</w:t>
            </w:r>
          </w:p>
        </w:tc>
        <w:tc>
          <w:tcPr>
            <w:tcW w:type="dxa" w:w="3249"/>
            <w:shd w:val="clear" w:color="auto" w:fill="F0FAFA"/>
          </w:tcPr>
          <w:p>
            <w:pPr>
              <w:jc w:val="left"/>
            </w:pPr>
            <w:r>
              <w:rPr>
                <w:b w:val="0"/>
                <w:sz w:val="18"/>
              </w:rPr>
              <w:t>Loan Processing Officer</w:t>
            </w:r>
          </w:p>
        </w:tc>
        <w:tc>
          <w:tcPr>
            <w:tcW w:type="dxa" w:w="3249"/>
            <w:shd w:val="clear" w:color="auto" w:fill="F0FAFA"/>
          </w:tcPr>
          <w:p>
            <w:pPr>
              <w:jc w:val="left"/>
            </w:pPr>
            <w:r>
              <w:rPr>
                <w:b w:val="0"/>
                <w:sz w:val="18"/>
              </w:rPr>
              <w:t>48 hours (80% threshold)</w:t>
            </w:r>
          </w:p>
        </w:tc>
      </w:tr>
      <w:tr>
        <w:tc>
          <w:tcPr>
            <w:tcW w:type="dxa" w:w="3249"/>
            <w:shd w:val="clear" w:color="auto" w:fill="FFFFFF"/>
          </w:tcPr>
          <w:p>
            <w:pPr>
              <w:jc w:val="left"/>
            </w:pPr>
            <w:r>
              <w:rPr>
                <w:b/>
                <w:sz w:val="18"/>
              </w:rPr>
              <w:t>DTI Calculation</w:t>
            </w:r>
          </w:p>
        </w:tc>
        <w:tc>
          <w:tcPr>
            <w:tcW w:type="dxa" w:w="3249"/>
            <w:shd w:val="clear" w:color="auto" w:fill="FFFFFF"/>
          </w:tcPr>
          <w:p>
            <w:pPr>
              <w:jc w:val="left"/>
            </w:pPr>
            <w:r>
              <w:rPr>
                <w:b w:val="0"/>
                <w:sz w:val="18"/>
              </w:rPr>
              <w:t>Credit Analyst</w:t>
            </w:r>
          </w:p>
        </w:tc>
        <w:tc>
          <w:tcPr>
            <w:tcW w:type="dxa" w:w="3249"/>
            <w:shd w:val="clear" w:color="auto" w:fill="FFFFFF"/>
          </w:tcPr>
          <w:p>
            <w:pPr>
              <w:jc w:val="left"/>
            </w:pPr>
            <w:r>
              <w:rPr>
                <w:b w:val="0"/>
                <w:sz w:val="18"/>
              </w:rPr>
              <w:t>1 business day</w:t>
            </w:r>
          </w:p>
        </w:tc>
      </w:tr>
      <w:tr>
        <w:tc>
          <w:tcPr>
            <w:tcW w:type="dxa" w:w="3249"/>
            <w:shd w:val="clear" w:color="auto" w:fill="F0FAFA"/>
          </w:tcPr>
          <w:p>
            <w:pPr>
              <w:jc w:val="left"/>
            </w:pPr>
            <w:r>
              <w:rPr>
                <w:b/>
                <w:sz w:val="18"/>
              </w:rPr>
              <w:t>Property Appraisal Report</w:t>
            </w:r>
          </w:p>
        </w:tc>
        <w:tc>
          <w:tcPr>
            <w:tcW w:type="dxa" w:w="3249"/>
            <w:shd w:val="clear" w:color="auto" w:fill="F0FAFA"/>
          </w:tcPr>
          <w:p>
            <w:pPr>
              <w:jc w:val="left"/>
            </w:pPr>
            <w:r>
              <w:rPr>
                <w:b w:val="0"/>
                <w:sz w:val="18"/>
              </w:rPr>
              <w:t>Appraisal Vendor</w:t>
            </w:r>
          </w:p>
        </w:tc>
        <w:tc>
          <w:tcPr>
            <w:tcW w:type="dxa" w:w="3249"/>
            <w:shd w:val="clear" w:color="auto" w:fill="F0FAFA"/>
          </w:tcPr>
          <w:p>
            <w:pPr>
              <w:jc w:val="left"/>
            </w:pPr>
            <w:r>
              <w:rPr>
                <w:b w:val="0"/>
                <w:sz w:val="18"/>
              </w:rPr>
              <w:t>5 business days</w:t>
            </w:r>
          </w:p>
        </w:tc>
      </w:tr>
      <w:tr>
        <w:tc>
          <w:tcPr>
            <w:tcW w:type="dxa" w:w="3249"/>
            <w:shd w:val="clear" w:color="auto" w:fill="FFFFFF"/>
          </w:tcPr>
          <w:p>
            <w:pPr>
              <w:jc w:val="left"/>
            </w:pPr>
            <w:r>
              <w:rPr>
                <w:b/>
                <w:sz w:val="18"/>
              </w:rPr>
              <w:t>Credit Assessment</w:t>
            </w:r>
          </w:p>
        </w:tc>
        <w:tc>
          <w:tcPr>
            <w:tcW w:type="dxa" w:w="3249"/>
            <w:shd w:val="clear" w:color="auto" w:fill="FFFFFF"/>
          </w:tcPr>
          <w:p>
            <w:pPr>
              <w:jc w:val="left"/>
            </w:pPr>
            <w:r>
              <w:rPr>
                <w:b w:val="0"/>
                <w:sz w:val="18"/>
              </w:rPr>
              <w:t>Credit Analyst / Senior Underwriter</w:t>
            </w:r>
          </w:p>
        </w:tc>
        <w:tc>
          <w:tcPr>
            <w:tcW w:type="dxa" w:w="3249"/>
            <w:shd w:val="clear" w:color="auto" w:fill="FFFFFF"/>
          </w:tcPr>
          <w:p>
            <w:pPr>
              <w:jc w:val="left"/>
            </w:pPr>
            <w:r>
              <w:rPr>
                <w:b w:val="0"/>
                <w:sz w:val="18"/>
              </w:rPr>
              <w:t>2 business days</w:t>
            </w:r>
          </w:p>
        </w:tc>
      </w:tr>
      <w:tr>
        <w:tc>
          <w:tcPr>
            <w:tcW w:type="dxa" w:w="3249"/>
            <w:shd w:val="clear" w:color="auto" w:fill="F0FAFA"/>
          </w:tcPr>
          <w:p>
            <w:pPr>
              <w:jc w:val="left"/>
            </w:pPr>
            <w:r>
              <w:rPr>
                <w:b/>
                <w:sz w:val="18"/>
              </w:rPr>
              <w:t>Sanctioning Decision</w:t>
            </w:r>
          </w:p>
        </w:tc>
        <w:tc>
          <w:tcPr>
            <w:tcW w:type="dxa" w:w="3249"/>
            <w:shd w:val="clear" w:color="auto" w:fill="F0FAFA"/>
          </w:tcPr>
          <w:p>
            <w:pPr>
              <w:jc w:val="left"/>
            </w:pPr>
            <w:r>
              <w:rPr>
                <w:b w:val="0"/>
                <w:sz w:val="18"/>
              </w:rPr>
              <w:t>Credit Committee</w:t>
            </w:r>
          </w:p>
        </w:tc>
        <w:tc>
          <w:tcPr>
            <w:tcW w:type="dxa" w:w="3249"/>
            <w:shd w:val="clear" w:color="auto" w:fill="F0FAFA"/>
          </w:tcPr>
          <w:p>
            <w:pPr>
              <w:jc w:val="left"/>
            </w:pPr>
            <w:r>
              <w:rPr>
                <w:b w:val="0"/>
                <w:sz w:val="18"/>
              </w:rPr>
              <w:t>1 business day</w:t>
            </w:r>
          </w:p>
        </w:tc>
      </w:tr>
      <w:tr>
        <w:tc>
          <w:tcPr>
            <w:tcW w:type="dxa" w:w="3249"/>
            <w:shd w:val="clear" w:color="auto" w:fill="FFFFFF"/>
          </w:tcPr>
          <w:p>
            <w:pPr>
              <w:jc w:val="left"/>
            </w:pPr>
            <w:r>
              <w:rPr>
                <w:b/>
                <w:sz w:val="18"/>
              </w:rPr>
              <w:t>Commitment Letter</w:t>
            </w:r>
          </w:p>
        </w:tc>
        <w:tc>
          <w:tcPr>
            <w:tcW w:type="dxa" w:w="3249"/>
            <w:shd w:val="clear" w:color="auto" w:fill="FFFFFF"/>
          </w:tcPr>
          <w:p>
            <w:pPr>
              <w:jc w:val="left"/>
            </w:pPr>
            <w:r>
              <w:rPr>
                <w:b w:val="0"/>
                <w:sz w:val="18"/>
              </w:rPr>
              <w:t>Branch Manager</w:t>
            </w:r>
          </w:p>
        </w:tc>
        <w:tc>
          <w:tcPr>
            <w:tcW w:type="dxa" w:w="3249"/>
            <w:shd w:val="clear" w:color="auto" w:fill="FFFFFF"/>
          </w:tcPr>
          <w:p>
            <w:pPr>
              <w:jc w:val="left"/>
            </w:pPr>
            <w:r>
              <w:rPr>
                <w:b w:val="0"/>
                <w:sz w:val="18"/>
              </w:rPr>
              <w:t>1 business day</w:t>
            </w:r>
          </w:p>
        </w:tc>
      </w:tr>
    </w:tbl>
    <w:p/>
    <w:p/>
    <w:tbl>
      <w:tblPr>
        <w:tblStyle w:val="TableGrid"/>
        <w:tblW w:type="auto" w:w="0"/>
        <w:tblLook w:firstColumn="1" w:firstRow="1" w:lastColumn="0" w:lastRow="0" w:noHBand="0" w:noVBand="1" w:val="04A0"/>
      </w:tblPr>
      <w:tblGrid>
        <w:gridCol w:w="4873"/>
        <w:gridCol w:w="4873"/>
      </w:tblGrid>
      <w:tr>
        <w:tc>
          <w:tcPr>
            <w:tcW w:type="dxa" w:w="4873"/>
            <w:shd w:val="clear" w:color="auto" w:fill="E6F4F4"/>
          </w:tcPr>
          <w:p>
            <w:pPr>
              <w:jc w:val="left"/>
            </w:pPr>
            <w:r>
              <w:rPr>
                <w:b/>
                <w:color w:val="024F4F"/>
                <w:sz w:val="18"/>
              </w:rPr>
              <w:t>Approved by</w:t>
            </w:r>
          </w:p>
        </w:tc>
        <w:tc>
          <w:tcPr>
            <w:tcW w:type="dxa" w:w="4873"/>
          </w:tcPr>
          <w:p>
            <w:pPr>
              <w:jc w:val="left"/>
            </w:pPr>
            <w:r>
              <w:rPr>
                <w:b w:val="0"/>
                <w:sz w:val="18"/>
              </w:rPr>
              <w:t>Head of Commercial Banking</w:t>
            </w:r>
          </w:p>
        </w:tc>
      </w:tr>
      <w:tr>
        <w:tc>
          <w:tcPr>
            <w:tcW w:type="dxa" w:w="4873"/>
            <w:shd w:val="clear" w:color="auto" w:fill="E6F4F4"/>
          </w:tcPr>
          <w:p>
            <w:pPr>
              <w:jc w:val="left"/>
            </w:pPr>
            <w:r>
              <w:rPr>
                <w:b/>
                <w:color w:val="024F4F"/>
                <w:sz w:val="18"/>
              </w:rPr>
              <w:t>Reviewed by</w:t>
            </w:r>
          </w:p>
        </w:tc>
        <w:tc>
          <w:tcPr>
            <w:tcW w:type="dxa" w:w="4873"/>
          </w:tcPr>
          <w:p>
            <w:pPr>
              <w:jc w:val="left"/>
            </w:pPr>
            <w:r>
              <w:rPr>
                <w:b w:val="0"/>
                <w:sz w:val="18"/>
              </w:rPr>
              <w:t>Chief Risk Officer, Head of Compliance</w:t>
            </w:r>
          </w:p>
        </w:tc>
      </w:tr>
      <w:tr>
        <w:tc>
          <w:tcPr>
            <w:tcW w:type="dxa" w:w="4873"/>
            <w:shd w:val="clear" w:color="auto" w:fill="E6F4F4"/>
          </w:tcPr>
          <w:p>
            <w:pPr>
              <w:jc w:val="left"/>
            </w:pPr>
            <w:r>
              <w:rPr>
                <w:b/>
                <w:color w:val="024F4F"/>
                <w:sz w:val="18"/>
              </w:rPr>
              <w:t>Next Review</w:t>
            </w:r>
          </w:p>
        </w:tc>
        <w:tc>
          <w:tcPr>
            <w:tcW w:type="dxa" w:w="4873"/>
          </w:tcPr>
          <w:p>
            <w:pPr>
              <w:jc w:val="left"/>
            </w:pPr>
            <w:r>
              <w:rPr>
                <w:b w:val="0"/>
                <w:sz w:val="18"/>
              </w:rPr>
              <w:t>1 March 2025</w:t>
            </w:r>
          </w:p>
        </w:tc>
      </w:tr>
    </w:tbl>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