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360"/>
            <w:shd w:val="clear" w:color="auto" w:fill="024F4F"/>
          </w:tcPr>
          <w:p>
            <w:pPr>
              <w:jc w:val="center"/>
            </w:pPr>
            <w:r>
              <w:rPr>
                <w:b/>
                <w:color w:val="FFFFFF"/>
                <w:sz w:val="18"/>
              </w:rPr>
              <w:t>COMMERCIAL BANKING DIVISION — INTERNAL AUDIT</w:t>
            </w:r>
          </w:p>
          <w:p>
            <w:pPr>
              <w:jc w:val="center"/>
            </w:pPr>
            <w:r>
              <w:rPr>
                <w:b/>
                <w:color w:val="FFFFFF"/>
                <w:sz w:val="32"/>
              </w:rPr>
              <w:t>Loan Origination Quarterly Compliance Audit Report — Q3 2024</w:t>
            </w:r>
          </w:p>
          <w:p>
            <w:pPr>
              <w:jc w:val="center"/>
            </w:pPr>
            <w:r>
              <w:rPr>
                <w:color w:val="A7D4D4"/>
                <w:sz w:val="16"/>
              </w:rPr>
              <w:t>IA-2024-Q3-LO-007   |   Review Period: 1 Jul – 30 Sep 2024   |   Effective Issued October 2024</w:t>
            </w:r>
          </w:p>
          <w:p>
            <w:pPr>
              <w:jc w:val="center"/>
            </w:pPr>
            <w:r>
              <w:rPr>
                <w:color w:val="A7D4D4"/>
                <w:sz w:val="16"/>
              </w:rPr>
              <w:t>Owner: Internal Audit Department   |   Classification: Internal Use Only</w:t>
            </w:r>
          </w:p>
        </w:tc>
      </w:tr>
    </w:tbl>
    <w:p/>
    <w:p>
      <w:pPr>
        <w:spacing w:before="280" w:after="80"/>
      </w:pPr>
      <w:r>
        <w:rPr>
          <w:b/>
          <w:color w:val="024F4F"/>
          <w:sz w:val="22"/>
        </w:rPr>
        <w:t>1.  Executive Summary</w:t>
      </w:r>
    </w:p>
    <w:p>
      <w:pPr>
        <w:spacing w:after="80"/>
      </w:pPr>
      <w:r>
        <w:rPr>
          <w:color w:val="1F2D2D"/>
          <w:sz w:val="19"/>
        </w:rPr>
        <w:t>This report presents the findings of the Internal Audit Department's quarterly review of loan origination processes within the Commercial Banking Division. The review covered 12 loan applications processed between 1 July and 30 September 2024 across three branch locations (Downtown, Riverside, and Eastgate).</w:t>
      </w:r>
    </w:p>
    <w:p>
      <w:pPr>
        <w:spacing w:after="80"/>
      </w:pPr>
      <w:r>
        <w:rPr>
          <w:color w:val="1F2D2D"/>
          <w:sz w:val="19"/>
        </w:rPr>
        <w:t>Overall process adherence was found to be partial. While credit assessment activities and post-approval documentation were generally compliant, significant deviations from SOP v4.2 (effective March 2024) were identified in AML pre-screening sequencing, appraisal ordering protocols, sanctioning timelines, and role-specific sign-off requirements.</w:t>
      </w:r>
    </w:p>
    <w:p>
      <w:pPr>
        <w:spacing w:after="80"/>
      </w:pPr>
      <w:r>
        <w:rPr>
          <w:b/>
          <w:color w:val="DC2626"/>
          <w:sz w:val="19"/>
        </w:rPr>
        <w:t>Management attention is drawn to the AML sequencing finding, which represents a regulatory compliance risk and requires immediate remediation.</w:t>
      </w:r>
    </w:p>
    <w:p/>
    <w:p>
      <w:pPr>
        <w:spacing w:before="280" w:after="80"/>
      </w:pPr>
      <w:r>
        <w:rPr>
          <w:b/>
          <w:color w:val="024F4F"/>
          <w:sz w:val="22"/>
        </w:rPr>
        <w:t>2.  Scope and Methodology</w:t>
      </w:r>
    </w:p>
    <w:p>
      <w:pPr>
        <w:spacing w:after="80"/>
      </w:pPr>
      <w:r>
        <w:rPr>
          <w:color w:val="1F2D2D"/>
          <w:sz w:val="19"/>
        </w:rPr>
        <w:t>The audit examined loan origination files for 12 applications across the Downtown, Riverside, and Eastgate branch offices. Auditors reviewed loan origination documentation, system access logs from the LoanIQ platform, timestamps recorded in the Document Management System, Compliance Tracker entries, and approval records from the Credit Committee system.</w:t>
      </w:r>
    </w:p>
    <w:p>
      <w:pPr>
        <w:spacing w:after="80"/>
      </w:pPr>
      <w:r>
        <w:rPr>
          <w:color w:val="1F2D2D"/>
          <w:sz w:val="19"/>
        </w:rPr>
        <w:t>Each loan file was assessed against the current Loan Origination SOP version 4.2. Where timestamps were unavailable, auditors relied on document dating and system-generated activity records.</w:t>
      </w:r>
    </w:p>
    <w:p>
      <w:pPr>
        <w:spacing w:before="280" w:after="80"/>
      </w:pPr>
      <w:r>
        <w:rPr>
          <w:b/>
          <w:color w:val="024F4F"/>
          <w:sz w:val="22"/>
        </w:rPr>
        <w:t>3.  Findings</w:t>
      </w:r>
    </w:p>
    <w:p>
      <w:pPr>
        <w:spacing w:before="200" w:after="40"/>
      </w:pPr>
      <w:r>
        <w:rPr>
          <w:b/>
          <w:color w:val="036868"/>
          <w:sz w:val="20"/>
        </w:rPr>
        <w:t>3.1  Credit Bureau Pull</w:t>
      </w:r>
    </w:p>
    <w:p>
      <w:pPr>
        <w:spacing w:after="80"/>
      </w:pPr>
      <w:r>
        <w:rPr>
          <w:b/>
          <w:sz w:val="18"/>
        </w:rPr>
        <w:t xml:space="preserve">Status: </w:t>
      </w:r>
      <w:r>
        <w:rPr>
          <w:b/>
          <w:color w:val="16A34A"/>
          <w:sz w:val="18"/>
        </w:rPr>
        <w:t xml:space="preserve">  COMPLIANT  </w:t>
      </w:r>
    </w:p>
    <w:p>
      <w:pPr>
        <w:spacing w:after="80"/>
      </w:pPr>
      <w:r>
        <w:rPr>
          <w:color w:val="1F2D2D"/>
          <w:sz w:val="19"/>
        </w:rPr>
        <w:t>Credit bureau enquiries (Experian and TransUnion dual pull) were completed and formally documented for all 12 reviewed applications prior to the commencement of credit analysis. No exceptions were noted. Bureau reports were filed within the designated folder structure in the Document Management System in all cases.</w:t>
      </w:r>
    </w:p>
    <w:p>
      <w:pPr>
        <w:spacing w:before="200" w:after="40"/>
      </w:pPr>
      <w:r>
        <w:rPr>
          <w:b/>
          <w:color w:val="036868"/>
          <w:sz w:val="20"/>
        </w:rPr>
        <w:t>3.2  Debt-to-Income Ratio Calculation</w:t>
      </w:r>
    </w:p>
    <w:p>
      <w:pPr>
        <w:spacing w:after="80"/>
      </w:pPr>
      <w:r>
        <w:rPr>
          <w:b/>
          <w:sz w:val="18"/>
        </w:rPr>
        <w:t xml:space="preserve">Status: </w:t>
      </w:r>
      <w:r>
        <w:rPr>
          <w:b/>
          <w:color w:val="D97706"/>
          <w:sz w:val="18"/>
        </w:rPr>
        <w:t xml:space="preserve">  GENERALLY COMPLIANT  </w:t>
      </w:r>
    </w:p>
    <w:p>
      <w:pPr>
        <w:spacing w:after="80"/>
      </w:pPr>
      <w:r>
        <w:rPr>
          <w:color w:val="1F2D2D"/>
          <w:sz w:val="19"/>
        </w:rPr>
        <w:t>DTI ratio calculations were present in all 12 reviewed files and formally recorded on the standard Loan Application Worksheet. In 11 of 12 cases, the calculation was performed and certified by a Credit Analyst as required under SOP Section 4.1.</w:t>
      </w:r>
    </w:p>
    <w:p>
      <w:pPr>
        <w:spacing w:after="80"/>
      </w:pPr>
      <w:r>
        <w:rPr>
          <w:color w:val="1F2D2D"/>
          <w:sz w:val="19"/>
        </w:rPr>
        <w:t>However, in one case reviewed at the Eastgate branch, the DTI calculation was performed and certified by a Loan Officer rather than a Credit Analyst. The calculation result was arithmetically correct, but the sign-off authority was not in accordance with the role requirements prescribed in the SOP. This constitutes a role deviation that must be corrected in future applications.</w:t>
      </w:r>
    </w:p>
    <w:p>
      <w:pPr>
        <w:spacing w:before="200" w:after="40"/>
      </w:pPr>
      <w:r>
        <w:rPr>
          <w:b/>
          <w:color w:val="036868"/>
          <w:sz w:val="20"/>
        </w:rPr>
        <w:t>3.3  Document Upload and Completeness</w:t>
      </w:r>
    </w:p>
    <w:p>
      <w:pPr>
        <w:spacing w:after="80"/>
      </w:pPr>
      <w:r>
        <w:rPr>
          <w:b/>
          <w:sz w:val="18"/>
        </w:rPr>
        <w:t xml:space="preserve">Status: </w:t>
      </w:r>
      <w:r>
        <w:rPr>
          <w:b/>
          <w:color w:val="16A34A"/>
          <w:sz w:val="18"/>
        </w:rPr>
        <w:t xml:space="preserve">  COMPLIANT  </w:t>
      </w:r>
    </w:p>
    <w:p>
      <w:pPr>
        <w:spacing w:after="80"/>
      </w:pPr>
      <w:r>
        <w:rPr>
          <w:color w:val="1F2D2D"/>
          <w:sz w:val="19"/>
        </w:rPr>
        <w:t>Loan Processing Officers uploaded required customer documentation within the 48-hour SLA in 10 of 12 reviewed cases (83%), which meets the acceptable compliance threshold of 80% set out in SOP Section 2.1. In the two non-compliant cases, delays ranged from 52 to 61 hours and were attributable to late submission by applicants.</w:t>
      </w:r>
    </w:p>
    <w:p>
      <w:pPr>
        <w:spacing w:before="200" w:after="40"/>
      </w:pPr>
      <w:r>
        <w:rPr>
          <w:b/>
          <w:color w:val="036868"/>
          <w:sz w:val="20"/>
        </w:rPr>
        <w:t>3.4  AML and Compliance Pre-Screening</w:t>
      </w:r>
    </w:p>
    <w:p>
      <w:pPr>
        <w:spacing w:after="80"/>
      </w:pPr>
      <w:r>
        <w:rPr>
          <w:b/>
          <w:sz w:val="18"/>
        </w:rPr>
        <w:t xml:space="preserve">Status: </w:t>
      </w:r>
      <w:r>
        <w:rPr>
          <w:b/>
          <w:color w:val="DC2626"/>
          <w:sz w:val="18"/>
        </w:rPr>
        <w:t xml:space="preserve">  NON-COMPLIANT (CRITICAL)  </w:t>
      </w:r>
    </w:p>
    <w:p>
      <w:pPr>
        <w:spacing w:after="80"/>
      </w:pPr>
      <w:r>
        <w:rPr>
          <w:color w:val="1F2D2D"/>
          <w:sz w:val="19"/>
        </w:rPr>
        <w:t>Anti-Money Laundering screening was not completed before the credit bureau pull was initiated in 4 of the 12 reviewed cases (33%). Compliance Tracker system logs confirm that the AML check was recorded after the bureau query had already been submitted in these instances.</w:t>
      </w:r>
    </w:p>
    <w:p>
      <w:pPr>
        <w:spacing w:after="80"/>
      </w:pPr>
      <w:r>
        <w:rPr>
          <w:color w:val="1F2D2D"/>
          <w:sz w:val="19"/>
        </w:rPr>
        <w:t>This ordering directly reverses the mandatory sequence prescribed in SOP Section 2.3, which states that AML screening must be completed and cleared as a prerequisite gate before any credit enquiry is made. This finding has regulatory implications and is classified as a critical deviation.</w:t>
      </w:r>
    </w:p>
    <w:p>
      <w:pPr>
        <w:spacing w:before="200" w:after="40"/>
      </w:pPr>
      <w:r>
        <w:rPr>
          <w:b/>
          <w:color w:val="036868"/>
          <w:sz w:val="20"/>
        </w:rPr>
        <w:t>3.5  Property Appraisal Sequencing</w:t>
      </w:r>
    </w:p>
    <w:p>
      <w:pPr>
        <w:spacing w:after="80"/>
      </w:pPr>
      <w:r>
        <w:rPr>
          <w:b/>
          <w:sz w:val="18"/>
        </w:rPr>
        <w:t xml:space="preserve">Status: </w:t>
      </w:r>
      <w:r>
        <w:rPr>
          <w:b/>
          <w:color w:val="DC2626"/>
          <w:sz w:val="18"/>
        </w:rPr>
        <w:t xml:space="preserve">  NON-COMPLIANT  </w:t>
      </w:r>
    </w:p>
    <w:p>
      <w:pPr>
        <w:spacing w:after="80"/>
      </w:pPr>
      <w:r>
        <w:rPr>
          <w:color w:val="1F2D2D"/>
          <w:sz w:val="19"/>
        </w:rPr>
        <w:t>In 2 of the 12 reviewed cases, the property appraisal was commissioned before document completeness had been formally confirmed. SOP Section 3.1 requires that a Document Completeness Certificate be issued and countersigned before the appraisal vendor is engaged.</w:t>
      </w:r>
    </w:p>
    <w:p>
      <w:pPr>
        <w:spacing w:after="80"/>
      </w:pPr>
      <w:r>
        <w:rPr>
          <w:color w:val="1F2D2D"/>
          <w:sz w:val="19"/>
        </w:rPr>
        <w:t>In both instances, the appraisal was ordered directly by the Loan Processing Officer without the required completeness sign-off. One appraisal had to be paused mid-instruction when the missing documentation was subsequently identified.</w:t>
      </w:r>
    </w:p>
    <w:p>
      <w:pPr>
        <w:spacing w:before="200" w:after="40"/>
      </w:pPr>
      <w:r>
        <w:rPr>
          <w:b/>
          <w:color w:val="036868"/>
          <w:sz w:val="20"/>
        </w:rPr>
        <w:t>3.6  Sanctioning Timeline</w:t>
      </w:r>
    </w:p>
    <w:p>
      <w:pPr>
        <w:spacing w:after="80"/>
      </w:pPr>
      <w:r>
        <w:rPr>
          <w:b/>
          <w:sz w:val="18"/>
        </w:rPr>
        <w:t xml:space="preserve">Status: </w:t>
      </w:r>
      <w:r>
        <w:rPr>
          <w:b/>
          <w:color w:val="DC2626"/>
          <w:sz w:val="18"/>
        </w:rPr>
        <w:t xml:space="preserve">  NON-COMPLIANT  </w:t>
      </w:r>
    </w:p>
    <w:p>
      <w:pPr>
        <w:spacing w:after="80"/>
      </w:pPr>
      <w:r>
        <w:rPr>
          <w:color w:val="1F2D2D"/>
          <w:sz w:val="19"/>
        </w:rPr>
        <w:t>Sanctioning decisions were issued within the one business day SLA set out in SOP Section 5.2 in only 5 of the 12 reviewed cases. The average sanctioning timeline across all reviewed files was 3.2 business days.</w:t>
      </w:r>
    </w:p>
    <w:p>
      <w:pPr>
        <w:spacing w:after="80"/>
      </w:pPr>
      <w:r>
        <w:rPr>
          <w:color w:val="1F2D2D"/>
          <w:sz w:val="19"/>
        </w:rPr>
        <w:t>In 3 cases, delays exceeded 5 business days with no documented escalation to the Credit Committee. The longest delay recorded was 8 business days for a commercial property application at the Riverside branch.</w:t>
      </w:r>
    </w:p>
    <w:p>
      <w:pPr>
        <w:spacing w:before="200" w:after="40"/>
      </w:pPr>
      <w:r>
        <w:rPr>
          <w:b/>
          <w:color w:val="036868"/>
          <w:sz w:val="20"/>
        </w:rPr>
        <w:t>3.7  Commitment Letter Issuance</w:t>
      </w:r>
    </w:p>
    <w:p>
      <w:pPr>
        <w:spacing w:after="80"/>
      </w:pPr>
      <w:r>
        <w:rPr>
          <w:b/>
          <w:sz w:val="18"/>
        </w:rPr>
        <w:t xml:space="preserve">Status: </w:t>
      </w:r>
      <w:r>
        <w:rPr>
          <w:b/>
          <w:color w:val="16A34A"/>
          <w:sz w:val="18"/>
        </w:rPr>
        <w:t xml:space="preserve">  COMPLIANT  </w:t>
      </w:r>
    </w:p>
    <w:p>
      <w:pPr>
        <w:spacing w:after="80"/>
      </w:pPr>
      <w:r>
        <w:rPr>
          <w:color w:val="1F2D2D"/>
          <w:sz w:val="19"/>
        </w:rPr>
        <w:t>Commitment letters were issued to customers following Credit Committee approval in all 12 reviewed cases where approval was granted. Letter content, fee disclosures, and signatory authority were reviewed and found to be compliant with current policy requirements in all instances.</w:t>
      </w:r>
    </w:p>
    <w:p>
      <w:pPr>
        <w:spacing w:before="280" w:after="80"/>
      </w:pPr>
      <w:r>
        <w:rPr>
          <w:b/>
          <w:color w:val="024F4F"/>
          <w:sz w:val="22"/>
        </w:rPr>
        <w:t>4.  Recommendations</w:t>
      </w:r>
    </w:p>
    <w:tbl>
      <w:tblPr>
        <w:tblStyle w:val="TableGrid"/>
        <w:tblW w:type="auto" w:w="0"/>
        <w:tblLook w:firstColumn="1" w:firstRow="1" w:lastColumn="0" w:lastRow="0" w:noHBand="0" w:noVBand="1" w:val="04A0"/>
      </w:tblPr>
      <w:tblGrid>
        <w:gridCol w:w="9746"/>
      </w:tblGrid>
      <w:tr>
        <w:tc>
          <w:tcPr>
            <w:tcW w:type="dxa" w:w="9746"/>
            <w:shd w:val="clear" w:color="auto" w:fill="F9FBFB"/>
          </w:tcPr>
          <w:p>
            <w:r>
              <w:rPr>
                <w:b/>
                <w:color w:val="024F4F"/>
                <w:sz w:val="20"/>
              </w:rPr>
              <w:t xml:space="preserve">4.1  AML Pre-Screening Gate    </w:t>
            </w:r>
            <w:r>
              <w:rPr>
                <w:b/>
                <w:color w:val="DC2626"/>
                <w:sz w:val="16"/>
              </w:rPr>
              <w:t>IMMEDIATE</w:t>
            </w:r>
          </w:p>
          <w:p>
            <w:r>
              <w:rPr>
                <w:sz w:val="18"/>
              </w:rPr>
              <w:t>Implement a system-level workflow gate in LoanIQ to prevent credit bureau queries from being submitted until the AML Compliance Tracker record shows a Cleared status. Conduct mandatory retraining for all Loan Processing Officers on the AML sequencing requirement within 30 days.</w:t>
            </w:r>
          </w:p>
        </w:tc>
      </w:tr>
    </w:tbl>
    <w:p/>
    <w:tbl>
      <w:tblPr>
        <w:tblStyle w:val="TableGrid"/>
        <w:tblW w:type="auto" w:w="0"/>
        <w:tblLook w:firstColumn="1" w:firstRow="1" w:lastColumn="0" w:lastRow="0" w:noHBand="0" w:noVBand="1" w:val="04A0"/>
      </w:tblPr>
      <w:tblGrid>
        <w:gridCol w:w="9746"/>
      </w:tblGrid>
      <w:tr>
        <w:tc>
          <w:tcPr>
            <w:tcW w:type="dxa" w:w="9746"/>
            <w:shd w:val="clear" w:color="auto" w:fill="F9FBFB"/>
          </w:tcPr>
          <w:p>
            <w:r>
              <w:rPr>
                <w:b/>
                <w:color w:val="024F4F"/>
                <w:sz w:val="20"/>
              </w:rPr>
              <w:t xml:space="preserve">4.2  Document Completeness Before Appraisal    </w:t>
            </w:r>
            <w:r>
              <w:rPr>
                <w:b/>
                <w:color w:val="D97706"/>
                <w:sz w:val="16"/>
              </w:rPr>
              <w:t>HIGH</w:t>
            </w:r>
          </w:p>
          <w:p>
            <w:r>
              <w:rPr>
                <w:sz w:val="18"/>
              </w:rPr>
              <w:t>Enforce the Document Completeness Certificate as a mandatory system dependency before the appraisal order workflow step can be initiated. Review the two affected cases to determine whether additional steps are required.</w:t>
            </w:r>
          </w:p>
        </w:tc>
      </w:tr>
    </w:tbl>
    <w:p/>
    <w:tbl>
      <w:tblPr>
        <w:tblStyle w:val="TableGrid"/>
        <w:tblW w:type="auto" w:w="0"/>
        <w:tblLook w:firstColumn="1" w:firstRow="1" w:lastColumn="0" w:lastRow="0" w:noHBand="0" w:noVBand="1" w:val="04A0"/>
      </w:tblPr>
      <w:tblGrid>
        <w:gridCol w:w="9746"/>
      </w:tblGrid>
      <w:tr>
        <w:tc>
          <w:tcPr>
            <w:tcW w:type="dxa" w:w="9746"/>
            <w:shd w:val="clear" w:color="auto" w:fill="F9FBFB"/>
          </w:tcPr>
          <w:p>
            <w:r>
              <w:rPr>
                <w:b/>
                <w:color w:val="024F4F"/>
                <w:sz w:val="20"/>
              </w:rPr>
              <w:t xml:space="preserve">4.3  Sanctioning Timeline Monitoring    </w:t>
            </w:r>
            <w:r>
              <w:rPr>
                <w:b/>
                <w:color w:val="D97706"/>
                <w:sz w:val="16"/>
              </w:rPr>
              <w:t>HIGH</w:t>
            </w:r>
          </w:p>
          <w:p>
            <w:r>
              <w:rPr>
                <w:sz w:val="18"/>
              </w:rPr>
              <w:t>Branch managers are required to review sanctioning queue status daily and initiate escalation to the Credit Committee for any application exceeding 2 business days without a decision. A management dashboard report should be configured in LoanIQ to surface breach cases automatically.</w:t>
            </w:r>
          </w:p>
        </w:tc>
      </w:tr>
    </w:tbl>
    <w:p/>
    <w:tbl>
      <w:tblPr>
        <w:tblStyle w:val="TableGrid"/>
        <w:tblW w:type="auto" w:w="0"/>
        <w:tblLook w:firstColumn="1" w:firstRow="1" w:lastColumn="0" w:lastRow="0" w:noHBand="0" w:noVBand="1" w:val="04A0"/>
      </w:tblPr>
      <w:tblGrid>
        <w:gridCol w:w="9746"/>
      </w:tblGrid>
      <w:tr>
        <w:tc>
          <w:tcPr>
            <w:tcW w:type="dxa" w:w="9746"/>
            <w:shd w:val="clear" w:color="auto" w:fill="F9FBFB"/>
          </w:tcPr>
          <w:p>
            <w:r>
              <w:rPr>
                <w:b/>
                <w:color w:val="024F4F"/>
                <w:sz w:val="20"/>
              </w:rPr>
              <w:t xml:space="preserve">4.4  Role-Specific Sign-Off Controls    </w:t>
            </w:r>
            <w:r>
              <w:rPr>
                <w:b/>
                <w:color w:val="0E79B2"/>
                <w:sz w:val="16"/>
              </w:rPr>
              <w:t>MEDIUM</w:t>
            </w:r>
          </w:p>
          <w:p>
            <w:r>
              <w:rPr>
                <w:sz w:val="18"/>
              </w:rPr>
              <w:t>Review access permissions in the Loan Application Worksheet to ensure that the DTI certification field can only be completed by users with the Credit Analyst role designation.</w:t>
            </w:r>
          </w:p>
        </w:tc>
      </w:tr>
    </w:tbl>
    <w:p/>
    <w:p>
      <w:pPr>
        <w:spacing w:before="280" w:after="80"/>
      </w:pPr>
      <w:r>
        <w:rPr>
          <w:b/>
          <w:color w:val="024F4F"/>
          <w:sz w:val="22"/>
        </w:rPr>
        <w:t>5.  Management Response</w:t>
      </w:r>
    </w:p>
    <w:p>
      <w:pPr>
        <w:spacing w:after="80"/>
      </w:pPr>
      <w:r>
        <w:rPr>
          <w:color w:val="1F2D2D"/>
          <w:sz w:val="19"/>
        </w:rPr>
        <w:t>Management accepts all four recommendations. Remediation plans for items 4.1 and 4.4 are targeted for completion within 45 days. Items 4.2 and 4.3 are targeted for the next system release cycle.</w:t>
      </w:r>
    </w:p>
    <w:p/>
    <w:tbl>
      <w:tblPr>
        <w:tblStyle w:val="TableGrid"/>
        <w:tblW w:type="auto" w:w="0"/>
        <w:tblLook w:firstColumn="1" w:firstRow="1" w:lastColumn="0" w:lastRow="0" w:noHBand="0" w:noVBand="1" w:val="04A0"/>
      </w:tblPr>
      <w:tblGrid>
        <w:gridCol w:w="4873"/>
        <w:gridCol w:w="4873"/>
      </w:tblGrid>
      <w:tr>
        <w:tc>
          <w:tcPr>
            <w:tcW w:type="dxa" w:w="4873"/>
            <w:shd w:val="clear" w:color="auto" w:fill="E6F4F4"/>
          </w:tcPr>
          <w:p>
            <w:pPr>
              <w:jc w:val="left"/>
            </w:pPr>
            <w:r>
              <w:rPr>
                <w:b/>
                <w:color w:val="024F4F"/>
                <w:sz w:val="18"/>
              </w:rPr>
              <w:t>Prepared by</w:t>
            </w:r>
          </w:p>
        </w:tc>
        <w:tc>
          <w:tcPr>
            <w:tcW w:type="dxa" w:w="4873"/>
          </w:tcPr>
          <w:p>
            <w:pPr>
              <w:jc w:val="left"/>
            </w:pPr>
            <w:r>
              <w:rPr>
                <w:b w:val="0"/>
                <w:sz w:val="18"/>
              </w:rPr>
              <w:t>Senior Internal Auditor, Commercial Banking</w:t>
            </w:r>
          </w:p>
        </w:tc>
      </w:tr>
      <w:tr>
        <w:tc>
          <w:tcPr>
            <w:tcW w:type="dxa" w:w="4873"/>
            <w:shd w:val="clear" w:color="auto" w:fill="E6F4F4"/>
          </w:tcPr>
          <w:p>
            <w:pPr>
              <w:jc w:val="left"/>
            </w:pPr>
            <w:r>
              <w:rPr>
                <w:b/>
                <w:color w:val="024F4F"/>
                <w:sz w:val="18"/>
              </w:rPr>
              <w:t>Reviewed by</w:t>
            </w:r>
          </w:p>
        </w:tc>
        <w:tc>
          <w:tcPr>
            <w:tcW w:type="dxa" w:w="4873"/>
          </w:tcPr>
          <w:p>
            <w:pPr>
              <w:jc w:val="left"/>
            </w:pPr>
            <w:r>
              <w:rPr>
                <w:b w:val="0"/>
                <w:sz w:val="18"/>
              </w:rPr>
              <w:t>Head of Internal Audit</w:t>
            </w:r>
          </w:p>
        </w:tc>
      </w:tr>
      <w:tr>
        <w:tc>
          <w:tcPr>
            <w:tcW w:type="dxa" w:w="4873"/>
            <w:shd w:val="clear" w:color="auto" w:fill="E6F4F4"/>
          </w:tcPr>
          <w:p>
            <w:pPr>
              <w:jc w:val="left"/>
            </w:pPr>
            <w:r>
              <w:rPr>
                <w:b/>
                <w:color w:val="024F4F"/>
                <w:sz w:val="18"/>
              </w:rPr>
              <w:t>Distribution</w:t>
            </w:r>
          </w:p>
        </w:tc>
        <w:tc>
          <w:tcPr>
            <w:tcW w:type="dxa" w:w="4873"/>
          </w:tcPr>
          <w:p>
            <w:pPr>
              <w:jc w:val="left"/>
            </w:pPr>
            <w:r>
              <w:rPr>
                <w:b w:val="0"/>
                <w:sz w:val="18"/>
              </w:rPr>
              <w:t>Chief Risk Officer, Head of Commercial Banking, Branch Managers (Downtown, Riverside, Eastgate)</w:t>
            </w:r>
          </w:p>
        </w:tc>
      </w:tr>
    </w:tbl>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