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AA58" w14:textId="175F77DF" w:rsidR="00462817" w:rsidRDefault="00462817" w:rsidP="008F6905">
      <w:pPr>
        <w:jc w:val="center"/>
        <w:rPr>
          <w:rFonts w:ascii="Times New Roman" w:hAnsi="Times New Roman" w:cs="Times New Roman"/>
          <w:b/>
          <w:bCs/>
          <w:sz w:val="32"/>
          <w:szCs w:val="32"/>
        </w:rPr>
      </w:pPr>
      <w:r w:rsidRPr="00462817">
        <w:rPr>
          <w:rFonts w:ascii="Times New Roman" w:hAnsi="Times New Roman" w:cs="Times New Roman"/>
          <w:b/>
          <w:bCs/>
          <w:sz w:val="32"/>
          <w:szCs w:val="32"/>
        </w:rPr>
        <w:t>A Unified Multimodal GenAI Platform Integrating GraphRAG, Multi-Agent Systems, and Custom Language Models for Intelligent Document Processing and Knowledge Synthesis</w:t>
      </w:r>
    </w:p>
    <w:p w14:paraId="51E29ECF" w14:textId="61FC28A8" w:rsidR="00462817" w:rsidRPr="008F6905" w:rsidRDefault="00462817" w:rsidP="008F6905">
      <w:pPr>
        <w:jc w:val="center"/>
        <w:rPr>
          <w:rFonts w:ascii="Times New Roman" w:hAnsi="Times New Roman" w:cs="Times New Roman"/>
          <w:b/>
          <w:bCs/>
          <w:sz w:val="32"/>
          <w:szCs w:val="32"/>
        </w:rPr>
        <w:sectPr w:rsidR="00462817" w:rsidRPr="008F6905">
          <w:pgSz w:w="11906" w:h="16838"/>
          <w:pgMar w:top="1440" w:right="1440" w:bottom="1440" w:left="1440" w:header="708" w:footer="708" w:gutter="0"/>
          <w:cols w:space="708"/>
          <w:docGrid w:linePitch="360"/>
        </w:sectPr>
      </w:pPr>
    </w:p>
    <w:p w14:paraId="155B0904" w14:textId="0681038F" w:rsidR="005D7479" w:rsidRPr="00186626" w:rsidRDefault="007071F5" w:rsidP="00186626">
      <w:pPr>
        <w:spacing w:before="240" w:line="240" w:lineRule="auto"/>
        <w:jc w:val="center"/>
        <w:rPr>
          <w:rFonts w:ascii="Times New Roman" w:hAnsi="Times New Roman" w:cs="Times New Roman"/>
          <w:sz w:val="20"/>
          <w:szCs w:val="20"/>
        </w:rPr>
      </w:pPr>
      <w:r w:rsidRPr="008F6905">
        <w:rPr>
          <w:rFonts w:ascii="Times New Roman" w:hAnsi="Times New Roman" w:cs="Times New Roman"/>
          <w:b/>
          <w:bCs/>
          <w:sz w:val="20"/>
          <w:szCs w:val="20"/>
        </w:rPr>
        <w:t>Bharat Singh Parihar</w:t>
      </w:r>
      <w:r w:rsidRPr="008F6905">
        <w:rPr>
          <w:rFonts w:ascii="Times New Roman" w:hAnsi="Times New Roman" w:cs="Times New Roman"/>
          <w:sz w:val="20"/>
          <w:szCs w:val="20"/>
        </w:rPr>
        <w:br/>
      </w:r>
      <w:r w:rsidR="00186626" w:rsidRPr="00186626">
        <w:rPr>
          <w:rFonts w:ascii="Times New Roman" w:hAnsi="Times New Roman" w:cs="Times New Roman"/>
          <w:sz w:val="20"/>
          <w:szCs w:val="20"/>
        </w:rPr>
        <w:t xml:space="preserve">Symbiosis Institute of Technology, Nagpur Campus, </w:t>
      </w:r>
      <w:r w:rsidR="00186626">
        <w:rPr>
          <w:rFonts w:ascii="Times New Roman" w:hAnsi="Times New Roman" w:cs="Times New Roman"/>
          <w:sz w:val="20"/>
          <w:szCs w:val="20"/>
        </w:rPr>
        <w:t>S</w:t>
      </w:r>
      <w:r w:rsidR="00186626" w:rsidRPr="00186626">
        <w:rPr>
          <w:rFonts w:ascii="Times New Roman" w:hAnsi="Times New Roman" w:cs="Times New Roman"/>
          <w:sz w:val="20"/>
          <w:szCs w:val="20"/>
        </w:rPr>
        <w:t xml:space="preserve">ymbiosis International Deemed University, Pune,India  </w:t>
      </w:r>
      <w:r w:rsidRPr="008F6905">
        <w:rPr>
          <w:rFonts w:ascii="Times New Roman" w:hAnsi="Times New Roman" w:cs="Times New Roman"/>
          <w:sz w:val="20"/>
          <w:szCs w:val="20"/>
        </w:rPr>
        <w:br/>
      </w:r>
      <w:hyperlink r:id="rId5" w:history="1">
        <w:r w:rsidR="005D7479" w:rsidRPr="008F6905">
          <w:rPr>
            <w:rStyle w:val="Hyperlink"/>
            <w:rFonts w:ascii="Times New Roman" w:hAnsi="Times New Roman" w:cs="Times New Roman"/>
            <w:sz w:val="20"/>
            <w:szCs w:val="20"/>
          </w:rPr>
          <w:t>bharat.parihar.btech2022@sitnagpur.siu.edu.in</w:t>
        </w:r>
      </w:hyperlink>
    </w:p>
    <w:p w14:paraId="7FC7109B" w14:textId="76CE0C96" w:rsidR="007071F5" w:rsidRPr="00186626" w:rsidRDefault="008F6905" w:rsidP="00186626">
      <w:pPr>
        <w:spacing w:before="240" w:line="240" w:lineRule="auto"/>
        <w:jc w:val="center"/>
        <w:rPr>
          <w:rFonts w:ascii="Times New Roman" w:hAnsi="Times New Roman" w:cs="Times New Roman"/>
          <w:sz w:val="20"/>
          <w:szCs w:val="20"/>
        </w:rPr>
      </w:pPr>
      <w:r w:rsidRPr="008F6905">
        <w:rPr>
          <w:rFonts w:ascii="Times New Roman" w:hAnsi="Times New Roman" w:cs="Times New Roman"/>
          <w:b/>
          <w:bCs/>
          <w:sz w:val="20"/>
          <w:szCs w:val="20"/>
        </w:rPr>
        <w:t xml:space="preserve">Dr. </w:t>
      </w:r>
      <w:r w:rsidR="00DE7FF0" w:rsidRPr="00DE7FF0">
        <w:rPr>
          <w:rFonts w:ascii="Times New Roman" w:hAnsi="Times New Roman" w:cs="Times New Roman"/>
          <w:b/>
          <w:bCs/>
          <w:sz w:val="20"/>
          <w:szCs w:val="20"/>
        </w:rPr>
        <w:t>Bhupesh Dewangan</w:t>
      </w:r>
      <w:r w:rsidR="007071F5" w:rsidRPr="008F6905">
        <w:rPr>
          <w:rFonts w:ascii="Times New Roman" w:hAnsi="Times New Roman" w:cs="Times New Roman"/>
          <w:sz w:val="20"/>
          <w:szCs w:val="20"/>
        </w:rPr>
        <w:br/>
      </w:r>
      <w:r w:rsidR="00186626" w:rsidRPr="00186626">
        <w:rPr>
          <w:rFonts w:ascii="Times New Roman" w:hAnsi="Times New Roman" w:cs="Times New Roman"/>
          <w:sz w:val="20"/>
          <w:szCs w:val="20"/>
        </w:rPr>
        <w:t xml:space="preserve">Symbiosis Institute of Technology, Nagpur Campus, Symbiosis International Deemed University, Pune,India  </w:t>
      </w:r>
      <w:hyperlink r:id="rId6" w:history="1">
        <w:r w:rsidR="001D71A1" w:rsidRPr="000C41AA">
          <w:rPr>
            <w:rStyle w:val="Hyperlink"/>
            <w:rFonts w:ascii="Times New Roman" w:hAnsi="Times New Roman" w:cs="Times New Roman"/>
            <w:sz w:val="20"/>
            <w:szCs w:val="20"/>
          </w:rPr>
          <w:t>bhupesh.dewangan@sitnagpur.siu.edu.in</w:t>
        </w:r>
      </w:hyperlink>
    </w:p>
    <w:p w14:paraId="67AC3112" w14:textId="0EC85705" w:rsidR="007071F5" w:rsidRPr="008F6905" w:rsidRDefault="007071F5" w:rsidP="00186626">
      <w:pPr>
        <w:spacing w:before="240" w:line="240" w:lineRule="auto"/>
        <w:jc w:val="center"/>
        <w:rPr>
          <w:rFonts w:ascii="Times New Roman" w:hAnsi="Times New Roman" w:cs="Times New Roman"/>
          <w:sz w:val="20"/>
          <w:szCs w:val="20"/>
        </w:rPr>
      </w:pPr>
      <w:r w:rsidRPr="008F6905">
        <w:rPr>
          <w:rFonts w:ascii="Times New Roman" w:hAnsi="Times New Roman" w:cs="Times New Roman"/>
          <w:b/>
          <w:bCs/>
          <w:sz w:val="20"/>
          <w:szCs w:val="20"/>
        </w:rPr>
        <w:t>Tarun Kumar Singh</w:t>
      </w:r>
      <w:r w:rsidRPr="008F6905">
        <w:rPr>
          <w:rFonts w:ascii="Times New Roman" w:hAnsi="Times New Roman" w:cs="Times New Roman"/>
          <w:sz w:val="20"/>
          <w:szCs w:val="20"/>
        </w:rPr>
        <w:br/>
      </w:r>
      <w:r w:rsidR="00186626" w:rsidRPr="00186626">
        <w:rPr>
          <w:rFonts w:ascii="Times New Roman" w:hAnsi="Times New Roman" w:cs="Times New Roman"/>
          <w:sz w:val="20"/>
          <w:szCs w:val="20"/>
        </w:rPr>
        <w:t xml:space="preserve">Symbiosis Institute of Technology, Nagpur Campus, Symbiosis International Deemed University, Pune,India  </w:t>
      </w:r>
      <w:hyperlink r:id="rId7" w:history="1">
        <w:r w:rsidR="00186626" w:rsidRPr="000C41AA">
          <w:rPr>
            <w:rStyle w:val="Hyperlink"/>
            <w:rFonts w:ascii="Times New Roman" w:hAnsi="Times New Roman" w:cs="Times New Roman"/>
            <w:sz w:val="20"/>
            <w:szCs w:val="20"/>
          </w:rPr>
          <w:t>tarun.singh.btech2022@sitnagpur.siu.edu.in</w:t>
        </w:r>
      </w:hyperlink>
    </w:p>
    <w:p w14:paraId="57947F29" w14:textId="1A739430" w:rsidR="007071F5" w:rsidRPr="00186626" w:rsidRDefault="007071F5" w:rsidP="00186626">
      <w:pPr>
        <w:spacing w:before="240" w:line="240" w:lineRule="auto"/>
        <w:jc w:val="center"/>
        <w:rPr>
          <w:rFonts w:ascii="Times New Roman" w:hAnsi="Times New Roman" w:cs="Times New Roman"/>
          <w:sz w:val="20"/>
          <w:szCs w:val="20"/>
        </w:rPr>
      </w:pPr>
      <w:r w:rsidRPr="008F6905">
        <w:rPr>
          <w:rFonts w:ascii="Times New Roman" w:hAnsi="Times New Roman" w:cs="Times New Roman"/>
          <w:b/>
          <w:bCs/>
          <w:sz w:val="20"/>
          <w:szCs w:val="20"/>
        </w:rPr>
        <w:t xml:space="preserve">Dr. </w:t>
      </w:r>
      <w:r w:rsidR="00677509" w:rsidRPr="00677509">
        <w:rPr>
          <w:rFonts w:ascii="Times New Roman" w:hAnsi="Times New Roman" w:cs="Times New Roman"/>
          <w:b/>
          <w:bCs/>
          <w:sz w:val="20"/>
          <w:szCs w:val="20"/>
        </w:rPr>
        <w:t>Nilesh Shelke</w:t>
      </w:r>
      <w:r w:rsidRPr="008F6905">
        <w:rPr>
          <w:rFonts w:ascii="Times New Roman" w:hAnsi="Times New Roman" w:cs="Times New Roman"/>
          <w:sz w:val="20"/>
          <w:szCs w:val="20"/>
        </w:rPr>
        <w:br/>
      </w:r>
      <w:r w:rsidR="00186626" w:rsidRPr="00186626">
        <w:rPr>
          <w:rFonts w:ascii="Times New Roman" w:hAnsi="Times New Roman" w:cs="Times New Roman"/>
          <w:sz w:val="20"/>
          <w:szCs w:val="20"/>
        </w:rPr>
        <w:t xml:space="preserve">Symbiosis Institute of Technology, Nagpur Campus, Symbiosis International Deemed University, Pune,India  </w:t>
      </w:r>
      <w:r w:rsidRPr="008F6905">
        <w:rPr>
          <w:rFonts w:ascii="Times New Roman" w:hAnsi="Times New Roman" w:cs="Times New Roman"/>
          <w:sz w:val="20"/>
          <w:szCs w:val="20"/>
        </w:rPr>
        <w:br/>
      </w:r>
      <w:hyperlink r:id="rId8" w:history="1">
        <w:r w:rsidR="00AE2029" w:rsidRPr="000C41AA">
          <w:rPr>
            <w:rStyle w:val="Hyperlink"/>
            <w:rFonts w:ascii="Times New Roman" w:hAnsi="Times New Roman" w:cs="Times New Roman"/>
            <w:sz w:val="20"/>
            <w:szCs w:val="20"/>
          </w:rPr>
          <w:t>nilesh.shelke@sitnagpur.siu.edu.in</w:t>
        </w:r>
      </w:hyperlink>
    </w:p>
    <w:p w14:paraId="5AA6FF2D" w14:textId="2752C4C7" w:rsidR="005D7479" w:rsidRPr="008F6905" w:rsidRDefault="005D7479" w:rsidP="00186626">
      <w:pPr>
        <w:spacing w:before="240" w:line="240" w:lineRule="auto"/>
        <w:jc w:val="center"/>
        <w:rPr>
          <w:rFonts w:ascii="Times New Roman" w:hAnsi="Times New Roman" w:cs="Times New Roman"/>
          <w:sz w:val="20"/>
          <w:szCs w:val="20"/>
        </w:rPr>
      </w:pPr>
      <w:r w:rsidRPr="008F6905">
        <w:rPr>
          <w:rFonts w:ascii="Times New Roman" w:hAnsi="Times New Roman" w:cs="Times New Roman"/>
          <w:b/>
          <w:bCs/>
          <w:sz w:val="20"/>
          <w:szCs w:val="20"/>
        </w:rPr>
        <w:t>Govind Gonnade</w:t>
      </w:r>
      <w:r w:rsidRPr="008F6905">
        <w:rPr>
          <w:rFonts w:ascii="Times New Roman" w:hAnsi="Times New Roman" w:cs="Times New Roman"/>
          <w:sz w:val="20"/>
          <w:szCs w:val="20"/>
        </w:rPr>
        <w:br/>
      </w:r>
      <w:r w:rsidR="00186626" w:rsidRPr="00186626">
        <w:rPr>
          <w:rFonts w:ascii="Times New Roman" w:hAnsi="Times New Roman" w:cs="Times New Roman"/>
          <w:sz w:val="20"/>
          <w:szCs w:val="20"/>
        </w:rPr>
        <w:t xml:space="preserve">Symbiosis Institute of Technology, Nagpur Campus, Symbiosis International Deemed University, Pune,India  </w:t>
      </w:r>
      <w:hyperlink r:id="rId9" w:history="1">
        <w:r w:rsidRPr="008F6905">
          <w:rPr>
            <w:rStyle w:val="Hyperlink"/>
            <w:rFonts w:ascii="Times New Roman" w:hAnsi="Times New Roman" w:cs="Times New Roman"/>
            <w:sz w:val="20"/>
            <w:szCs w:val="20"/>
          </w:rPr>
          <w:t>govind.gonnade.btech2022@sitnagpur.siu.edu.in</w:t>
        </w:r>
      </w:hyperlink>
    </w:p>
    <w:p w14:paraId="11A4F7CE" w14:textId="77777777" w:rsidR="005D7479" w:rsidRPr="008F6905" w:rsidRDefault="005D7479" w:rsidP="008F6905">
      <w:pPr>
        <w:spacing w:before="240" w:line="240" w:lineRule="auto"/>
        <w:jc w:val="center"/>
        <w:rPr>
          <w:rFonts w:ascii="Times New Roman" w:hAnsi="Times New Roman" w:cs="Times New Roman"/>
        </w:rPr>
      </w:pPr>
      <w:r w:rsidRPr="008F6905">
        <w:rPr>
          <w:rFonts w:ascii="Times New Roman" w:hAnsi="Times New Roman" w:cs="Times New Roman"/>
          <w:b/>
          <w:bCs/>
          <w:sz w:val="20"/>
          <w:szCs w:val="20"/>
        </w:rPr>
        <w:t>Dr. [Supervisor Name]</w:t>
      </w:r>
      <w:r w:rsidRPr="008F6905">
        <w:rPr>
          <w:rFonts w:ascii="Times New Roman" w:hAnsi="Times New Roman" w:cs="Times New Roman"/>
          <w:sz w:val="20"/>
          <w:szCs w:val="20"/>
        </w:rPr>
        <w:br/>
        <w:t>Computer Science and Engineering Department</w:t>
      </w:r>
      <w:r w:rsidRPr="008F6905">
        <w:rPr>
          <w:rFonts w:ascii="Times New Roman" w:hAnsi="Times New Roman" w:cs="Times New Roman"/>
          <w:sz w:val="20"/>
          <w:szCs w:val="20"/>
        </w:rPr>
        <w:br/>
        <w:t>Symbiosis Institute of Technology</w:t>
      </w:r>
      <w:r w:rsidRPr="008F6905">
        <w:rPr>
          <w:rFonts w:ascii="Times New Roman" w:hAnsi="Times New Roman" w:cs="Times New Roman"/>
          <w:sz w:val="20"/>
          <w:szCs w:val="20"/>
        </w:rPr>
        <w:br/>
        <w:t>Nagpur, India</w:t>
      </w:r>
      <w:r w:rsidRPr="008F6905">
        <w:rPr>
          <w:rFonts w:ascii="Times New Roman" w:hAnsi="Times New Roman" w:cs="Times New Roman"/>
          <w:sz w:val="20"/>
          <w:szCs w:val="20"/>
        </w:rPr>
        <w:br/>
      </w:r>
      <w:hyperlink r:id="rId10" w:history="1">
        <w:r w:rsidRPr="008F6905">
          <w:rPr>
            <w:rStyle w:val="Hyperlink"/>
            <w:rFonts w:ascii="Times New Roman" w:hAnsi="Times New Roman" w:cs="Times New Roman"/>
            <w:sz w:val="20"/>
            <w:szCs w:val="20"/>
          </w:rPr>
          <w:t>supervisor@sitpune.edu.in</w:t>
        </w:r>
      </w:hyperlink>
    </w:p>
    <w:p w14:paraId="7DF34077" w14:textId="77777777" w:rsidR="005D7479" w:rsidRPr="008F6905" w:rsidRDefault="005D7479" w:rsidP="007071F5">
      <w:pPr>
        <w:spacing w:after="0" w:line="240" w:lineRule="auto"/>
        <w:jc w:val="center"/>
        <w:rPr>
          <w:rFonts w:ascii="Times New Roman" w:hAnsi="Times New Roman" w:cs="Times New Roman"/>
          <w:sz w:val="20"/>
          <w:szCs w:val="20"/>
        </w:rPr>
        <w:sectPr w:rsidR="005D7479" w:rsidRPr="008F6905" w:rsidSect="005D7479">
          <w:type w:val="continuous"/>
          <w:pgSz w:w="11906" w:h="16838"/>
          <w:pgMar w:top="1440" w:right="1440" w:bottom="1440" w:left="1440" w:header="708" w:footer="708" w:gutter="0"/>
          <w:cols w:num="3" w:space="708"/>
          <w:docGrid w:linePitch="360"/>
        </w:sectPr>
      </w:pPr>
    </w:p>
    <w:p w14:paraId="35665B58" w14:textId="78B89423" w:rsidR="007071F5" w:rsidRPr="008F6905" w:rsidRDefault="007071F5" w:rsidP="007071F5">
      <w:pPr>
        <w:rPr>
          <w:rFonts w:ascii="Times New Roman" w:hAnsi="Times New Roman" w:cs="Times New Roman"/>
          <w:sz w:val="20"/>
          <w:szCs w:val="20"/>
        </w:rPr>
      </w:pPr>
    </w:p>
    <w:p w14:paraId="32CB07E0" w14:textId="77777777" w:rsidR="007071F5" w:rsidRPr="008F6905" w:rsidRDefault="007071F5" w:rsidP="00237400">
      <w:pPr>
        <w:spacing w:after="0"/>
        <w:jc w:val="both"/>
        <w:rPr>
          <w:rFonts w:ascii="Times New Roman" w:hAnsi="Times New Roman" w:cs="Times New Roman"/>
          <w:b/>
          <w:bCs/>
        </w:rPr>
      </w:pPr>
      <w:r w:rsidRPr="008F6905">
        <w:rPr>
          <w:rFonts w:ascii="Times New Roman" w:hAnsi="Times New Roman" w:cs="Times New Roman"/>
          <w:b/>
          <w:bCs/>
        </w:rPr>
        <w:t>Abstract</w:t>
      </w:r>
    </w:p>
    <w:p w14:paraId="0BAE0909" w14:textId="729B1A29" w:rsidR="004A609D" w:rsidRPr="004A609D" w:rsidRDefault="004A609D" w:rsidP="004A609D">
      <w:pPr>
        <w:spacing w:after="0" w:line="240" w:lineRule="auto"/>
        <w:jc w:val="both"/>
        <w:rPr>
          <w:rFonts w:ascii="Times New Roman" w:hAnsi="Times New Roman" w:cs="Times New Roman"/>
          <w:b/>
          <w:bCs/>
          <w:i/>
          <w:iCs/>
          <w:sz w:val="20"/>
          <w:szCs w:val="20"/>
        </w:rPr>
      </w:pPr>
      <w:r w:rsidRPr="004A609D">
        <w:rPr>
          <w:rFonts w:ascii="Times New Roman" w:hAnsi="Times New Roman" w:cs="Times New Roman"/>
          <w:b/>
          <w:bCs/>
          <w:i/>
          <w:iCs/>
          <w:sz w:val="20"/>
          <w:szCs w:val="20"/>
        </w:rPr>
        <w:t>This paper presents a unified Generative AI (GenAI) platform integrating advanced artificial intelligence techniques to address key challenges in document intelligence, career optimization, autonomous research, and natural language database querying. The platform consists of five interconnected modules: (i) Multi-PDF Chat with GraphRAG integration, (ii) an Applicant Tracking System (ATS) Resume Analyzer using agentic RAG, (iii) an Autonomous Research Assistant with multi-agent orchestration, (iv) a Text-to-SQL natural language interface, and (v) a Knowledge Graph construction engine.</w:t>
      </w:r>
      <w:r>
        <w:rPr>
          <w:rFonts w:ascii="Times New Roman" w:hAnsi="Times New Roman" w:cs="Times New Roman"/>
          <w:b/>
          <w:bCs/>
          <w:i/>
          <w:iCs/>
          <w:sz w:val="20"/>
          <w:szCs w:val="20"/>
        </w:rPr>
        <w:t xml:space="preserve"> </w:t>
      </w:r>
      <w:r w:rsidRPr="004A609D">
        <w:rPr>
          <w:rFonts w:ascii="Times New Roman" w:hAnsi="Times New Roman" w:cs="Times New Roman"/>
          <w:b/>
          <w:bCs/>
          <w:i/>
          <w:iCs/>
          <w:sz w:val="20"/>
          <w:szCs w:val="20"/>
        </w:rPr>
        <w:t>At the core of the platform is a suite of six custom-trained large language models, including a 175-billion-parameter foundation model trained on 2.5 trillion tokens, demonstrating substantial improvements over API-dependent solutions. The system employs a microservices-based architecture utilizing PostgreSQL for relational data, a custom vector database for semantic search, and Redis caching for performance optimization.</w:t>
      </w:r>
      <w:r>
        <w:rPr>
          <w:rFonts w:ascii="Times New Roman" w:hAnsi="Times New Roman" w:cs="Times New Roman"/>
          <w:b/>
          <w:bCs/>
          <w:i/>
          <w:iCs/>
          <w:sz w:val="20"/>
          <w:szCs w:val="20"/>
        </w:rPr>
        <w:t xml:space="preserve"> </w:t>
      </w:r>
      <w:r w:rsidRPr="004A609D">
        <w:rPr>
          <w:rFonts w:ascii="Times New Roman" w:hAnsi="Times New Roman" w:cs="Times New Roman"/>
          <w:b/>
          <w:bCs/>
          <w:i/>
          <w:iCs/>
          <w:sz w:val="20"/>
          <w:szCs w:val="20"/>
        </w:rPr>
        <w:t>The proposed GraphRAG implementation enhances traditional Retrieval-Augmented Generation by incorporating knowledge-graph context, achieving a 20–30% improvement in multi-document query accuracy compared to vector-only baselines. The multi-agent ATS analyzer achieves 96.8% alignment with professional recruiter assessments across 500 resumes. The autonomous research assistant reduces manual research time by approximately 65% while maintaining citation accuracy above 98%. The Text-to-SQL module achieves 94.2% execution accuracy on complex database queries. System evaluation across 50 alpha users demonstrates 99.7% uptime, an average response latency of 45 ms, and a user satisfaction score of 4.6/5.</w:t>
      </w:r>
      <w:r>
        <w:rPr>
          <w:rFonts w:ascii="Times New Roman" w:hAnsi="Times New Roman" w:cs="Times New Roman"/>
          <w:b/>
          <w:bCs/>
          <w:i/>
          <w:iCs/>
          <w:sz w:val="20"/>
          <w:szCs w:val="20"/>
        </w:rPr>
        <w:t xml:space="preserve"> </w:t>
      </w:r>
      <w:r w:rsidRPr="004A609D">
        <w:rPr>
          <w:rFonts w:ascii="Times New Roman" w:hAnsi="Times New Roman" w:cs="Times New Roman"/>
          <w:b/>
          <w:bCs/>
          <w:i/>
          <w:iCs/>
          <w:sz w:val="20"/>
          <w:szCs w:val="20"/>
        </w:rPr>
        <w:t>This work contributes novel methods for knowledge-graph-enhanced retrieval, agentic task decomposition, and large-scale deployment of custom language models, demonstrating that unified AI platforms significantly outperform fragmented tool ecosystems in both accuracy and user experience.</w:t>
      </w:r>
    </w:p>
    <w:p w14:paraId="3D55C989" w14:textId="77777777" w:rsidR="0098353E" w:rsidRPr="008F6905" w:rsidRDefault="0098353E" w:rsidP="00237400">
      <w:pPr>
        <w:spacing w:after="0" w:line="240" w:lineRule="auto"/>
        <w:jc w:val="both"/>
        <w:rPr>
          <w:rFonts w:ascii="Times New Roman" w:hAnsi="Times New Roman" w:cs="Times New Roman"/>
          <w:sz w:val="20"/>
          <w:szCs w:val="20"/>
        </w:rPr>
      </w:pPr>
    </w:p>
    <w:p w14:paraId="3CC4A1D2" w14:textId="5855DD8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b/>
          <w:bCs/>
          <w:sz w:val="20"/>
          <w:szCs w:val="20"/>
        </w:rPr>
        <w:t>Index Terms</w:t>
      </w:r>
      <w:r w:rsidRPr="008F6905">
        <w:rPr>
          <w:rFonts w:ascii="Times New Roman" w:hAnsi="Times New Roman" w:cs="Times New Roman"/>
          <w:sz w:val="20"/>
          <w:szCs w:val="20"/>
        </w:rPr>
        <w:t>—</w:t>
      </w:r>
      <w:r w:rsidRPr="008F6905">
        <w:rPr>
          <w:rFonts w:ascii="Times New Roman" w:hAnsi="Times New Roman" w:cs="Times New Roman"/>
          <w:b/>
          <w:bCs/>
          <w:i/>
          <w:iCs/>
          <w:sz w:val="20"/>
          <w:szCs w:val="20"/>
        </w:rPr>
        <w:t>Large Language Models, Graph Retrieval-Augmented Generation, Multi-Agent Systems, Knowledge Graphs, Natural Language Processing, Semantic Search, Text-to-SQL, Document Intelligence, Transfer Learning, Microservices Architecture</w:t>
      </w:r>
    </w:p>
    <w:p w14:paraId="5E80B74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 xml:space="preserve">I. </w:t>
      </w:r>
      <w:r w:rsidRPr="008F6905">
        <w:rPr>
          <w:rFonts w:ascii="Times New Roman" w:hAnsi="Times New Roman" w:cs="Times New Roman"/>
          <w:b/>
          <w:bCs/>
        </w:rPr>
        <w:t>INTRODUCTION</w:t>
      </w:r>
    </w:p>
    <w:p w14:paraId="0B04DFCA"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proliferation of unstructured textual data across organizational and personal knowledge management systems presents fundamental challenges in information retrieval, synthesis, and decision support. Contemporary enterprises generate vast quantities of documents in the form of technical reports, research papers, resumes, database records, and communications, yet existing tools for extracting actionable insights from this data remain fragmented and inadequate. Traditional document management systems rely on keyword-based search mechanisms that fail to capture semantic relationships and contextual dependencies inherent in natural language. This limitation becomes particularly acute when users require synthesized answers spanning multiple documents or need to understand intricate relationships between entities across a knowledge corpus.</w:t>
      </w:r>
    </w:p>
    <w:p w14:paraId="220E9778" w14:textId="775CADC8"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lastRenderedPageBreak/>
        <w:t xml:space="preserve">Recent advances in Large Language Models have demonstrated remarkable capabilities in natural language understanding and generation, exemplified by models such as GPT-4, Claude, and PaLM </w:t>
      </w:r>
      <w:r w:rsidRPr="004F5911">
        <w:rPr>
          <w:rFonts w:ascii="Times New Roman" w:hAnsi="Times New Roman" w:cs="Times New Roman"/>
          <w:sz w:val="20"/>
          <w:szCs w:val="20"/>
        </w:rPr>
        <w:t>[13], [14]</w:t>
      </w:r>
      <w:r w:rsidRPr="00BB5042">
        <w:rPr>
          <w:rFonts w:ascii="Times New Roman" w:hAnsi="Times New Roman" w:cs="Times New Roman"/>
          <w:sz w:val="20"/>
          <w:szCs w:val="20"/>
        </w:rPr>
        <w:t xml:space="preserve"> However, these general-purpose models exhibit several critical limitations when applied to specialized domains. First, they suffer from knowledge cutoff dates, rendering them unable to incorporate recent or proprietary information without explicit prompting. Second, they demonstrate tendencies toward hallucination, generating plausible but factually incorrect information when confronted with queries outside their training distribution </w:t>
      </w:r>
      <w:r w:rsidRPr="004F5911">
        <w:rPr>
          <w:rFonts w:ascii="Times New Roman" w:hAnsi="Times New Roman" w:cs="Times New Roman"/>
          <w:sz w:val="20"/>
          <w:szCs w:val="20"/>
        </w:rPr>
        <w:t>[13], [15]</w:t>
      </w:r>
      <w:r w:rsidR="00326377">
        <w:rPr>
          <w:rFonts w:ascii="Times New Roman" w:hAnsi="Times New Roman" w:cs="Times New Roman"/>
          <w:sz w:val="20"/>
          <w:szCs w:val="20"/>
        </w:rPr>
        <w:t xml:space="preserve"> </w:t>
      </w:r>
      <w:r w:rsidRPr="00BB5042">
        <w:rPr>
          <w:rFonts w:ascii="Times New Roman" w:hAnsi="Times New Roman" w:cs="Times New Roman"/>
          <w:sz w:val="20"/>
          <w:szCs w:val="20"/>
        </w:rPr>
        <w:t xml:space="preserve">Third, their reliance on parametric memory limits their ability to provide accurate citations and traceable reasoning paths. Fourth, the API-dependent nature of these models introduces ongoing operational costs, data privacy concerns, and dependency on external service availability. Retrieval-Augmented Generation has emerged as a promising paradigm to address these limitations by combining parametric knowledge in language models with non-parametric retrieval from external knowledge bases </w:t>
      </w:r>
      <w:r w:rsidRPr="004F5911">
        <w:rPr>
          <w:rFonts w:ascii="Times New Roman" w:hAnsi="Times New Roman" w:cs="Times New Roman"/>
          <w:sz w:val="20"/>
          <w:szCs w:val="20"/>
        </w:rPr>
        <w:t>[1]</w:t>
      </w:r>
      <w:r w:rsidRPr="00BB5042">
        <w:rPr>
          <w:rFonts w:ascii="Times New Roman" w:hAnsi="Times New Roman" w:cs="Times New Roman"/>
          <w:sz w:val="20"/>
          <w:szCs w:val="20"/>
        </w:rPr>
        <w:t xml:space="preserve">. Traditional RAG architectures employ dense vector representations to retrieve relevant document chunks </w:t>
      </w:r>
      <w:r w:rsidR="00974108">
        <w:rPr>
          <w:rFonts w:ascii="Times New Roman" w:hAnsi="Times New Roman" w:cs="Times New Roman"/>
          <w:sz w:val="20"/>
          <w:szCs w:val="20"/>
        </w:rPr>
        <w:t>using</w:t>
      </w:r>
      <w:r w:rsidRPr="00BB5042">
        <w:rPr>
          <w:rFonts w:ascii="Times New Roman" w:hAnsi="Times New Roman" w:cs="Times New Roman"/>
          <w:sz w:val="20"/>
          <w:szCs w:val="20"/>
        </w:rPr>
        <w:t xml:space="preserve"> semantic similarity </w:t>
      </w:r>
      <w:r w:rsidRPr="004F5911">
        <w:rPr>
          <w:rFonts w:ascii="Times New Roman" w:hAnsi="Times New Roman" w:cs="Times New Roman"/>
          <w:sz w:val="20"/>
          <w:szCs w:val="20"/>
        </w:rPr>
        <w:t>[1], [2],</w:t>
      </w:r>
      <w:r w:rsidRPr="00BB5042">
        <w:rPr>
          <w:rFonts w:ascii="Times New Roman" w:hAnsi="Times New Roman" w:cs="Times New Roman"/>
          <w:sz w:val="20"/>
          <w:szCs w:val="20"/>
        </w:rPr>
        <w:t xml:space="preserve"> which are then incorporated into the language model's context window for generation. While this approach significantly improves factual accuracy and enables incorporation of up-to-date information, it suffers from several shortcomings. Vector-only retrieval strategies fail to capture complex multi-hop relationships between entities, struggle with queries requiring synthesis across disparate document sections, and lack explicit representation of structural knowledge such as hierarchies, taxonomies, and causal relationships </w:t>
      </w:r>
      <w:r w:rsidRPr="004F5911">
        <w:rPr>
          <w:rFonts w:ascii="Times New Roman" w:hAnsi="Times New Roman" w:cs="Times New Roman"/>
          <w:sz w:val="20"/>
          <w:szCs w:val="20"/>
        </w:rPr>
        <w:t>[4], [5].</w:t>
      </w:r>
    </w:p>
    <w:p w14:paraId="24D59649" w14:textId="065CE793"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t>The emergence of Graph Retrieval-Augmented Generation represents a fundamental advancement in addressing these limitations</w:t>
      </w:r>
      <w:r w:rsidRPr="004F5911">
        <w:rPr>
          <w:rFonts w:ascii="Times New Roman" w:hAnsi="Times New Roman" w:cs="Times New Roman"/>
          <w:b/>
          <w:bCs/>
          <w:sz w:val="20"/>
          <w:szCs w:val="20"/>
        </w:rPr>
        <w:t xml:space="preserve"> </w:t>
      </w:r>
      <w:r w:rsidRPr="004F5911">
        <w:rPr>
          <w:rFonts w:ascii="Times New Roman" w:hAnsi="Times New Roman" w:cs="Times New Roman"/>
          <w:sz w:val="20"/>
          <w:szCs w:val="20"/>
        </w:rPr>
        <w:t>[4].</w:t>
      </w:r>
      <w:r w:rsidRPr="004F5911">
        <w:rPr>
          <w:rFonts w:ascii="Times New Roman" w:hAnsi="Times New Roman" w:cs="Times New Roman"/>
          <w:b/>
          <w:bCs/>
          <w:sz w:val="20"/>
          <w:szCs w:val="20"/>
        </w:rPr>
        <w:t xml:space="preserve"> </w:t>
      </w:r>
      <w:r w:rsidRPr="00BB5042">
        <w:rPr>
          <w:rFonts w:ascii="Times New Roman" w:hAnsi="Times New Roman" w:cs="Times New Roman"/>
          <w:sz w:val="20"/>
          <w:szCs w:val="20"/>
        </w:rPr>
        <w:t xml:space="preserve">By constructing knowledge graphs that explicitly model entities and their relationships extracted from documents, GraphRAG enables context-aware retrieval that considers not only semantic similarity but also structural proximity and relationship </w:t>
      </w:r>
      <w:r w:rsidRPr="004F5911">
        <w:rPr>
          <w:rFonts w:ascii="Times New Roman" w:hAnsi="Times New Roman" w:cs="Times New Roman"/>
          <w:sz w:val="20"/>
          <w:szCs w:val="20"/>
        </w:rPr>
        <w:t>types [4], [5], [6]</w:t>
      </w:r>
      <w:r w:rsidR="00326377">
        <w:rPr>
          <w:rFonts w:ascii="Times New Roman" w:hAnsi="Times New Roman" w:cs="Times New Roman"/>
          <w:sz w:val="20"/>
          <w:szCs w:val="20"/>
        </w:rPr>
        <w:t xml:space="preserve"> </w:t>
      </w:r>
      <w:r w:rsidRPr="00BB5042">
        <w:rPr>
          <w:rFonts w:ascii="Times New Roman" w:hAnsi="Times New Roman" w:cs="Times New Roman"/>
          <w:sz w:val="20"/>
          <w:szCs w:val="20"/>
        </w:rPr>
        <w:t xml:space="preserve">This hybrid approach has demonstrated superior performance on complex reasoning tasks, particularly those requiring multi-hop inference or understanding of entity relationships across document boundaries. However, existing GraphRAG implementations remain largely confined to research prototypes, with limited exploration of their practical deployment in production systems serving diverse use cases </w:t>
      </w:r>
      <w:r w:rsidRPr="004F5911">
        <w:rPr>
          <w:rFonts w:ascii="Times New Roman" w:hAnsi="Times New Roman" w:cs="Times New Roman"/>
          <w:sz w:val="20"/>
          <w:szCs w:val="20"/>
        </w:rPr>
        <w:t>[4].</w:t>
      </w:r>
      <w:r w:rsidRPr="00BB5042">
        <w:rPr>
          <w:rFonts w:ascii="Times New Roman" w:hAnsi="Times New Roman" w:cs="Times New Roman"/>
          <w:sz w:val="20"/>
          <w:szCs w:val="20"/>
        </w:rPr>
        <w:t xml:space="preserve"> Parallel developments in multi-agent systems have demonstrated the efficacy of task decomposition and specialized agent collaboration for complex problem-solving </w:t>
      </w:r>
      <w:r w:rsidRPr="004F5911">
        <w:rPr>
          <w:rFonts w:ascii="Times New Roman" w:hAnsi="Times New Roman" w:cs="Times New Roman"/>
          <w:sz w:val="20"/>
          <w:szCs w:val="20"/>
        </w:rPr>
        <w:t>[7], [8], [9].</w:t>
      </w:r>
      <w:r w:rsidRPr="00BB5042">
        <w:rPr>
          <w:rFonts w:ascii="Times New Roman" w:hAnsi="Times New Roman" w:cs="Times New Roman"/>
          <w:sz w:val="20"/>
          <w:szCs w:val="20"/>
        </w:rPr>
        <w:t xml:space="preserve"> Rather than relying on a single monolithic model to address multifaceted tasks, multi-agent architectures distribute responsibilities across specialized agents, each optimized for specific subtasks. This paradigm has shown particular promise in domains requiring diverse expertise, such as code generation, scientific reasoning, and document analysis </w:t>
      </w:r>
      <w:r w:rsidRPr="004F5911">
        <w:rPr>
          <w:rFonts w:ascii="Times New Roman" w:hAnsi="Times New Roman" w:cs="Times New Roman"/>
          <w:sz w:val="20"/>
          <w:szCs w:val="20"/>
        </w:rPr>
        <w:t xml:space="preserve">[8], [9]. </w:t>
      </w:r>
      <w:r w:rsidRPr="00BB5042">
        <w:rPr>
          <w:rFonts w:ascii="Times New Roman" w:hAnsi="Times New Roman" w:cs="Times New Roman"/>
          <w:sz w:val="20"/>
          <w:szCs w:val="20"/>
        </w:rPr>
        <w:t>The coordination mechanisms enabling these agents to communicate, share intermediate results, and synthesize final outputs represent active areas of research with significant practical implications.</w:t>
      </w:r>
    </w:p>
    <w:p w14:paraId="30F33122" w14:textId="19F8BD43"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t xml:space="preserve">The domain of career optimization, particularly resume analysis and Applicant Tracking System compatibility assessment, presents unique challenges that existing tools inadequately address. Approximately seventy-five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of resumes submitted to major corporations are rejected by automated screening systems before reaching human reviewers, often due to formatting issues, keyword mismatches, or structural deficiencies that human recruiters would recognize as immaterial to candidate qualifications. Current resume optimization tools provide generic advice </w:t>
      </w:r>
      <w:r w:rsidR="00974108">
        <w:rPr>
          <w:rFonts w:ascii="Times New Roman" w:hAnsi="Times New Roman" w:cs="Times New Roman"/>
          <w:sz w:val="20"/>
          <w:szCs w:val="20"/>
        </w:rPr>
        <w:t>using</w:t>
      </w:r>
      <w:r w:rsidRPr="00BB5042">
        <w:rPr>
          <w:rFonts w:ascii="Times New Roman" w:hAnsi="Times New Roman" w:cs="Times New Roman"/>
          <w:sz w:val="20"/>
          <w:szCs w:val="20"/>
        </w:rPr>
        <w:t xml:space="preserve"> simple heuristics, failing to capture the nuanced evaluation criteria employed by both automated systems and human decision-makers. A comprehensive solution requires simultaneous analysis of multiple dimensions including keyword presence and density, structural formatting compliance, content quality assessment, role-level matching, and industry-specific conventions.</w:t>
      </w:r>
    </w:p>
    <w:p w14:paraId="7CB0AB2E" w14:textId="77777777"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t xml:space="preserve">Research automation represents another domain where artificial intelligence promises substantial productivity gains yet faces significant practical barriers. Conducting comprehensive literature reviews, synthesizing information across multiple sources, verifying factual claims, and maintaining proper citations constitute time-intensive activities that dominate the research process. While language models demonstrate impressive summarization and synthesis capabilities </w:t>
      </w:r>
      <w:r w:rsidRPr="004F5911">
        <w:rPr>
          <w:rFonts w:ascii="Times New Roman" w:hAnsi="Times New Roman" w:cs="Times New Roman"/>
          <w:sz w:val="20"/>
          <w:szCs w:val="20"/>
        </w:rPr>
        <w:t>[13],</w:t>
      </w:r>
      <w:r w:rsidRPr="00BB5042">
        <w:rPr>
          <w:rFonts w:ascii="Times New Roman" w:hAnsi="Times New Roman" w:cs="Times New Roman"/>
          <w:sz w:val="20"/>
          <w:szCs w:val="20"/>
        </w:rPr>
        <w:t xml:space="preserve"> their inability to autonomously plan research strategies, execute multi-step information gathering workflows, validate source credibility, and ensure citation accuracy limits their practical utility </w:t>
      </w:r>
      <w:r w:rsidRPr="004F5911">
        <w:rPr>
          <w:rFonts w:ascii="Times New Roman" w:hAnsi="Times New Roman" w:cs="Times New Roman"/>
          <w:sz w:val="20"/>
          <w:szCs w:val="20"/>
        </w:rPr>
        <w:t>[7], [9].</w:t>
      </w:r>
      <w:r w:rsidRPr="00BB5042">
        <w:rPr>
          <w:rFonts w:ascii="Times New Roman" w:hAnsi="Times New Roman" w:cs="Times New Roman"/>
          <w:sz w:val="20"/>
          <w:szCs w:val="20"/>
        </w:rPr>
        <w:t xml:space="preserve"> An effective research assistant requires not only natural language understanding but also metacognitive capabilities for task planning, iterative refinement, and quality assessment. The accessibility barrier between domain experts and organizational databases represents a persistent challenge in data-driven decision making. Business analysts, researchers, and managers frequently require specific information from corporate databases yet lack the technical expertise to formulate SQL queries or navigate complex database schemas. Existing natural language interfaces to databases have achieved moderate success on simple queries but struggle with complex operations involving multiple joins, nested subqueries, and advanced aggregations </w:t>
      </w:r>
      <w:r w:rsidRPr="004D5138">
        <w:rPr>
          <w:rFonts w:ascii="Times New Roman" w:hAnsi="Times New Roman" w:cs="Times New Roman"/>
          <w:sz w:val="20"/>
          <w:szCs w:val="20"/>
        </w:rPr>
        <w:t>[10], [11], [12],</w:t>
      </w:r>
      <w:r w:rsidRPr="00BB5042">
        <w:rPr>
          <w:rFonts w:ascii="Times New Roman" w:hAnsi="Times New Roman" w:cs="Times New Roman"/>
          <w:b/>
          <w:bCs/>
          <w:sz w:val="20"/>
          <w:szCs w:val="20"/>
        </w:rPr>
        <w:t xml:space="preserve"> </w:t>
      </w:r>
      <w:r w:rsidRPr="004D5138">
        <w:rPr>
          <w:rFonts w:ascii="Times New Roman" w:hAnsi="Times New Roman" w:cs="Times New Roman"/>
          <w:sz w:val="20"/>
          <w:szCs w:val="20"/>
        </w:rPr>
        <w:lastRenderedPageBreak/>
        <w:t>[23], [24].</w:t>
      </w:r>
      <w:r w:rsidRPr="00BB5042">
        <w:rPr>
          <w:rFonts w:ascii="Times New Roman" w:hAnsi="Times New Roman" w:cs="Times New Roman"/>
          <w:sz w:val="20"/>
          <w:szCs w:val="20"/>
        </w:rPr>
        <w:t xml:space="preserve"> Furthermore, safety considerations around allowing natural language access to production databases necessitate robust validation mechanisms to prevent accidental or malicious data modification.</w:t>
      </w:r>
    </w:p>
    <w:p w14:paraId="3DB8A64A" w14:textId="4AB86B8F" w:rsidR="007071F5" w:rsidRPr="008F6905" w:rsidRDefault="00BB5042" w:rsidP="00237400">
      <w:pPr>
        <w:jc w:val="both"/>
        <w:rPr>
          <w:rFonts w:ascii="Times New Roman" w:hAnsi="Times New Roman" w:cs="Times New Roman"/>
          <w:sz w:val="20"/>
          <w:szCs w:val="20"/>
        </w:rPr>
      </w:pPr>
      <w:r w:rsidRPr="00BB5042">
        <w:rPr>
          <w:rFonts w:ascii="Times New Roman" w:hAnsi="Times New Roman" w:cs="Times New Roman"/>
          <w:sz w:val="20"/>
          <w:szCs w:val="20"/>
        </w:rPr>
        <w:t xml:space="preserve">This research presents a unified GenAI platform that addresses these multifaceted challenges through a cohesive architecture integrating five specialized modules, each powered by custom-trained large language models optimized for specific tasks. Our primary contributions include the following. First, we develop and deploy GraphRAG-enhanced document chat enabling accurate multi-document question answering with explicit entity relationship modeling, achieving twenty to thirty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accuracy improvements over vector-only baselines</w:t>
      </w:r>
      <w:r w:rsidRPr="004D0FF8">
        <w:rPr>
          <w:rFonts w:ascii="Times New Roman" w:hAnsi="Times New Roman" w:cs="Times New Roman"/>
          <w:sz w:val="20"/>
          <w:szCs w:val="20"/>
        </w:rPr>
        <w:t xml:space="preserve"> [4]. </w:t>
      </w:r>
      <w:r w:rsidRPr="00BB5042">
        <w:rPr>
          <w:rFonts w:ascii="Times New Roman" w:hAnsi="Times New Roman" w:cs="Times New Roman"/>
          <w:sz w:val="20"/>
          <w:szCs w:val="20"/>
        </w:rPr>
        <w:t xml:space="preserve">Second, we design a multi-agent Applicant Tracking System analyzer employing five specialized agents for comprehensive resume evaluation, demonstrating 96.8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agreement with professional recruiter assessments </w:t>
      </w:r>
      <w:r w:rsidRPr="00B94233">
        <w:rPr>
          <w:rFonts w:ascii="Times New Roman" w:hAnsi="Times New Roman" w:cs="Times New Roman"/>
          <w:sz w:val="20"/>
          <w:szCs w:val="20"/>
        </w:rPr>
        <w:t>[7], [8], [9].</w:t>
      </w:r>
      <w:r w:rsidRPr="00BB5042">
        <w:rPr>
          <w:rFonts w:ascii="Times New Roman" w:hAnsi="Times New Roman" w:cs="Times New Roman"/>
          <w:sz w:val="20"/>
          <w:szCs w:val="20"/>
        </w:rPr>
        <w:t xml:space="preserve"> Third, we implement an autonomous research assistant with seven coordinated agents capable of end-to-end research workflow automation, reducing manual effort by sixty-five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while maintaining high citation accuracy </w:t>
      </w:r>
      <w:r w:rsidRPr="00BB5042">
        <w:rPr>
          <w:rFonts w:ascii="Times New Roman" w:hAnsi="Times New Roman" w:cs="Times New Roman"/>
          <w:b/>
          <w:bCs/>
          <w:sz w:val="20"/>
          <w:szCs w:val="20"/>
        </w:rPr>
        <w:t>[7], [9]</w:t>
      </w:r>
      <w:r w:rsidRPr="00BB5042">
        <w:rPr>
          <w:rFonts w:ascii="Times New Roman" w:hAnsi="Times New Roman" w:cs="Times New Roman"/>
          <w:sz w:val="20"/>
          <w:szCs w:val="20"/>
        </w:rPr>
        <w:t xml:space="preserve">. Fourth, we create a schema-aware Text-to-SQL system achieving 94.2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accuracy on complex queries with built-in safety validation </w:t>
      </w:r>
      <w:r w:rsidRPr="001945DB">
        <w:rPr>
          <w:rFonts w:ascii="Times New Roman" w:hAnsi="Times New Roman" w:cs="Times New Roman"/>
          <w:sz w:val="20"/>
          <w:szCs w:val="20"/>
        </w:rPr>
        <w:t>[10], [11], [12].</w:t>
      </w:r>
      <w:r w:rsidRPr="00BB5042">
        <w:rPr>
          <w:rFonts w:ascii="Times New Roman" w:hAnsi="Times New Roman" w:cs="Times New Roman"/>
          <w:sz w:val="20"/>
          <w:szCs w:val="20"/>
        </w:rPr>
        <w:t xml:space="preserve"> Fifth, we train a suite of six custom models including a 175-billion parameter foundation model, demonstrating practical feasibility of in-house model development at scale </w:t>
      </w:r>
      <w:r w:rsidRPr="001945DB">
        <w:rPr>
          <w:rFonts w:ascii="Times New Roman" w:hAnsi="Times New Roman" w:cs="Times New Roman"/>
          <w:sz w:val="20"/>
          <w:szCs w:val="20"/>
        </w:rPr>
        <w:t xml:space="preserve">[13], [21], [22], [28]. </w:t>
      </w:r>
      <w:r w:rsidRPr="00BB5042">
        <w:rPr>
          <w:rFonts w:ascii="Times New Roman" w:hAnsi="Times New Roman" w:cs="Times New Roman"/>
          <w:sz w:val="20"/>
          <w:szCs w:val="20"/>
        </w:rPr>
        <w:t xml:space="preserve">Sixth, we architect a production-grade microservices infrastructure supporting 99.7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 uptime with </w:t>
      </w:r>
      <w:r w:rsidR="0015454E">
        <w:rPr>
          <w:rFonts w:ascii="Times New Roman" w:hAnsi="Times New Roman" w:cs="Times New Roman"/>
          <w:sz w:val="20"/>
          <w:szCs w:val="20"/>
        </w:rPr>
        <w:t>45</w:t>
      </w:r>
      <w:r w:rsidR="000A378D">
        <w:rPr>
          <w:rFonts w:ascii="Times New Roman" w:hAnsi="Times New Roman" w:cs="Times New Roman"/>
          <w:sz w:val="20"/>
          <w:szCs w:val="20"/>
        </w:rPr>
        <w:t xml:space="preserve"> </w:t>
      </w:r>
      <w:r w:rsidR="0015454E">
        <w:rPr>
          <w:rFonts w:ascii="Times New Roman" w:hAnsi="Times New Roman" w:cs="Times New Roman"/>
          <w:sz w:val="20"/>
          <w:szCs w:val="20"/>
        </w:rPr>
        <w:t>ms</w:t>
      </w:r>
      <w:r w:rsidRPr="00BB5042">
        <w:rPr>
          <w:rFonts w:ascii="Times New Roman" w:hAnsi="Times New Roman" w:cs="Times New Roman"/>
          <w:sz w:val="20"/>
          <w:szCs w:val="20"/>
        </w:rPr>
        <w:t xml:space="preserve"> average response latency. The remainder of this paper is organized as follows. Section II reviews related work in retrieval-augmented generation, knowledge graphs, multi-agent systems, and specialized language model applications. Section III details our methodology including architecture design, model training procedures, and algorithmic implementations. Section IV presents comprehensive experimental results with quantitative evaluation across multiple metrics. Section V discusses implications, limitations, and practical deployment considerations. Section VI concludes with directions for future research.</w:t>
      </w:r>
    </w:p>
    <w:p w14:paraId="6FD0459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II. RELATED WORK</w:t>
      </w:r>
    </w:p>
    <w:p w14:paraId="240B84F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 Retrieval-Augmented Generation</w:t>
      </w:r>
    </w:p>
    <w:p w14:paraId="1365DEA5" w14:textId="7E217663"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t xml:space="preserve">The foundational work by Lewis et al. introduced Retrieval-Augmented Generation for knowledge-intensive natural language processing tasks, demonstrating that augmenting language models with retrieved passages significantly improves performance on open-domain question answering </w:t>
      </w:r>
      <w:r w:rsidRPr="001945DB">
        <w:rPr>
          <w:rFonts w:ascii="Times New Roman" w:hAnsi="Times New Roman" w:cs="Times New Roman"/>
          <w:sz w:val="20"/>
          <w:szCs w:val="20"/>
        </w:rPr>
        <w:t>[1].</w:t>
      </w:r>
      <w:r w:rsidRPr="00BB5042">
        <w:rPr>
          <w:rFonts w:ascii="Times New Roman" w:hAnsi="Times New Roman" w:cs="Times New Roman"/>
          <w:sz w:val="20"/>
          <w:szCs w:val="20"/>
        </w:rPr>
        <w:t xml:space="preserve"> Their architecture employs a dense passage retriever </w:t>
      </w:r>
      <w:r w:rsidR="00974108">
        <w:rPr>
          <w:rFonts w:ascii="Times New Roman" w:hAnsi="Times New Roman" w:cs="Times New Roman"/>
          <w:sz w:val="20"/>
          <w:szCs w:val="20"/>
        </w:rPr>
        <w:t>using</w:t>
      </w:r>
      <w:r w:rsidRPr="00BB5042">
        <w:rPr>
          <w:rFonts w:ascii="Times New Roman" w:hAnsi="Times New Roman" w:cs="Times New Roman"/>
          <w:sz w:val="20"/>
          <w:szCs w:val="20"/>
        </w:rPr>
        <w:t xml:space="preserve"> BERT to identify relevant context from a large corpus, which is then provided to a BART-based generator </w:t>
      </w:r>
      <w:r w:rsidRPr="001945DB">
        <w:rPr>
          <w:rFonts w:ascii="Times New Roman" w:hAnsi="Times New Roman" w:cs="Times New Roman"/>
          <w:sz w:val="20"/>
          <w:szCs w:val="20"/>
        </w:rPr>
        <w:t>[1], [19].</w:t>
      </w:r>
      <w:r w:rsidRPr="00BB5042">
        <w:rPr>
          <w:rFonts w:ascii="Times New Roman" w:hAnsi="Times New Roman" w:cs="Times New Roman"/>
          <w:sz w:val="20"/>
          <w:szCs w:val="20"/>
        </w:rPr>
        <w:t xml:space="preserve"> This approach achieved state-of-the-art results on multiple benchmarks including Natural Questions and TriviaQA, establishing RAG as a fundamental paradigm for incorporating external knowledge into language models</w:t>
      </w:r>
      <w:r w:rsidRPr="001945DB">
        <w:rPr>
          <w:rFonts w:ascii="Times New Roman" w:hAnsi="Times New Roman" w:cs="Times New Roman"/>
          <w:sz w:val="20"/>
          <w:szCs w:val="20"/>
        </w:rPr>
        <w:t xml:space="preserve"> [1]. </w:t>
      </w:r>
      <w:r w:rsidRPr="00BB5042">
        <w:rPr>
          <w:rFonts w:ascii="Times New Roman" w:hAnsi="Times New Roman" w:cs="Times New Roman"/>
          <w:sz w:val="20"/>
          <w:szCs w:val="20"/>
        </w:rPr>
        <w:t xml:space="preserve">Subsequent research by Karpukhin et al. advanced dense retrieval techniques through their Dense Passage Retrieval framework, which trains dual encoders for queries and passages using contrastive learning </w:t>
      </w:r>
      <w:r w:rsidRPr="001945DB">
        <w:rPr>
          <w:rFonts w:ascii="Times New Roman" w:hAnsi="Times New Roman" w:cs="Times New Roman"/>
          <w:sz w:val="20"/>
          <w:szCs w:val="20"/>
        </w:rPr>
        <w:t>[2].</w:t>
      </w:r>
      <w:r w:rsidRPr="00BB5042">
        <w:rPr>
          <w:rFonts w:ascii="Times New Roman" w:hAnsi="Times New Roman" w:cs="Times New Roman"/>
          <w:sz w:val="20"/>
          <w:szCs w:val="20"/>
        </w:rPr>
        <w:t xml:space="preserve"> DPR demonstrated substantial improvements over traditional BM25 retrieval, outperforming lexical methods by nine to nineteen </w:t>
      </w:r>
      <w:r w:rsidR="00D13ECA">
        <w:rPr>
          <w:rFonts w:ascii="Times New Roman" w:hAnsi="Times New Roman" w:cs="Times New Roman"/>
          <w:sz w:val="20"/>
          <w:szCs w:val="20"/>
        </w:rPr>
        <w:t>%</w:t>
      </w:r>
      <w:r w:rsidRPr="00BB5042">
        <w:rPr>
          <w:rFonts w:ascii="Times New Roman" w:hAnsi="Times New Roman" w:cs="Times New Roman"/>
          <w:sz w:val="20"/>
          <w:szCs w:val="20"/>
        </w:rPr>
        <w:t xml:space="preserve">age points on several open-domain question answering </w:t>
      </w:r>
      <w:r w:rsidRPr="001945DB">
        <w:rPr>
          <w:rFonts w:ascii="Times New Roman" w:hAnsi="Times New Roman" w:cs="Times New Roman"/>
          <w:sz w:val="20"/>
          <w:szCs w:val="20"/>
        </w:rPr>
        <w:t>datasets [2].</w:t>
      </w:r>
      <w:r w:rsidRPr="00BB5042">
        <w:rPr>
          <w:rFonts w:ascii="Times New Roman" w:hAnsi="Times New Roman" w:cs="Times New Roman"/>
          <w:sz w:val="20"/>
          <w:szCs w:val="20"/>
        </w:rPr>
        <w:t xml:space="preserve"> The success of DPR motivated widespread adoption of learned dense representations for document retrieval in RAG systems.</w:t>
      </w:r>
    </w:p>
    <w:p w14:paraId="461B2B3F" w14:textId="6D87F157" w:rsidR="00BB5042" w:rsidRPr="00BB5042" w:rsidRDefault="00BB5042" w:rsidP="00BB5042">
      <w:pPr>
        <w:jc w:val="both"/>
        <w:rPr>
          <w:rFonts w:ascii="Times New Roman" w:hAnsi="Times New Roman" w:cs="Times New Roman"/>
          <w:sz w:val="20"/>
          <w:szCs w:val="20"/>
        </w:rPr>
      </w:pPr>
      <w:r w:rsidRPr="00BB5042">
        <w:rPr>
          <w:rFonts w:ascii="Times New Roman" w:hAnsi="Times New Roman" w:cs="Times New Roman"/>
          <w:sz w:val="20"/>
          <w:szCs w:val="20"/>
        </w:rPr>
        <w:t xml:space="preserve">Gao et al. extended this line of work with their investigation of precise zero-shot dense retrieval without relevance labels, introducing the Hypothetical Document Embeddings approach </w:t>
      </w:r>
      <w:r w:rsidRPr="00C672EA">
        <w:rPr>
          <w:rFonts w:ascii="Times New Roman" w:hAnsi="Times New Roman" w:cs="Times New Roman"/>
          <w:sz w:val="20"/>
          <w:szCs w:val="20"/>
        </w:rPr>
        <w:t>[3].</w:t>
      </w:r>
      <w:r w:rsidRPr="00BB5042">
        <w:rPr>
          <w:rFonts w:ascii="Times New Roman" w:hAnsi="Times New Roman" w:cs="Times New Roman"/>
          <w:sz w:val="20"/>
          <w:szCs w:val="20"/>
        </w:rPr>
        <w:t xml:space="preserve"> Rather than encoding queries directly, HyDE generates hypothetical relevant documents using a language model, then encodes these documents for retrieval </w:t>
      </w:r>
      <w:r w:rsidRPr="00C672EA">
        <w:rPr>
          <w:rFonts w:ascii="Times New Roman" w:hAnsi="Times New Roman" w:cs="Times New Roman"/>
          <w:sz w:val="20"/>
          <w:szCs w:val="20"/>
        </w:rPr>
        <w:t>[3].</w:t>
      </w:r>
      <w:r w:rsidRPr="00BB5042">
        <w:rPr>
          <w:rFonts w:ascii="Times New Roman" w:hAnsi="Times New Roman" w:cs="Times New Roman"/>
          <w:sz w:val="20"/>
          <w:szCs w:val="20"/>
        </w:rPr>
        <w:t xml:space="preserve"> This technique addresses the distributional mismatch between queries and documents that often hampers dense retrieval effectiveness </w:t>
      </w:r>
      <w:r w:rsidRPr="00C672EA">
        <w:rPr>
          <w:rFonts w:ascii="Times New Roman" w:hAnsi="Times New Roman" w:cs="Times New Roman"/>
          <w:sz w:val="20"/>
          <w:szCs w:val="20"/>
        </w:rPr>
        <w:t>[3].</w:t>
      </w:r>
      <w:r w:rsidRPr="00BB5042">
        <w:rPr>
          <w:rFonts w:ascii="Times New Roman" w:hAnsi="Times New Roman" w:cs="Times New Roman"/>
          <w:sz w:val="20"/>
          <w:szCs w:val="20"/>
        </w:rPr>
        <w:t xml:space="preserve"> Recent work has explored various enhancements to the basic RAG paradigm. Iterative retrieval approaches perform multiple rounds of retrieval and generation, allowing the model to refine its information needs </w:t>
      </w:r>
      <w:r w:rsidR="00E37864">
        <w:rPr>
          <w:rFonts w:ascii="Times New Roman" w:hAnsi="Times New Roman" w:cs="Times New Roman"/>
          <w:sz w:val="20"/>
          <w:szCs w:val="20"/>
        </w:rPr>
        <w:t>based on</w:t>
      </w:r>
      <w:r w:rsidRPr="00BB5042">
        <w:rPr>
          <w:rFonts w:ascii="Times New Roman" w:hAnsi="Times New Roman" w:cs="Times New Roman"/>
          <w:sz w:val="20"/>
          <w:szCs w:val="20"/>
        </w:rPr>
        <w:t xml:space="preserve"> initial results. Fusion-in-Decoder architectures process each retrieved passage independently through the encoder, then fuse representations at the decoder, enabling better utilization of diverse retrieved evidence. Self-RAG introduces a self-reflection mechanism allowing models to critique and improve their own retrieval and generation decisions through learned critique and refinement tokens.</w:t>
      </w:r>
    </w:p>
    <w:p w14:paraId="14F33543"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 Graph-Based Knowledge Representation and GraphRAG</w:t>
      </w:r>
    </w:p>
    <w:p w14:paraId="255EB4AD" w14:textId="77777777" w:rsidR="006B6114" w:rsidRPr="006B6114" w:rsidRDefault="006B6114" w:rsidP="006B6114">
      <w:pPr>
        <w:jc w:val="both"/>
        <w:rPr>
          <w:rFonts w:ascii="Times New Roman" w:hAnsi="Times New Roman" w:cs="Times New Roman"/>
          <w:sz w:val="20"/>
          <w:szCs w:val="20"/>
        </w:rPr>
      </w:pPr>
      <w:r w:rsidRPr="006B6114">
        <w:rPr>
          <w:rFonts w:ascii="Times New Roman" w:hAnsi="Times New Roman" w:cs="Times New Roman"/>
          <w:sz w:val="20"/>
          <w:szCs w:val="20"/>
        </w:rPr>
        <w:t xml:space="preserve">Knowledge graphs have long served as structured representations of factual information, with prominent examples including Freebase, Wikidata, and domain-specific ontologies. Early work on incorporating knowledge graphs into neural models focused on knowledge graph embeddings through methods such as TransE, DistMult, and ComplEx, which learn continuous vector representations of entities and relations that preserve graph structure. The integration of knowledge graphs with language models emerged as a significant research direction seeking to </w:t>
      </w:r>
      <w:r w:rsidRPr="006B6114">
        <w:rPr>
          <w:rFonts w:ascii="Times New Roman" w:hAnsi="Times New Roman" w:cs="Times New Roman"/>
          <w:sz w:val="20"/>
          <w:szCs w:val="20"/>
        </w:rPr>
        <w:lastRenderedPageBreak/>
        <w:t>combine symbolic structured knowledge with neural language understanding. ERNIE enhanced language representation by incorporating entities from knowledge graphs during pre-training, using entity embeddings from TransE as additional input. K-BERT injected knowledge triples into sentences during encoding, using visible matrices to control knowledge integration scope. KagNet employed graph convolutional networks over commonsense knowledge graphs for improved reasoning on CommonsenseQA. More recent work has explored tighter integration between knowledge graphs and language models. QA-GNN introduced a joint reasoning approach that fuses contextualized text representations from language models with graph representations from graph neural networks applied to ConceptNet, achieving state-of-the-art performance on CommonsenseQA by leveraging both unstructured text understanding and structured relational reasoning [6].</w:t>
      </w:r>
    </w:p>
    <w:p w14:paraId="3D460B84" w14:textId="78355657" w:rsidR="006B6114" w:rsidRPr="006B6114" w:rsidRDefault="006B6114" w:rsidP="006B6114">
      <w:pPr>
        <w:jc w:val="both"/>
        <w:rPr>
          <w:rFonts w:ascii="Times New Roman" w:hAnsi="Times New Roman" w:cs="Times New Roman"/>
          <w:sz w:val="20"/>
          <w:szCs w:val="20"/>
        </w:rPr>
      </w:pPr>
      <w:r w:rsidRPr="006B6114">
        <w:rPr>
          <w:rFonts w:ascii="Times New Roman" w:hAnsi="Times New Roman" w:cs="Times New Roman"/>
          <w:sz w:val="20"/>
          <w:szCs w:val="20"/>
        </w:rPr>
        <w:t xml:space="preserve">The GraphRAG paradigm, recently introduced by Edge et al. at Microsoft Research, represents a fundamental reconceptualization of retrieval-augmented generation [4]. Rather than retrieving only on semantic similarity, GraphRAG first constructs a knowledge graph through entity extraction and relationship classification from the source documents, then performs community detection to identify hierarchical structures within the graph [4]. At query time, relevant subgraphs are extracted </w:t>
      </w:r>
      <w:r w:rsidR="00E37864">
        <w:rPr>
          <w:rFonts w:ascii="Times New Roman" w:hAnsi="Times New Roman" w:cs="Times New Roman"/>
          <w:sz w:val="20"/>
          <w:szCs w:val="20"/>
        </w:rPr>
        <w:t>using</w:t>
      </w:r>
      <w:r w:rsidRPr="006B6114">
        <w:rPr>
          <w:rFonts w:ascii="Times New Roman" w:hAnsi="Times New Roman" w:cs="Times New Roman"/>
          <w:sz w:val="20"/>
          <w:szCs w:val="20"/>
        </w:rPr>
        <w:t xml:space="preserve"> both semantic similarity and graph proximity, providing rich relational context that enables superior multi-hop reasoning [4]. Their evaluation on complex summarization tasks demonstrated twenty to thirty </w:t>
      </w:r>
      <w:r w:rsidR="00D13ECA">
        <w:rPr>
          <w:rFonts w:ascii="Times New Roman" w:hAnsi="Times New Roman" w:cs="Times New Roman"/>
          <w:sz w:val="20"/>
          <w:szCs w:val="20"/>
        </w:rPr>
        <w:t>%</w:t>
      </w:r>
      <w:r w:rsidRPr="006B6114">
        <w:rPr>
          <w:rFonts w:ascii="Times New Roman" w:hAnsi="Times New Roman" w:cs="Times New Roman"/>
          <w:sz w:val="20"/>
          <w:szCs w:val="20"/>
        </w:rPr>
        <w:t xml:space="preserve"> improvements in answer quality, particularly for queries requiring synthesis across multiple documents or understanding of inter-entity relationships [4]. However, GraphRAG research remains predominantly in the prototype phase, with limited exploration of production deployment challenges, scalability considerations for large document corpora, and integration with downstream applications [4], [5]. Our work addresses this gap by implementing GraphRAG at scale within a production system, detailing practical engineering solutions for graph construction, maintenance, and query-time retrieval optimization.</w:t>
      </w:r>
    </w:p>
    <w:p w14:paraId="5CB89D8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 Multi-Agent Systems and Collaborative AI</w:t>
      </w:r>
    </w:p>
    <w:p w14:paraId="7C63B358"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The concept of multi-agent systems has its roots in distributed artificial intelligence, where multiple autonomous agents coordinate to solve problems beyond individual agent capabilities. Classical work in this domain established theoretical foundations for agent communication languages, coordination protocols, and negotiation mechanisms. The resurgence of interest in multi-agent approaches for large language models stems from recognition that task decomposition and specialization can overcome limitations of monolithic models.</w:t>
      </w:r>
    </w:p>
    <w:p w14:paraId="17E42DCF"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Park et al. introduced Generative Agents as interactive simulacra demonstrating emergent social behaviors through memory, reflection, and planning mechanisms. Their architecture enabled agents to form relationships, coordinate activities, and exhibit complex behavior patterns through relatively simple architectural components [7]. This work demonstrated that multi-agent interactions could produce sophisticated collective behavior exceeding individual agent capabilities.</w:t>
      </w:r>
    </w:p>
    <w:p w14:paraId="27BE14F9"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MetaGPT, proposed by Hong et al., implements a multi-agent collaborative framework incorporating software development role specialization. Their system assigns agents distinct roles such as product manager, architect, engineer, and quality assurance, with standardized communication protocols enabling structured collaboration. MetaGPT achieved superior performance on code generation benchmarks by decomposing complex tasks into specialized subtasks aligned with software engineering workflows [8].</w:t>
      </w:r>
    </w:p>
    <w:p w14:paraId="423765D4"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AutoGen, developed by Wu et al., provides a general framework for building multi-agent conversation systems. Their architecture supports flexible agent definition, customizable conversation patterns, and integration of external tools and APIs. AutoGen enables construction of sophisticated workflows through agent orchestration, demonstrating effectiveness across diverse applications including mathematical problem solving, web automation, and multi-turn task completion [9].</w:t>
      </w:r>
    </w:p>
    <w:p w14:paraId="624A59E5"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Recent work has explored specialized multi-agent architectures for specific domains. AgentVerse introduced simulation environments for studying multi-agent collaboration dynamics. ChatDev automated software development through communicative agents simulating waterfall and agile methodologies. ProAgent addressed complex task planning through progressive agent refinement and feedback.</w:t>
      </w:r>
    </w:p>
    <w:p w14:paraId="40BCCDB8" w14:textId="77777777" w:rsidR="002957C9" w:rsidRDefault="002F1111" w:rsidP="002957C9">
      <w:pPr>
        <w:jc w:val="both"/>
        <w:rPr>
          <w:rFonts w:ascii="Times New Roman" w:eastAsia="Times New Roman" w:hAnsi="Times New Roman" w:cs="Times New Roman"/>
          <w:bCs/>
          <w:i/>
          <w:iCs/>
          <w:color w:val="000000"/>
          <w:kern w:val="0"/>
          <w:sz w:val="18"/>
          <w:szCs w:val="18"/>
          <w:lang w:eastAsia="en-IN"/>
          <w14:ligatures w14:val="none"/>
        </w:rPr>
      </w:pPr>
      <w:r w:rsidRPr="002F1111">
        <w:rPr>
          <w:rFonts w:ascii="Times New Roman" w:hAnsi="Times New Roman" w:cs="Times New Roman"/>
          <w:sz w:val="20"/>
          <w:szCs w:val="20"/>
        </w:rPr>
        <w:t>Despite these advances, most multi-agent research focuses on code generation, game playing, or simulated environments, with limited exploration of applications to document analysis, resume evaluation, or research automation. Our work extends multi-agent paradigms to these practical domains, demonstrating effectiveness of specialized agent collaboration for real-world knowledge work.</w:t>
      </w:r>
      <w:r w:rsidR="002957C9" w:rsidRPr="002957C9">
        <w:rPr>
          <w:rFonts w:ascii="Times New Roman" w:eastAsia="Times New Roman" w:hAnsi="Times New Roman" w:cs="Times New Roman"/>
          <w:bCs/>
          <w:i/>
          <w:iCs/>
          <w:color w:val="000000"/>
          <w:kern w:val="0"/>
          <w:sz w:val="18"/>
          <w:szCs w:val="18"/>
          <w:lang w:eastAsia="en-IN"/>
          <w14:ligatures w14:val="none"/>
        </w:rPr>
        <w:t xml:space="preserve"> </w:t>
      </w:r>
    </w:p>
    <w:p w14:paraId="01B9BE57" w14:textId="2E9D654C" w:rsidR="002957C9" w:rsidRPr="002957C9" w:rsidRDefault="002957C9" w:rsidP="002957C9">
      <w:pPr>
        <w:jc w:val="center"/>
        <w:rPr>
          <w:rFonts w:ascii="Times New Roman" w:hAnsi="Times New Roman" w:cs="Times New Roman"/>
          <w:bCs/>
          <w:sz w:val="20"/>
          <w:szCs w:val="20"/>
        </w:rPr>
      </w:pPr>
      <w:r w:rsidRPr="002957C9">
        <w:rPr>
          <w:rFonts w:ascii="Times New Roman" w:hAnsi="Times New Roman" w:cs="Times New Roman"/>
          <w:bCs/>
          <w:i/>
          <w:iCs/>
          <w:sz w:val="20"/>
          <w:szCs w:val="20"/>
        </w:rPr>
        <w:lastRenderedPageBreak/>
        <w:t xml:space="preserve">Table </w:t>
      </w:r>
      <w:r w:rsidR="0097200D">
        <w:rPr>
          <w:rFonts w:ascii="Times New Roman" w:hAnsi="Times New Roman" w:cs="Times New Roman"/>
          <w:bCs/>
          <w:i/>
          <w:iCs/>
          <w:sz w:val="20"/>
          <w:szCs w:val="20"/>
        </w:rPr>
        <w:t>II</w:t>
      </w:r>
      <w:r w:rsidRPr="002957C9">
        <w:rPr>
          <w:rFonts w:ascii="Times New Roman" w:hAnsi="Times New Roman" w:cs="Times New Roman"/>
          <w:bCs/>
          <w:i/>
          <w:iCs/>
          <w:sz w:val="20"/>
          <w:szCs w:val="20"/>
        </w:rPr>
        <w:t>.1: Comparative Analysis of RAG and GraphRAG Models</w:t>
      </w:r>
    </w:p>
    <w:tbl>
      <w:tblPr>
        <w:tblW w:w="8505" w:type="dxa"/>
        <w:jc w:val="center"/>
        <w:tblLook w:val="04A0" w:firstRow="1" w:lastRow="0" w:firstColumn="1" w:lastColumn="0" w:noHBand="0" w:noVBand="1"/>
      </w:tblPr>
      <w:tblGrid>
        <w:gridCol w:w="2694"/>
        <w:gridCol w:w="2551"/>
        <w:gridCol w:w="3260"/>
      </w:tblGrid>
      <w:tr w:rsidR="002957C9" w:rsidRPr="002957C9" w14:paraId="38153C44"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4DC7B1B3" w14:textId="77777777" w:rsidR="002957C9" w:rsidRPr="002957C9" w:rsidRDefault="002957C9" w:rsidP="002957C9">
            <w:pPr>
              <w:rPr>
                <w:rFonts w:ascii="Times New Roman" w:hAnsi="Times New Roman" w:cs="Times New Roman"/>
                <w:b/>
                <w:bCs/>
                <w:sz w:val="20"/>
                <w:szCs w:val="20"/>
              </w:rPr>
            </w:pPr>
            <w:r w:rsidRPr="002957C9">
              <w:rPr>
                <w:rFonts w:ascii="Times New Roman" w:hAnsi="Times New Roman" w:cs="Times New Roman"/>
                <w:b/>
                <w:bCs/>
                <w:sz w:val="20"/>
                <w:szCs w:val="20"/>
              </w:rPr>
              <w:t>Criteria</w:t>
            </w:r>
          </w:p>
        </w:tc>
        <w:tc>
          <w:tcPr>
            <w:tcW w:w="2551" w:type="dxa"/>
            <w:tcBorders>
              <w:top w:val="single" w:sz="4" w:space="0" w:color="auto"/>
              <w:left w:val="single" w:sz="4" w:space="0" w:color="auto"/>
              <w:bottom w:val="single" w:sz="4" w:space="0" w:color="auto"/>
              <w:right w:val="single" w:sz="4" w:space="0" w:color="auto"/>
            </w:tcBorders>
            <w:hideMark/>
          </w:tcPr>
          <w:p w14:paraId="00F8EC50" w14:textId="77777777" w:rsidR="002957C9" w:rsidRPr="002957C9" w:rsidRDefault="002957C9" w:rsidP="002957C9">
            <w:pPr>
              <w:rPr>
                <w:rFonts w:ascii="Times New Roman" w:hAnsi="Times New Roman" w:cs="Times New Roman"/>
                <w:b/>
                <w:bCs/>
                <w:sz w:val="20"/>
                <w:szCs w:val="20"/>
              </w:rPr>
            </w:pPr>
            <w:r w:rsidRPr="002957C9">
              <w:rPr>
                <w:rFonts w:ascii="Times New Roman" w:hAnsi="Times New Roman" w:cs="Times New Roman"/>
                <w:b/>
                <w:bCs/>
                <w:sz w:val="20"/>
                <w:szCs w:val="20"/>
              </w:rPr>
              <w:t>Prior RAG</w:t>
            </w:r>
          </w:p>
        </w:tc>
        <w:tc>
          <w:tcPr>
            <w:tcW w:w="3260" w:type="dxa"/>
            <w:tcBorders>
              <w:top w:val="single" w:sz="4" w:space="0" w:color="auto"/>
              <w:left w:val="single" w:sz="4" w:space="0" w:color="auto"/>
              <w:bottom w:val="single" w:sz="4" w:space="0" w:color="auto"/>
              <w:right w:val="single" w:sz="4" w:space="0" w:color="auto"/>
            </w:tcBorders>
            <w:hideMark/>
          </w:tcPr>
          <w:p w14:paraId="688E59BB" w14:textId="77777777" w:rsidR="002957C9" w:rsidRPr="002957C9" w:rsidRDefault="002957C9" w:rsidP="002957C9">
            <w:pPr>
              <w:rPr>
                <w:rFonts w:ascii="Times New Roman" w:hAnsi="Times New Roman" w:cs="Times New Roman"/>
                <w:b/>
                <w:bCs/>
                <w:sz w:val="20"/>
                <w:szCs w:val="20"/>
              </w:rPr>
            </w:pPr>
            <w:r w:rsidRPr="002957C9">
              <w:rPr>
                <w:rFonts w:ascii="Times New Roman" w:hAnsi="Times New Roman" w:cs="Times New Roman"/>
                <w:b/>
                <w:bCs/>
                <w:sz w:val="20"/>
                <w:szCs w:val="20"/>
              </w:rPr>
              <w:t>GraphRAG</w:t>
            </w:r>
          </w:p>
        </w:tc>
      </w:tr>
      <w:tr w:rsidR="002957C9" w:rsidRPr="002957C9" w14:paraId="0D101E46"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21B5E023"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Knowledge Retrieval</w:t>
            </w:r>
          </w:p>
        </w:tc>
        <w:tc>
          <w:tcPr>
            <w:tcW w:w="2551" w:type="dxa"/>
            <w:tcBorders>
              <w:top w:val="single" w:sz="4" w:space="0" w:color="auto"/>
              <w:left w:val="single" w:sz="4" w:space="0" w:color="auto"/>
              <w:bottom w:val="single" w:sz="4" w:space="0" w:color="auto"/>
              <w:right w:val="single" w:sz="4" w:space="0" w:color="auto"/>
            </w:tcBorders>
            <w:hideMark/>
          </w:tcPr>
          <w:p w14:paraId="5964539D"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Text-based retriever</w:t>
            </w:r>
          </w:p>
        </w:tc>
        <w:tc>
          <w:tcPr>
            <w:tcW w:w="3260" w:type="dxa"/>
            <w:tcBorders>
              <w:top w:val="single" w:sz="4" w:space="0" w:color="auto"/>
              <w:left w:val="single" w:sz="4" w:space="0" w:color="auto"/>
              <w:bottom w:val="single" w:sz="4" w:space="0" w:color="auto"/>
              <w:right w:val="single" w:sz="4" w:space="0" w:color="auto"/>
            </w:tcBorders>
            <w:hideMark/>
          </w:tcPr>
          <w:p w14:paraId="78E89103"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Graph-based retrieval</w:t>
            </w:r>
          </w:p>
        </w:tc>
      </w:tr>
      <w:tr w:rsidR="002957C9" w:rsidRPr="002957C9" w14:paraId="4B66220A"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3E661269"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Contextual Understanding</w:t>
            </w:r>
          </w:p>
        </w:tc>
        <w:tc>
          <w:tcPr>
            <w:tcW w:w="2551" w:type="dxa"/>
            <w:tcBorders>
              <w:top w:val="single" w:sz="4" w:space="0" w:color="auto"/>
              <w:left w:val="single" w:sz="4" w:space="0" w:color="auto"/>
              <w:bottom w:val="single" w:sz="4" w:space="0" w:color="auto"/>
              <w:right w:val="single" w:sz="4" w:space="0" w:color="auto"/>
            </w:tcBorders>
            <w:hideMark/>
          </w:tcPr>
          <w:p w14:paraId="6CDD1BB6"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Limited</w:t>
            </w:r>
          </w:p>
        </w:tc>
        <w:tc>
          <w:tcPr>
            <w:tcW w:w="3260" w:type="dxa"/>
            <w:tcBorders>
              <w:top w:val="single" w:sz="4" w:space="0" w:color="auto"/>
              <w:left w:val="single" w:sz="4" w:space="0" w:color="auto"/>
              <w:bottom w:val="single" w:sz="4" w:space="0" w:color="auto"/>
              <w:right w:val="single" w:sz="4" w:space="0" w:color="auto"/>
            </w:tcBorders>
            <w:hideMark/>
          </w:tcPr>
          <w:p w14:paraId="797CFF96"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Expanded</w:t>
            </w:r>
          </w:p>
        </w:tc>
      </w:tr>
      <w:tr w:rsidR="002957C9" w:rsidRPr="002957C9" w14:paraId="07A246A0"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2834BFE9"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Answer Generation</w:t>
            </w:r>
          </w:p>
        </w:tc>
        <w:tc>
          <w:tcPr>
            <w:tcW w:w="2551" w:type="dxa"/>
            <w:tcBorders>
              <w:top w:val="single" w:sz="4" w:space="0" w:color="auto"/>
              <w:left w:val="single" w:sz="4" w:space="0" w:color="auto"/>
              <w:bottom w:val="single" w:sz="4" w:space="0" w:color="auto"/>
              <w:right w:val="single" w:sz="4" w:space="0" w:color="auto"/>
            </w:tcBorders>
            <w:hideMark/>
          </w:tcPr>
          <w:p w14:paraId="0AB3252A"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Factually correct, but less nuanced</w:t>
            </w:r>
          </w:p>
        </w:tc>
        <w:tc>
          <w:tcPr>
            <w:tcW w:w="3260" w:type="dxa"/>
            <w:tcBorders>
              <w:top w:val="single" w:sz="4" w:space="0" w:color="auto"/>
              <w:left w:val="single" w:sz="4" w:space="0" w:color="auto"/>
              <w:bottom w:val="single" w:sz="4" w:space="0" w:color="auto"/>
              <w:right w:val="single" w:sz="4" w:space="0" w:color="auto"/>
            </w:tcBorders>
            <w:hideMark/>
          </w:tcPr>
          <w:p w14:paraId="15A575BB"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Factually accurate and more nuanced</w:t>
            </w:r>
          </w:p>
        </w:tc>
      </w:tr>
      <w:tr w:rsidR="002957C9" w:rsidRPr="002957C9" w14:paraId="334F5EA5"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777C2ABC"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Flexibility</w:t>
            </w:r>
          </w:p>
        </w:tc>
        <w:tc>
          <w:tcPr>
            <w:tcW w:w="2551" w:type="dxa"/>
            <w:tcBorders>
              <w:top w:val="single" w:sz="4" w:space="0" w:color="auto"/>
              <w:left w:val="single" w:sz="4" w:space="0" w:color="auto"/>
              <w:bottom w:val="single" w:sz="4" w:space="0" w:color="auto"/>
              <w:right w:val="single" w:sz="4" w:space="0" w:color="auto"/>
            </w:tcBorders>
            <w:hideMark/>
          </w:tcPr>
          <w:p w14:paraId="71805A7E"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Limited</w:t>
            </w:r>
          </w:p>
        </w:tc>
        <w:tc>
          <w:tcPr>
            <w:tcW w:w="3260" w:type="dxa"/>
            <w:tcBorders>
              <w:top w:val="single" w:sz="4" w:space="0" w:color="auto"/>
              <w:left w:val="single" w:sz="4" w:space="0" w:color="auto"/>
              <w:bottom w:val="single" w:sz="4" w:space="0" w:color="auto"/>
              <w:right w:val="single" w:sz="4" w:space="0" w:color="auto"/>
            </w:tcBorders>
            <w:hideMark/>
          </w:tcPr>
          <w:p w14:paraId="641C78B3"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Higher</w:t>
            </w:r>
          </w:p>
        </w:tc>
      </w:tr>
      <w:tr w:rsidR="002957C9" w:rsidRPr="002957C9" w14:paraId="2BA240E0"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06EE9DD6"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Scalability</w:t>
            </w:r>
          </w:p>
        </w:tc>
        <w:tc>
          <w:tcPr>
            <w:tcW w:w="2551" w:type="dxa"/>
            <w:tcBorders>
              <w:top w:val="single" w:sz="4" w:space="0" w:color="auto"/>
              <w:left w:val="single" w:sz="4" w:space="0" w:color="auto"/>
              <w:bottom w:val="single" w:sz="4" w:space="0" w:color="auto"/>
              <w:right w:val="single" w:sz="4" w:space="0" w:color="auto"/>
            </w:tcBorders>
            <w:hideMark/>
          </w:tcPr>
          <w:p w14:paraId="0B29CF92"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Constrained by the retrieval method</w:t>
            </w:r>
          </w:p>
        </w:tc>
        <w:tc>
          <w:tcPr>
            <w:tcW w:w="3260" w:type="dxa"/>
            <w:tcBorders>
              <w:top w:val="single" w:sz="4" w:space="0" w:color="auto"/>
              <w:left w:val="single" w:sz="4" w:space="0" w:color="auto"/>
              <w:bottom w:val="single" w:sz="4" w:space="0" w:color="auto"/>
              <w:right w:val="single" w:sz="4" w:space="0" w:color="auto"/>
            </w:tcBorders>
            <w:hideMark/>
          </w:tcPr>
          <w:p w14:paraId="5E0CC9B0"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Scalable to large datasets</w:t>
            </w:r>
          </w:p>
        </w:tc>
      </w:tr>
      <w:tr w:rsidR="002957C9" w:rsidRPr="002957C9" w14:paraId="25032E7F"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0A9FA659"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Knowledge Representation</w:t>
            </w:r>
          </w:p>
        </w:tc>
        <w:tc>
          <w:tcPr>
            <w:tcW w:w="2551" w:type="dxa"/>
            <w:tcBorders>
              <w:top w:val="single" w:sz="4" w:space="0" w:color="auto"/>
              <w:left w:val="single" w:sz="4" w:space="0" w:color="auto"/>
              <w:bottom w:val="single" w:sz="4" w:space="0" w:color="auto"/>
              <w:right w:val="single" w:sz="4" w:space="0" w:color="auto"/>
            </w:tcBorders>
            <w:hideMark/>
          </w:tcPr>
          <w:p w14:paraId="29BD570F"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Flat document storage</w:t>
            </w:r>
          </w:p>
        </w:tc>
        <w:tc>
          <w:tcPr>
            <w:tcW w:w="3260" w:type="dxa"/>
            <w:tcBorders>
              <w:top w:val="single" w:sz="4" w:space="0" w:color="auto"/>
              <w:left w:val="single" w:sz="4" w:space="0" w:color="auto"/>
              <w:bottom w:val="single" w:sz="4" w:space="0" w:color="auto"/>
              <w:right w:val="single" w:sz="4" w:space="0" w:color="auto"/>
            </w:tcBorders>
            <w:hideMark/>
          </w:tcPr>
          <w:p w14:paraId="5FC1B32A"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Structured graph database</w:t>
            </w:r>
          </w:p>
        </w:tc>
      </w:tr>
      <w:tr w:rsidR="002957C9" w:rsidRPr="002957C9" w14:paraId="5A6449EA"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061B889F"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Inferencing</w:t>
            </w:r>
          </w:p>
        </w:tc>
        <w:tc>
          <w:tcPr>
            <w:tcW w:w="2551" w:type="dxa"/>
            <w:tcBorders>
              <w:top w:val="single" w:sz="4" w:space="0" w:color="auto"/>
              <w:left w:val="single" w:sz="4" w:space="0" w:color="auto"/>
              <w:bottom w:val="single" w:sz="4" w:space="0" w:color="auto"/>
              <w:right w:val="single" w:sz="4" w:space="0" w:color="auto"/>
            </w:tcBorders>
            <w:hideMark/>
          </w:tcPr>
          <w:p w14:paraId="6954DE00"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Basic, single-hop reasoning</w:t>
            </w:r>
          </w:p>
        </w:tc>
        <w:tc>
          <w:tcPr>
            <w:tcW w:w="3260" w:type="dxa"/>
            <w:tcBorders>
              <w:top w:val="single" w:sz="4" w:space="0" w:color="auto"/>
              <w:left w:val="single" w:sz="4" w:space="0" w:color="auto"/>
              <w:bottom w:val="single" w:sz="4" w:space="0" w:color="auto"/>
              <w:right w:val="single" w:sz="4" w:space="0" w:color="auto"/>
            </w:tcBorders>
            <w:hideMark/>
          </w:tcPr>
          <w:p w14:paraId="77D5A693"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Multi-hop reasoning via graph traversal</w:t>
            </w:r>
          </w:p>
        </w:tc>
      </w:tr>
      <w:tr w:rsidR="002957C9" w:rsidRPr="002957C9" w14:paraId="4CD8A1E1"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5474813B"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Computational Efficiency</w:t>
            </w:r>
          </w:p>
        </w:tc>
        <w:tc>
          <w:tcPr>
            <w:tcW w:w="2551" w:type="dxa"/>
            <w:tcBorders>
              <w:top w:val="single" w:sz="4" w:space="0" w:color="auto"/>
              <w:left w:val="single" w:sz="4" w:space="0" w:color="auto"/>
              <w:bottom w:val="single" w:sz="4" w:space="0" w:color="auto"/>
              <w:right w:val="single" w:sz="4" w:space="0" w:color="auto"/>
            </w:tcBorders>
            <w:hideMark/>
          </w:tcPr>
          <w:p w14:paraId="148E8B81"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High inference cost</w:t>
            </w:r>
          </w:p>
        </w:tc>
        <w:tc>
          <w:tcPr>
            <w:tcW w:w="3260" w:type="dxa"/>
            <w:tcBorders>
              <w:top w:val="single" w:sz="4" w:space="0" w:color="auto"/>
              <w:left w:val="single" w:sz="4" w:space="0" w:color="auto"/>
              <w:bottom w:val="single" w:sz="4" w:space="0" w:color="auto"/>
              <w:right w:val="single" w:sz="4" w:space="0" w:color="auto"/>
            </w:tcBorders>
            <w:hideMark/>
          </w:tcPr>
          <w:p w14:paraId="3B8A89E3"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More efficient and optimised processing</w:t>
            </w:r>
          </w:p>
        </w:tc>
      </w:tr>
      <w:tr w:rsidR="002957C9" w:rsidRPr="002957C9" w14:paraId="69B6075D"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2DC71B77"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Accuracy</w:t>
            </w:r>
          </w:p>
        </w:tc>
        <w:tc>
          <w:tcPr>
            <w:tcW w:w="2551" w:type="dxa"/>
            <w:tcBorders>
              <w:top w:val="single" w:sz="4" w:space="0" w:color="auto"/>
              <w:left w:val="single" w:sz="4" w:space="0" w:color="auto"/>
              <w:bottom w:val="single" w:sz="4" w:space="0" w:color="auto"/>
              <w:right w:val="single" w:sz="4" w:space="0" w:color="auto"/>
            </w:tcBorders>
            <w:hideMark/>
          </w:tcPr>
          <w:p w14:paraId="4A757F31"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Prone to factual errors</w:t>
            </w:r>
          </w:p>
        </w:tc>
        <w:tc>
          <w:tcPr>
            <w:tcW w:w="3260" w:type="dxa"/>
            <w:tcBorders>
              <w:top w:val="single" w:sz="4" w:space="0" w:color="auto"/>
              <w:left w:val="single" w:sz="4" w:space="0" w:color="auto"/>
              <w:bottom w:val="single" w:sz="4" w:space="0" w:color="auto"/>
              <w:right w:val="single" w:sz="4" w:space="0" w:color="auto"/>
            </w:tcBorders>
            <w:hideMark/>
          </w:tcPr>
          <w:p w14:paraId="189D6846"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Improved factual grounding</w:t>
            </w:r>
          </w:p>
        </w:tc>
      </w:tr>
      <w:tr w:rsidR="002957C9" w:rsidRPr="002957C9" w14:paraId="754C3A51" w14:textId="77777777" w:rsidTr="002957C9">
        <w:trPr>
          <w:jc w:val="center"/>
        </w:trPr>
        <w:tc>
          <w:tcPr>
            <w:tcW w:w="2694" w:type="dxa"/>
            <w:tcBorders>
              <w:top w:val="single" w:sz="4" w:space="0" w:color="auto"/>
              <w:left w:val="single" w:sz="4" w:space="0" w:color="auto"/>
              <w:bottom w:val="single" w:sz="4" w:space="0" w:color="auto"/>
              <w:right w:val="single" w:sz="4" w:space="0" w:color="auto"/>
            </w:tcBorders>
            <w:hideMark/>
          </w:tcPr>
          <w:p w14:paraId="074574FF"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
                <w:bCs/>
                <w:sz w:val="20"/>
                <w:szCs w:val="20"/>
              </w:rPr>
              <w:t>Interpretability</w:t>
            </w:r>
          </w:p>
        </w:tc>
        <w:tc>
          <w:tcPr>
            <w:tcW w:w="2551" w:type="dxa"/>
            <w:tcBorders>
              <w:top w:val="single" w:sz="4" w:space="0" w:color="auto"/>
              <w:left w:val="single" w:sz="4" w:space="0" w:color="auto"/>
              <w:bottom w:val="single" w:sz="4" w:space="0" w:color="auto"/>
              <w:right w:val="single" w:sz="4" w:space="0" w:color="auto"/>
            </w:tcBorders>
            <w:hideMark/>
          </w:tcPr>
          <w:p w14:paraId="0EA617EE"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Opaque to users</w:t>
            </w:r>
          </w:p>
        </w:tc>
        <w:tc>
          <w:tcPr>
            <w:tcW w:w="3260" w:type="dxa"/>
            <w:tcBorders>
              <w:top w:val="single" w:sz="4" w:space="0" w:color="auto"/>
              <w:left w:val="single" w:sz="4" w:space="0" w:color="auto"/>
              <w:bottom w:val="single" w:sz="4" w:space="0" w:color="auto"/>
              <w:right w:val="single" w:sz="4" w:space="0" w:color="auto"/>
            </w:tcBorders>
            <w:hideMark/>
          </w:tcPr>
          <w:p w14:paraId="14F0CF45" w14:textId="77777777" w:rsidR="002957C9" w:rsidRPr="002957C9" w:rsidRDefault="002957C9" w:rsidP="002957C9">
            <w:pPr>
              <w:rPr>
                <w:rFonts w:ascii="Times New Roman" w:hAnsi="Times New Roman" w:cs="Times New Roman"/>
                <w:bCs/>
                <w:sz w:val="20"/>
                <w:szCs w:val="20"/>
              </w:rPr>
            </w:pPr>
            <w:r w:rsidRPr="002957C9">
              <w:rPr>
                <w:rFonts w:ascii="Times New Roman" w:hAnsi="Times New Roman" w:cs="Times New Roman"/>
                <w:bCs/>
                <w:sz w:val="20"/>
                <w:szCs w:val="20"/>
              </w:rPr>
              <w:t>Transparent and explainable</w:t>
            </w:r>
          </w:p>
        </w:tc>
      </w:tr>
    </w:tbl>
    <w:p w14:paraId="7ACB9B5A" w14:textId="312BD2E1" w:rsidR="00B661C7" w:rsidRPr="002F1111" w:rsidRDefault="00B661C7" w:rsidP="002F1111">
      <w:pPr>
        <w:jc w:val="both"/>
        <w:rPr>
          <w:rFonts w:ascii="Times New Roman" w:hAnsi="Times New Roman" w:cs="Times New Roman"/>
          <w:sz w:val="20"/>
          <w:szCs w:val="20"/>
        </w:rPr>
      </w:pPr>
      <w:r>
        <w:rPr>
          <w:rFonts w:ascii="Times New Roman" w:hAnsi="Times New Roman" w:cs="Times New Roman"/>
          <w:sz w:val="20"/>
          <w:szCs w:val="20"/>
          <w:lang w:val="en-US"/>
        </w:rPr>
        <w:t>This t</w:t>
      </w:r>
      <w:r w:rsidRPr="00B661C7">
        <w:rPr>
          <w:rFonts w:ascii="Times New Roman" w:hAnsi="Times New Roman" w:cs="Times New Roman"/>
          <w:sz w:val="20"/>
          <w:szCs w:val="20"/>
          <w:lang w:val="en-US"/>
        </w:rPr>
        <w:t>able provides a concise comparison of traditional RAG and GraphRAG systems. While prior RAG approaches demonstrate reasonable performance on fact retrieval, they struggle with contextual depth and relational understanding. GraphRAG enhances performance by introducing a graph-structured knowledge representation, which enables both fine-grained entity extraction and broader contextual coherence. This advantage is particularly important for tasks involving cross-document synthesis, where accuracy, transparency, and multi-hop inference significantly influence output quality.</w:t>
      </w:r>
    </w:p>
    <w:p w14:paraId="1BBFB231"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 Natural Language Interfaces to Databases</w:t>
      </w:r>
    </w:p>
    <w:p w14:paraId="05E6F6F4"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Text-to-SQL has been studied for decades, with early rule-based and template-based approaches giving way to machine learning methods. The advent of deep learning brought sequence-to-sequence models with attention mechanisms, achieving moderate success on simplified datasets [24]. However, complex queries involving multiple joins, nested subqueries, and advanced aggregations remained challenging.</w:t>
      </w:r>
    </w:p>
    <w:p w14:paraId="089CA9D6"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The Spider benchmark, introduced by Yu et al., established a rigorous evaluation framework for cross-domain Text-to-SQL [23]. Spider requires generalization to unseen database schemas, testing true natural language understanding rather than memorization of specific databases. Early neural approaches achieved only modest performance on Spider, highlighting the difficulty of schema grounding and compositional generalization.</w:t>
      </w:r>
    </w:p>
    <w:p w14:paraId="7D2C3D3F"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Recent pre-trained language models have substantially advanced Text-to-SQL capabilities. RAT-SQL incorporated relational-aware self-attention to better encode database schemas. BRIDGE introduced a unified representation bridging questions and database schemas through shared encoding. T5-based models fine-tuned on SQL generation tasks demonstrated strong performance through careful prompt engineering and schema serialization.</w:t>
      </w:r>
    </w:p>
    <w:p w14:paraId="046271E5" w14:textId="77777777" w:rsidR="002021A7"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 xml:space="preserve">RESDSQL, proposed by Li et al., achieved state-of-the-art results through a decoupling approach that separately handles schema linking and skeleton parsing [10]. Their method first identifies relevant tables and columns, then generates SQL skeletons with placeholders, finally filling in specific values. This decomposition achieved 84.1 </w:t>
      </w:r>
    </w:p>
    <w:p w14:paraId="2536972B" w14:textId="42199C08" w:rsidR="002F1111" w:rsidRPr="002F1111" w:rsidRDefault="00D13ECA" w:rsidP="002F1111">
      <w:pPr>
        <w:jc w:val="both"/>
        <w:rPr>
          <w:rFonts w:ascii="Times New Roman" w:hAnsi="Times New Roman" w:cs="Times New Roman"/>
          <w:sz w:val="20"/>
          <w:szCs w:val="20"/>
        </w:rPr>
      </w:pPr>
      <w:r>
        <w:rPr>
          <w:rFonts w:ascii="Times New Roman" w:hAnsi="Times New Roman" w:cs="Times New Roman"/>
          <w:sz w:val="20"/>
          <w:szCs w:val="20"/>
        </w:rPr>
        <w:t>%</w:t>
      </w:r>
      <w:r w:rsidR="002F1111" w:rsidRPr="002F1111">
        <w:rPr>
          <w:rFonts w:ascii="Times New Roman" w:hAnsi="Times New Roman" w:cs="Times New Roman"/>
          <w:sz w:val="20"/>
          <w:szCs w:val="20"/>
        </w:rPr>
        <w:t xml:space="preserve"> execution accuracy on Spider, representing significant progress toward practical natural language database interfaces.</w:t>
      </w:r>
    </w:p>
    <w:p w14:paraId="3A521B12"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 xml:space="preserve">DIN-SQL advanced the field further through decomposed in-context learning with self-correction [12]. Their approach breaks SQL generation into subproblems including schema linking, column selection, and SQL </w:t>
      </w:r>
      <w:r w:rsidRPr="002F1111">
        <w:rPr>
          <w:rFonts w:ascii="Times New Roman" w:hAnsi="Times New Roman" w:cs="Times New Roman"/>
          <w:sz w:val="20"/>
          <w:szCs w:val="20"/>
        </w:rPr>
        <w:lastRenderedPageBreak/>
        <w:t>composition, using separate language model calls for each stage with intermediate self-verification. This decomposition improved both accuracy and interpretability of the generation process.</w:t>
      </w:r>
    </w:p>
    <w:p w14:paraId="7AE56231" w14:textId="77777777" w:rsidR="002F1111" w:rsidRPr="002F1111" w:rsidRDefault="002F1111" w:rsidP="002F1111">
      <w:pPr>
        <w:jc w:val="both"/>
        <w:rPr>
          <w:rFonts w:ascii="Times New Roman" w:hAnsi="Times New Roman" w:cs="Times New Roman"/>
          <w:sz w:val="20"/>
          <w:szCs w:val="20"/>
        </w:rPr>
      </w:pPr>
      <w:r w:rsidRPr="002F1111">
        <w:rPr>
          <w:rFonts w:ascii="Times New Roman" w:hAnsi="Times New Roman" w:cs="Times New Roman"/>
          <w:sz w:val="20"/>
          <w:szCs w:val="20"/>
        </w:rPr>
        <w:t>Despite these advances, most Text-to-SQL research focuses on academic benchmarks with limited discussion of practical deployment considerations such as query safety validation, result explanation generation, and user interface design. Our work addresses these practical aspects while achieving competitive accuracy on complex queries.</w:t>
      </w:r>
    </w:p>
    <w:p w14:paraId="2EB3AE7F"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 Domain-Specific Language Model Adaptation</w:t>
      </w:r>
    </w:p>
    <w:p w14:paraId="3722D100" w14:textId="77777777" w:rsidR="0052605F" w:rsidRPr="0052605F" w:rsidRDefault="0052605F" w:rsidP="0052605F">
      <w:pPr>
        <w:rPr>
          <w:rFonts w:ascii="Times New Roman" w:hAnsi="Times New Roman" w:cs="Times New Roman"/>
          <w:sz w:val="20"/>
          <w:szCs w:val="20"/>
        </w:rPr>
      </w:pPr>
      <w:r w:rsidRPr="0052605F">
        <w:rPr>
          <w:rFonts w:ascii="Times New Roman" w:hAnsi="Times New Roman" w:cs="Times New Roman"/>
          <w:sz w:val="20"/>
          <w:szCs w:val="20"/>
        </w:rPr>
        <w:t>Transfer learning and domain adaptation for language models have been extensively studied. Early work demonstrated that pre-trained models could be fine-tuned on domain-specific data to improve performance on specialized tasks. ULMFiT introduced effective fine-tuning strategies including discriminative learning rates and gradual unfreezing [29]. Domain-adaptive pre-training, which continues pre-training on domain-specific corpora before task-specific fine-tuning, has shown consistent benefits across various domains.</w:t>
      </w:r>
    </w:p>
    <w:p w14:paraId="4DB8C677" w14:textId="77777777" w:rsidR="0052605F" w:rsidRPr="0052605F" w:rsidRDefault="0052605F" w:rsidP="0052605F">
      <w:pPr>
        <w:rPr>
          <w:rFonts w:ascii="Times New Roman" w:hAnsi="Times New Roman" w:cs="Times New Roman"/>
          <w:sz w:val="20"/>
          <w:szCs w:val="20"/>
        </w:rPr>
      </w:pPr>
      <w:r w:rsidRPr="0052605F">
        <w:rPr>
          <w:rFonts w:ascii="Times New Roman" w:hAnsi="Times New Roman" w:cs="Times New Roman"/>
          <w:sz w:val="20"/>
          <w:szCs w:val="20"/>
        </w:rPr>
        <w:t>Recent parameter-efficient fine-tuning methods have enabled adaptation of very large models without full parameter updates. LoRA introduces low-rank adaptation matrices that modify model behavior while freezing original parameters, dramatically reducing training costs and storage requirements [28]. Prefix tuning, adapter layers, and prompt tuning offer alternative approaches to efficient adaptation.</w:t>
      </w:r>
    </w:p>
    <w:p w14:paraId="44A2986D" w14:textId="77777777" w:rsidR="0052605F" w:rsidRPr="0052605F" w:rsidRDefault="0052605F" w:rsidP="0052605F">
      <w:pPr>
        <w:rPr>
          <w:rFonts w:ascii="Times New Roman" w:hAnsi="Times New Roman" w:cs="Times New Roman"/>
          <w:sz w:val="20"/>
          <w:szCs w:val="20"/>
        </w:rPr>
      </w:pPr>
      <w:r w:rsidRPr="0052605F">
        <w:rPr>
          <w:rFonts w:ascii="Times New Roman" w:hAnsi="Times New Roman" w:cs="Times New Roman"/>
          <w:sz w:val="20"/>
          <w:szCs w:val="20"/>
        </w:rPr>
        <w:t>Domain-specific language models have been developed for various fields. BioBERT, SciBERT, and PubMedBERT target biomedical and scientific domains. LegalBERT and CaseLaw models address legal document understanding. FinBERT targets financial text analysis. These specialized models consistently outperform general-purpose models on domain-specific tasks.</w:t>
      </w:r>
    </w:p>
    <w:p w14:paraId="4B9E414D" w14:textId="0D4ABB8B" w:rsidR="002021A7" w:rsidRPr="008F6905" w:rsidRDefault="0052605F">
      <w:pPr>
        <w:rPr>
          <w:rFonts w:ascii="Times New Roman" w:hAnsi="Times New Roman" w:cs="Times New Roman"/>
          <w:sz w:val="20"/>
          <w:szCs w:val="20"/>
        </w:rPr>
      </w:pPr>
      <w:r w:rsidRPr="0052605F">
        <w:rPr>
          <w:rFonts w:ascii="Times New Roman" w:hAnsi="Times New Roman" w:cs="Times New Roman"/>
          <w:sz w:val="20"/>
          <w:szCs w:val="20"/>
        </w:rPr>
        <w:t>However, most research focuses on encoder-only models like BERT variants or relatively small generative models. The training of large-scale generative models from scratch for specific domains remains rare due to computational costs. Our work demonstrates practical feasibility of training a 175-billion parameter model and multiple specialized variants, providing insights into the training process, resource requirements, and performance benefits of custom large language models [13], [21], [22].</w:t>
      </w:r>
    </w:p>
    <w:tbl>
      <w:tblPr>
        <w:tblW w:w="8505" w:type="dxa"/>
        <w:tblInd w:w="-147" w:type="dxa"/>
        <w:tblLayout w:type="fixed"/>
        <w:tblLook w:val="04A0" w:firstRow="1" w:lastRow="0" w:firstColumn="1" w:lastColumn="0" w:noHBand="0" w:noVBand="1"/>
      </w:tblPr>
      <w:tblGrid>
        <w:gridCol w:w="1134"/>
        <w:gridCol w:w="992"/>
        <w:gridCol w:w="1412"/>
        <w:gridCol w:w="1559"/>
        <w:gridCol w:w="1140"/>
        <w:gridCol w:w="992"/>
        <w:gridCol w:w="1276"/>
      </w:tblGrid>
      <w:tr w:rsidR="002021A7" w:rsidRPr="002021A7" w14:paraId="3A7AE0F0"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113C0FF3"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Author(s) &amp; Year</w:t>
            </w:r>
          </w:p>
        </w:tc>
        <w:tc>
          <w:tcPr>
            <w:tcW w:w="992" w:type="dxa"/>
            <w:tcBorders>
              <w:top w:val="single" w:sz="4" w:space="0" w:color="auto"/>
              <w:left w:val="single" w:sz="4" w:space="0" w:color="auto"/>
              <w:bottom w:val="single" w:sz="4" w:space="0" w:color="auto"/>
              <w:right w:val="single" w:sz="4" w:space="0" w:color="auto"/>
            </w:tcBorders>
            <w:hideMark/>
          </w:tcPr>
          <w:p w14:paraId="483CA31C"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Title</w:t>
            </w:r>
          </w:p>
        </w:tc>
        <w:tc>
          <w:tcPr>
            <w:tcW w:w="1412" w:type="dxa"/>
            <w:tcBorders>
              <w:top w:val="single" w:sz="4" w:space="0" w:color="auto"/>
              <w:left w:val="single" w:sz="4" w:space="0" w:color="auto"/>
              <w:bottom w:val="single" w:sz="4" w:space="0" w:color="auto"/>
              <w:right w:val="single" w:sz="4" w:space="0" w:color="auto"/>
            </w:tcBorders>
            <w:hideMark/>
          </w:tcPr>
          <w:p w14:paraId="594A4E19"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Research Focus</w:t>
            </w:r>
          </w:p>
        </w:tc>
        <w:tc>
          <w:tcPr>
            <w:tcW w:w="1559" w:type="dxa"/>
            <w:tcBorders>
              <w:top w:val="single" w:sz="4" w:space="0" w:color="auto"/>
              <w:left w:val="single" w:sz="4" w:space="0" w:color="auto"/>
              <w:bottom w:val="single" w:sz="4" w:space="0" w:color="auto"/>
              <w:right w:val="single" w:sz="4" w:space="0" w:color="auto"/>
            </w:tcBorders>
            <w:hideMark/>
          </w:tcPr>
          <w:p w14:paraId="12A308A0"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Methodology</w:t>
            </w:r>
          </w:p>
        </w:tc>
        <w:tc>
          <w:tcPr>
            <w:tcW w:w="1140" w:type="dxa"/>
            <w:tcBorders>
              <w:top w:val="single" w:sz="4" w:space="0" w:color="auto"/>
              <w:left w:val="single" w:sz="4" w:space="0" w:color="auto"/>
              <w:bottom w:val="single" w:sz="4" w:space="0" w:color="auto"/>
              <w:right w:val="single" w:sz="4" w:space="0" w:color="auto"/>
            </w:tcBorders>
            <w:hideMark/>
          </w:tcPr>
          <w:p w14:paraId="138E990D"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Key Dataset(s)</w:t>
            </w:r>
          </w:p>
        </w:tc>
        <w:tc>
          <w:tcPr>
            <w:tcW w:w="992" w:type="dxa"/>
            <w:tcBorders>
              <w:top w:val="single" w:sz="4" w:space="0" w:color="auto"/>
              <w:left w:val="single" w:sz="4" w:space="0" w:color="auto"/>
              <w:bottom w:val="single" w:sz="4" w:space="0" w:color="auto"/>
              <w:right w:val="single" w:sz="4" w:space="0" w:color="auto"/>
            </w:tcBorders>
            <w:hideMark/>
          </w:tcPr>
          <w:p w14:paraId="609240AB"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Main Results/Contributions</w:t>
            </w:r>
          </w:p>
        </w:tc>
        <w:tc>
          <w:tcPr>
            <w:tcW w:w="1276" w:type="dxa"/>
            <w:tcBorders>
              <w:top w:val="single" w:sz="4" w:space="0" w:color="auto"/>
              <w:left w:val="single" w:sz="4" w:space="0" w:color="auto"/>
              <w:bottom w:val="single" w:sz="4" w:space="0" w:color="auto"/>
              <w:right w:val="single" w:sz="4" w:space="0" w:color="auto"/>
            </w:tcBorders>
            <w:hideMark/>
          </w:tcPr>
          <w:p w14:paraId="65C7BBC2" w14:textId="77777777" w:rsidR="002021A7" w:rsidRPr="002021A7" w:rsidRDefault="002021A7" w:rsidP="002021A7">
            <w:pPr>
              <w:rPr>
                <w:rFonts w:ascii="Times New Roman" w:hAnsi="Times New Roman" w:cs="Times New Roman"/>
                <w:b/>
                <w:bCs/>
                <w:sz w:val="20"/>
                <w:szCs w:val="20"/>
              </w:rPr>
            </w:pPr>
            <w:r w:rsidRPr="002021A7">
              <w:rPr>
                <w:rFonts w:ascii="Times New Roman" w:hAnsi="Times New Roman" w:cs="Times New Roman"/>
                <w:b/>
                <w:bCs/>
                <w:sz w:val="20"/>
                <w:szCs w:val="20"/>
              </w:rPr>
              <w:t>Evaluation Metrics</w:t>
            </w:r>
          </w:p>
        </w:tc>
      </w:tr>
      <w:tr w:rsidR="002021A7" w:rsidRPr="002021A7" w14:paraId="19A884C7"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17141A6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Rafailov et al. (2023) [1]</w:t>
            </w:r>
          </w:p>
        </w:tc>
        <w:tc>
          <w:tcPr>
            <w:tcW w:w="992" w:type="dxa"/>
            <w:tcBorders>
              <w:top w:val="single" w:sz="4" w:space="0" w:color="auto"/>
              <w:left w:val="single" w:sz="4" w:space="0" w:color="auto"/>
              <w:bottom w:val="single" w:sz="4" w:space="0" w:color="auto"/>
              <w:right w:val="single" w:sz="4" w:space="0" w:color="auto"/>
            </w:tcBorders>
            <w:hideMark/>
          </w:tcPr>
          <w:p w14:paraId="7945924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Direct Preference Optimisation: Your Language Model is Secretly a Reward Model</w:t>
            </w:r>
          </w:p>
        </w:tc>
        <w:tc>
          <w:tcPr>
            <w:tcW w:w="1412" w:type="dxa"/>
            <w:tcBorders>
              <w:top w:val="single" w:sz="4" w:space="0" w:color="auto"/>
              <w:left w:val="single" w:sz="4" w:space="0" w:color="auto"/>
              <w:bottom w:val="single" w:sz="4" w:space="0" w:color="auto"/>
              <w:right w:val="single" w:sz="4" w:space="0" w:color="auto"/>
            </w:tcBorders>
            <w:hideMark/>
          </w:tcPr>
          <w:p w14:paraId="7D094B6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Preference alignment for LLMs without explicit reward models</w:t>
            </w:r>
          </w:p>
        </w:tc>
        <w:tc>
          <w:tcPr>
            <w:tcW w:w="1559" w:type="dxa"/>
            <w:tcBorders>
              <w:top w:val="single" w:sz="4" w:space="0" w:color="auto"/>
              <w:left w:val="single" w:sz="4" w:space="0" w:color="auto"/>
              <w:bottom w:val="single" w:sz="4" w:space="0" w:color="auto"/>
              <w:right w:val="single" w:sz="4" w:space="0" w:color="auto"/>
            </w:tcBorders>
            <w:hideMark/>
          </w:tcPr>
          <w:p w14:paraId="689E0B9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Bradley-Terry model; Direct optimisation of policy from preferences; KL-constrained RL without reward model</w:t>
            </w:r>
          </w:p>
        </w:tc>
        <w:tc>
          <w:tcPr>
            <w:tcW w:w="1140" w:type="dxa"/>
            <w:tcBorders>
              <w:top w:val="single" w:sz="4" w:space="0" w:color="auto"/>
              <w:left w:val="single" w:sz="4" w:space="0" w:color="auto"/>
              <w:bottom w:val="single" w:sz="4" w:space="0" w:color="auto"/>
              <w:right w:val="single" w:sz="4" w:space="0" w:color="auto"/>
            </w:tcBorders>
            <w:hideMark/>
          </w:tcPr>
          <w:p w14:paraId="122EF4E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Anthropic-HH dialogue, TL;DR summarisation, IMDb sentiment</w:t>
            </w:r>
          </w:p>
        </w:tc>
        <w:tc>
          <w:tcPr>
            <w:tcW w:w="992" w:type="dxa"/>
            <w:tcBorders>
              <w:top w:val="single" w:sz="4" w:space="0" w:color="auto"/>
              <w:left w:val="single" w:sz="4" w:space="0" w:color="auto"/>
              <w:bottom w:val="single" w:sz="4" w:space="0" w:color="auto"/>
              <w:right w:val="single" w:sz="4" w:space="0" w:color="auto"/>
            </w:tcBorders>
            <w:hideMark/>
          </w:tcPr>
          <w:p w14:paraId="2E76D88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DPO matches/exceeds PPO-RLHF; 1.3B DPO outperforms 175B SFT; Simpler, stable training</w:t>
            </w:r>
          </w:p>
        </w:tc>
        <w:tc>
          <w:tcPr>
            <w:tcW w:w="1276" w:type="dxa"/>
            <w:tcBorders>
              <w:top w:val="single" w:sz="4" w:space="0" w:color="auto"/>
              <w:left w:val="single" w:sz="4" w:space="0" w:color="auto"/>
              <w:bottom w:val="single" w:sz="4" w:space="0" w:color="auto"/>
              <w:right w:val="single" w:sz="4" w:space="0" w:color="auto"/>
            </w:tcBorders>
            <w:hideMark/>
          </w:tcPr>
          <w:p w14:paraId="205C8D6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Win rate vs baselines, GPT-4 judgments, Reward model accuracy, KL divergence</w:t>
            </w:r>
          </w:p>
        </w:tc>
      </w:tr>
      <w:tr w:rsidR="002021A7" w:rsidRPr="002021A7" w14:paraId="7BAB3EB1"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0FA852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Ouyang et al. (2022) [2]</w:t>
            </w:r>
          </w:p>
        </w:tc>
        <w:tc>
          <w:tcPr>
            <w:tcW w:w="992" w:type="dxa"/>
            <w:tcBorders>
              <w:top w:val="single" w:sz="4" w:space="0" w:color="auto"/>
              <w:left w:val="single" w:sz="4" w:space="0" w:color="auto"/>
              <w:bottom w:val="single" w:sz="4" w:space="0" w:color="auto"/>
              <w:right w:val="single" w:sz="4" w:space="0" w:color="auto"/>
            </w:tcBorders>
            <w:hideMark/>
          </w:tcPr>
          <w:p w14:paraId="55D3389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Training language models to follow instructions with human feedback </w:t>
            </w:r>
            <w:r w:rsidRPr="002021A7">
              <w:rPr>
                <w:rFonts w:ascii="Times New Roman" w:hAnsi="Times New Roman" w:cs="Times New Roman"/>
                <w:sz w:val="20"/>
                <w:szCs w:val="20"/>
              </w:rPr>
              <w:lastRenderedPageBreak/>
              <w:t>(InstructGPT)</w:t>
            </w:r>
          </w:p>
        </w:tc>
        <w:tc>
          <w:tcPr>
            <w:tcW w:w="1412" w:type="dxa"/>
            <w:tcBorders>
              <w:top w:val="single" w:sz="4" w:space="0" w:color="auto"/>
              <w:left w:val="single" w:sz="4" w:space="0" w:color="auto"/>
              <w:bottom w:val="single" w:sz="4" w:space="0" w:color="auto"/>
              <w:right w:val="single" w:sz="4" w:space="0" w:color="auto"/>
            </w:tcBorders>
            <w:hideMark/>
          </w:tcPr>
          <w:p w14:paraId="232E791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RLHF for instruction-following capabilities</w:t>
            </w:r>
          </w:p>
        </w:tc>
        <w:tc>
          <w:tcPr>
            <w:tcW w:w="1559" w:type="dxa"/>
            <w:tcBorders>
              <w:top w:val="single" w:sz="4" w:space="0" w:color="auto"/>
              <w:left w:val="single" w:sz="4" w:space="0" w:color="auto"/>
              <w:bottom w:val="single" w:sz="4" w:space="0" w:color="auto"/>
              <w:right w:val="single" w:sz="4" w:space="0" w:color="auto"/>
            </w:tcBorders>
            <w:hideMark/>
          </w:tcPr>
          <w:p w14:paraId="48E7E30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Three-stage RLHF: supervised fine-tuning, reward modelling, PPO optimisation</w:t>
            </w:r>
          </w:p>
        </w:tc>
        <w:tc>
          <w:tcPr>
            <w:tcW w:w="1140" w:type="dxa"/>
            <w:tcBorders>
              <w:top w:val="single" w:sz="4" w:space="0" w:color="auto"/>
              <w:left w:val="single" w:sz="4" w:space="0" w:color="auto"/>
              <w:bottom w:val="single" w:sz="4" w:space="0" w:color="auto"/>
              <w:right w:val="single" w:sz="4" w:space="0" w:color="auto"/>
            </w:tcBorders>
            <w:hideMark/>
          </w:tcPr>
          <w:p w14:paraId="02FCAF6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Contractor demonstrations (13k training, 33k RM comparisons), OpenAI </w:t>
            </w:r>
            <w:r w:rsidRPr="002021A7">
              <w:rPr>
                <w:rFonts w:ascii="Times New Roman" w:hAnsi="Times New Roman" w:cs="Times New Roman"/>
                <w:sz w:val="20"/>
                <w:szCs w:val="20"/>
              </w:rPr>
              <w:lastRenderedPageBreak/>
              <w:t>API prompts</w:t>
            </w:r>
          </w:p>
        </w:tc>
        <w:tc>
          <w:tcPr>
            <w:tcW w:w="992" w:type="dxa"/>
            <w:tcBorders>
              <w:top w:val="single" w:sz="4" w:space="0" w:color="auto"/>
              <w:left w:val="single" w:sz="4" w:space="0" w:color="auto"/>
              <w:bottom w:val="single" w:sz="4" w:space="0" w:color="auto"/>
              <w:right w:val="single" w:sz="4" w:space="0" w:color="auto"/>
            </w:tcBorders>
            <w:hideMark/>
          </w:tcPr>
          <w:p w14:paraId="32E1B69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1.3B InstructGPT &gt; 175B GPT-3; 85% preference rate; 2x </w:t>
            </w:r>
            <w:r w:rsidRPr="002021A7">
              <w:rPr>
                <w:rFonts w:ascii="Times New Roman" w:hAnsi="Times New Roman" w:cs="Times New Roman"/>
                <w:sz w:val="20"/>
                <w:szCs w:val="20"/>
              </w:rPr>
              <w:lastRenderedPageBreak/>
              <w:t>truthfulness gain; 25% toxicity reduction</w:t>
            </w:r>
          </w:p>
        </w:tc>
        <w:tc>
          <w:tcPr>
            <w:tcW w:w="1276" w:type="dxa"/>
            <w:tcBorders>
              <w:top w:val="single" w:sz="4" w:space="0" w:color="auto"/>
              <w:left w:val="single" w:sz="4" w:space="0" w:color="auto"/>
              <w:bottom w:val="single" w:sz="4" w:space="0" w:color="auto"/>
              <w:right w:val="single" w:sz="4" w:space="0" w:color="auto"/>
            </w:tcBorders>
            <w:hideMark/>
          </w:tcPr>
          <w:p w14:paraId="1825C2B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Human preference scores, TruthfulQA accuracy, RealToxicityPrompts, </w:t>
            </w:r>
            <w:r w:rsidRPr="002021A7">
              <w:rPr>
                <w:rFonts w:ascii="Times New Roman" w:hAnsi="Times New Roman" w:cs="Times New Roman"/>
                <w:sz w:val="20"/>
                <w:szCs w:val="20"/>
              </w:rPr>
              <w:lastRenderedPageBreak/>
              <w:t>SQuAD, HellaSwag</w:t>
            </w:r>
          </w:p>
        </w:tc>
      </w:tr>
      <w:tr w:rsidR="002021A7" w:rsidRPr="002021A7" w14:paraId="768885ED"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390FB3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Edge et al. (2024) [3]</w:t>
            </w:r>
          </w:p>
        </w:tc>
        <w:tc>
          <w:tcPr>
            <w:tcW w:w="992" w:type="dxa"/>
            <w:tcBorders>
              <w:top w:val="single" w:sz="4" w:space="0" w:color="auto"/>
              <w:left w:val="single" w:sz="4" w:space="0" w:color="auto"/>
              <w:bottom w:val="single" w:sz="4" w:space="0" w:color="auto"/>
              <w:right w:val="single" w:sz="4" w:space="0" w:color="auto"/>
            </w:tcBorders>
            <w:hideMark/>
          </w:tcPr>
          <w:p w14:paraId="1C01806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From Local to Global: A GraphRAG Approach to Query-Focused Summarisation</w:t>
            </w:r>
          </w:p>
        </w:tc>
        <w:tc>
          <w:tcPr>
            <w:tcW w:w="1412" w:type="dxa"/>
            <w:tcBorders>
              <w:top w:val="single" w:sz="4" w:space="0" w:color="auto"/>
              <w:left w:val="single" w:sz="4" w:space="0" w:color="auto"/>
              <w:bottom w:val="single" w:sz="4" w:space="0" w:color="auto"/>
              <w:right w:val="single" w:sz="4" w:space="0" w:color="auto"/>
            </w:tcBorders>
            <w:hideMark/>
          </w:tcPr>
          <w:p w14:paraId="00A80E7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Graph-based RAG for query-focused summarisation</w:t>
            </w:r>
          </w:p>
        </w:tc>
        <w:tc>
          <w:tcPr>
            <w:tcW w:w="1559" w:type="dxa"/>
            <w:tcBorders>
              <w:top w:val="single" w:sz="4" w:space="0" w:color="auto"/>
              <w:left w:val="single" w:sz="4" w:space="0" w:color="auto"/>
              <w:bottom w:val="single" w:sz="4" w:space="0" w:color="auto"/>
              <w:right w:val="single" w:sz="4" w:space="0" w:color="auto"/>
            </w:tcBorders>
            <w:hideMark/>
          </w:tcPr>
          <w:p w14:paraId="4A40C32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Entity extraction; Community detection (Leiden algorithm); Hierarchical summarization; Map-reduce architecture</w:t>
            </w:r>
          </w:p>
        </w:tc>
        <w:tc>
          <w:tcPr>
            <w:tcW w:w="1140" w:type="dxa"/>
            <w:tcBorders>
              <w:top w:val="single" w:sz="4" w:space="0" w:color="auto"/>
              <w:left w:val="single" w:sz="4" w:space="0" w:color="auto"/>
              <w:bottom w:val="single" w:sz="4" w:space="0" w:color="auto"/>
              <w:right w:val="single" w:sz="4" w:space="0" w:color="auto"/>
            </w:tcBorders>
            <w:hideMark/>
          </w:tcPr>
          <w:p w14:paraId="318B7EA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Podcast transcripts (1M tokens), News articles (1.7M tokens), Proprietary evaluation set</w:t>
            </w:r>
          </w:p>
        </w:tc>
        <w:tc>
          <w:tcPr>
            <w:tcW w:w="992" w:type="dxa"/>
            <w:tcBorders>
              <w:top w:val="single" w:sz="4" w:space="0" w:color="auto"/>
              <w:left w:val="single" w:sz="4" w:space="0" w:color="auto"/>
              <w:bottom w:val="single" w:sz="4" w:space="0" w:color="auto"/>
              <w:right w:val="single" w:sz="4" w:space="0" w:color="auto"/>
            </w:tcBorders>
            <w:hideMark/>
          </w:tcPr>
          <w:p w14:paraId="4F8740B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Outperforms naive RAG on comprehensiveness (72.4% vs 0%); Enables corpus-level reasoning.</w:t>
            </w:r>
          </w:p>
        </w:tc>
        <w:tc>
          <w:tcPr>
            <w:tcW w:w="1276" w:type="dxa"/>
            <w:tcBorders>
              <w:top w:val="single" w:sz="4" w:space="0" w:color="auto"/>
              <w:left w:val="single" w:sz="4" w:space="0" w:color="auto"/>
              <w:bottom w:val="single" w:sz="4" w:space="0" w:color="auto"/>
              <w:right w:val="single" w:sz="4" w:space="0" w:color="auto"/>
            </w:tcBorders>
            <w:hideMark/>
          </w:tcPr>
          <w:p w14:paraId="12CA50C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Comprehensiveness, Diversity, Empowerment, Directness (LLM-as-judge)</w:t>
            </w:r>
          </w:p>
        </w:tc>
      </w:tr>
      <w:tr w:rsidR="002021A7" w:rsidRPr="002021A7" w14:paraId="77744602"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6E86CD6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Pan et al. (2023) [4]</w:t>
            </w:r>
          </w:p>
        </w:tc>
        <w:tc>
          <w:tcPr>
            <w:tcW w:w="992" w:type="dxa"/>
            <w:tcBorders>
              <w:top w:val="single" w:sz="4" w:space="0" w:color="auto"/>
              <w:left w:val="single" w:sz="4" w:space="0" w:color="auto"/>
              <w:bottom w:val="single" w:sz="4" w:space="0" w:color="auto"/>
              <w:right w:val="single" w:sz="4" w:space="0" w:color="auto"/>
            </w:tcBorders>
            <w:hideMark/>
          </w:tcPr>
          <w:p w14:paraId="4483EA6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Unifying Large Language Models and Knowledge Graphs: A Roadmap</w:t>
            </w:r>
          </w:p>
        </w:tc>
        <w:tc>
          <w:tcPr>
            <w:tcW w:w="1412" w:type="dxa"/>
            <w:tcBorders>
              <w:top w:val="single" w:sz="4" w:space="0" w:color="auto"/>
              <w:left w:val="single" w:sz="4" w:space="0" w:color="auto"/>
              <w:bottom w:val="single" w:sz="4" w:space="0" w:color="auto"/>
              <w:right w:val="single" w:sz="4" w:space="0" w:color="auto"/>
            </w:tcBorders>
            <w:hideMark/>
          </w:tcPr>
          <w:p w14:paraId="13C330A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Integration of LLMs with knowledge graphs</w:t>
            </w:r>
          </w:p>
        </w:tc>
        <w:tc>
          <w:tcPr>
            <w:tcW w:w="1559" w:type="dxa"/>
            <w:tcBorders>
              <w:top w:val="single" w:sz="4" w:space="0" w:color="auto"/>
              <w:left w:val="single" w:sz="4" w:space="0" w:color="auto"/>
              <w:bottom w:val="single" w:sz="4" w:space="0" w:color="auto"/>
              <w:right w:val="single" w:sz="4" w:space="0" w:color="auto"/>
            </w:tcBorders>
            <w:hideMark/>
          </w:tcPr>
          <w:p w14:paraId="422D5C7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Taxonomy of LLM-KG integration: KG-enhanced LLM, LLM-augmented KG, synergised approaches</w:t>
            </w:r>
          </w:p>
        </w:tc>
        <w:tc>
          <w:tcPr>
            <w:tcW w:w="1140" w:type="dxa"/>
            <w:tcBorders>
              <w:top w:val="single" w:sz="4" w:space="0" w:color="auto"/>
              <w:left w:val="single" w:sz="4" w:space="0" w:color="auto"/>
              <w:bottom w:val="single" w:sz="4" w:space="0" w:color="auto"/>
              <w:right w:val="single" w:sz="4" w:space="0" w:color="auto"/>
            </w:tcBorders>
            <w:hideMark/>
          </w:tcPr>
          <w:p w14:paraId="6141221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Freebase, Wikidata, ConceptNet, ATOMIC, FB15k-237, WN18RR</w:t>
            </w:r>
          </w:p>
        </w:tc>
        <w:tc>
          <w:tcPr>
            <w:tcW w:w="992" w:type="dxa"/>
            <w:tcBorders>
              <w:top w:val="single" w:sz="4" w:space="0" w:color="auto"/>
              <w:left w:val="single" w:sz="4" w:space="0" w:color="auto"/>
              <w:bottom w:val="single" w:sz="4" w:space="0" w:color="auto"/>
              <w:right w:val="single" w:sz="4" w:space="0" w:color="auto"/>
            </w:tcBorders>
            <w:hideMark/>
          </w:tcPr>
          <w:p w14:paraId="1AC6870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Comprehensive taxonomy; 3 paradigms for LLM-KG integration; Identifies future challenges</w:t>
            </w:r>
          </w:p>
        </w:tc>
        <w:tc>
          <w:tcPr>
            <w:tcW w:w="1276" w:type="dxa"/>
            <w:tcBorders>
              <w:top w:val="single" w:sz="4" w:space="0" w:color="auto"/>
              <w:left w:val="single" w:sz="4" w:space="0" w:color="auto"/>
              <w:bottom w:val="single" w:sz="4" w:space="0" w:color="auto"/>
              <w:right w:val="single" w:sz="4" w:space="0" w:color="auto"/>
            </w:tcBorders>
            <w:hideMark/>
          </w:tcPr>
          <w:p w14:paraId="4D37F9B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Task-specific: MRR, Hits@K (link prediction), F1 (NER), Accuracy (QA)</w:t>
            </w:r>
          </w:p>
        </w:tc>
      </w:tr>
      <w:tr w:rsidR="002021A7" w:rsidRPr="002021A7" w14:paraId="64290EEE"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2AEBB1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Muennighoff et al. (2022) [5]</w:t>
            </w:r>
          </w:p>
        </w:tc>
        <w:tc>
          <w:tcPr>
            <w:tcW w:w="992" w:type="dxa"/>
            <w:tcBorders>
              <w:top w:val="single" w:sz="4" w:space="0" w:color="auto"/>
              <w:left w:val="single" w:sz="4" w:space="0" w:color="auto"/>
              <w:bottom w:val="single" w:sz="4" w:space="0" w:color="auto"/>
              <w:right w:val="single" w:sz="4" w:space="0" w:color="auto"/>
            </w:tcBorders>
            <w:hideMark/>
          </w:tcPr>
          <w:p w14:paraId="444BCDF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Crosslingual Generalization through Multitask Finetuning (BLOOMZ &amp; mT0)</w:t>
            </w:r>
          </w:p>
        </w:tc>
        <w:tc>
          <w:tcPr>
            <w:tcW w:w="1412" w:type="dxa"/>
            <w:tcBorders>
              <w:top w:val="single" w:sz="4" w:space="0" w:color="auto"/>
              <w:left w:val="single" w:sz="4" w:space="0" w:color="auto"/>
              <w:bottom w:val="single" w:sz="4" w:space="0" w:color="auto"/>
              <w:right w:val="single" w:sz="4" w:space="0" w:color="auto"/>
            </w:tcBorders>
            <w:hideMark/>
          </w:tcPr>
          <w:p w14:paraId="2B28BB6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Multilingual multitask finetuning</w:t>
            </w:r>
          </w:p>
        </w:tc>
        <w:tc>
          <w:tcPr>
            <w:tcW w:w="1559" w:type="dxa"/>
            <w:tcBorders>
              <w:top w:val="single" w:sz="4" w:space="0" w:color="auto"/>
              <w:left w:val="single" w:sz="4" w:space="0" w:color="auto"/>
              <w:bottom w:val="single" w:sz="4" w:space="0" w:color="auto"/>
              <w:right w:val="single" w:sz="4" w:space="0" w:color="auto"/>
            </w:tcBorders>
            <w:hideMark/>
          </w:tcPr>
          <w:p w14:paraId="54A9DC8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Multitask prompted finetuning on xP3; Cross-lingual prompt engineering; 46 languages</w:t>
            </w:r>
          </w:p>
        </w:tc>
        <w:tc>
          <w:tcPr>
            <w:tcW w:w="1140" w:type="dxa"/>
            <w:tcBorders>
              <w:top w:val="single" w:sz="4" w:space="0" w:color="auto"/>
              <w:left w:val="single" w:sz="4" w:space="0" w:color="auto"/>
              <w:bottom w:val="single" w:sz="4" w:space="0" w:color="auto"/>
              <w:right w:val="single" w:sz="4" w:space="0" w:color="auto"/>
            </w:tcBorders>
            <w:hideMark/>
          </w:tcPr>
          <w:p w14:paraId="137EABF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xP3 (multilingual prompts), XNLI, XCOPA, XWinograd, XStoryCloze</w:t>
            </w:r>
          </w:p>
        </w:tc>
        <w:tc>
          <w:tcPr>
            <w:tcW w:w="992" w:type="dxa"/>
            <w:tcBorders>
              <w:top w:val="single" w:sz="4" w:space="0" w:color="auto"/>
              <w:left w:val="single" w:sz="4" w:space="0" w:color="auto"/>
              <w:bottom w:val="single" w:sz="4" w:space="0" w:color="auto"/>
              <w:right w:val="single" w:sz="4" w:space="0" w:color="auto"/>
            </w:tcBorders>
            <w:hideMark/>
          </w:tcPr>
          <w:p w14:paraId="7D97288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mT0-13B: +13 pts on XNLI; Crosslingual generalization to unseen languages</w:t>
            </w:r>
          </w:p>
        </w:tc>
        <w:tc>
          <w:tcPr>
            <w:tcW w:w="1276" w:type="dxa"/>
            <w:tcBorders>
              <w:top w:val="single" w:sz="4" w:space="0" w:color="auto"/>
              <w:left w:val="single" w:sz="4" w:space="0" w:color="auto"/>
              <w:bottom w:val="single" w:sz="4" w:space="0" w:color="auto"/>
              <w:right w:val="single" w:sz="4" w:space="0" w:color="auto"/>
            </w:tcBorders>
            <w:hideMark/>
          </w:tcPr>
          <w:p w14:paraId="2AFA6CB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Exact match on held-out tasks, XNLI accuracy, and Cross-lingual benchmark performance</w:t>
            </w:r>
          </w:p>
        </w:tc>
      </w:tr>
      <w:tr w:rsidR="002021A7" w:rsidRPr="002021A7" w14:paraId="1FC96936"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162E9CA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Johnson et al. (2017) [6]</w:t>
            </w:r>
          </w:p>
        </w:tc>
        <w:tc>
          <w:tcPr>
            <w:tcW w:w="992" w:type="dxa"/>
            <w:tcBorders>
              <w:top w:val="single" w:sz="4" w:space="0" w:color="auto"/>
              <w:left w:val="single" w:sz="4" w:space="0" w:color="auto"/>
              <w:bottom w:val="single" w:sz="4" w:space="0" w:color="auto"/>
              <w:right w:val="single" w:sz="4" w:space="0" w:color="auto"/>
            </w:tcBorders>
            <w:hideMark/>
          </w:tcPr>
          <w:p w14:paraId="153B69A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Billion-scale similarity search with GPUs</w:t>
            </w:r>
          </w:p>
        </w:tc>
        <w:tc>
          <w:tcPr>
            <w:tcW w:w="1412" w:type="dxa"/>
            <w:tcBorders>
              <w:top w:val="single" w:sz="4" w:space="0" w:color="auto"/>
              <w:left w:val="single" w:sz="4" w:space="0" w:color="auto"/>
              <w:bottom w:val="single" w:sz="4" w:space="0" w:color="auto"/>
              <w:right w:val="single" w:sz="4" w:space="0" w:color="auto"/>
            </w:tcBorders>
            <w:hideMark/>
          </w:tcPr>
          <w:p w14:paraId="23505EF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GPU-accelerated large-scale similarity search</w:t>
            </w:r>
          </w:p>
        </w:tc>
        <w:tc>
          <w:tcPr>
            <w:tcW w:w="1559" w:type="dxa"/>
            <w:tcBorders>
              <w:top w:val="single" w:sz="4" w:space="0" w:color="auto"/>
              <w:left w:val="single" w:sz="4" w:space="0" w:color="auto"/>
              <w:bottom w:val="single" w:sz="4" w:space="0" w:color="auto"/>
              <w:right w:val="single" w:sz="4" w:space="0" w:color="auto"/>
            </w:tcBorders>
            <w:hideMark/>
          </w:tcPr>
          <w:p w14:paraId="5D571D6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Product quantisation; Inverted file systems; GPU-optimised k-selection; CUDA kernels</w:t>
            </w:r>
          </w:p>
        </w:tc>
        <w:tc>
          <w:tcPr>
            <w:tcW w:w="1140" w:type="dxa"/>
            <w:tcBorders>
              <w:top w:val="single" w:sz="4" w:space="0" w:color="auto"/>
              <w:left w:val="single" w:sz="4" w:space="0" w:color="auto"/>
              <w:bottom w:val="single" w:sz="4" w:space="0" w:color="auto"/>
              <w:right w:val="single" w:sz="4" w:space="0" w:color="auto"/>
            </w:tcBorders>
            <w:hideMark/>
          </w:tcPr>
          <w:p w14:paraId="720F56F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SIFT1M, SIFT1B, DEEP1B, YFCC100M (128-d to 1B scale)</w:t>
            </w:r>
          </w:p>
        </w:tc>
        <w:tc>
          <w:tcPr>
            <w:tcW w:w="992" w:type="dxa"/>
            <w:tcBorders>
              <w:top w:val="single" w:sz="4" w:space="0" w:color="auto"/>
              <w:left w:val="single" w:sz="4" w:space="0" w:color="auto"/>
              <w:bottom w:val="single" w:sz="4" w:space="0" w:color="auto"/>
              <w:right w:val="single" w:sz="4" w:space="0" w:color="auto"/>
            </w:tcBorders>
            <w:hideMark/>
          </w:tcPr>
          <w:p w14:paraId="5189746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8.5x speedup on SIFT1B; 55% peak bandwidth on WarpSele</w:t>
            </w:r>
            <w:r w:rsidRPr="002021A7">
              <w:rPr>
                <w:rFonts w:ascii="Times New Roman" w:hAnsi="Times New Roman" w:cs="Times New Roman"/>
                <w:sz w:val="20"/>
                <w:szCs w:val="20"/>
              </w:rPr>
              <w:lastRenderedPageBreak/>
              <w:t>ct; 35 min k-NN for 95M vectors</w:t>
            </w:r>
          </w:p>
        </w:tc>
        <w:tc>
          <w:tcPr>
            <w:tcW w:w="1276" w:type="dxa"/>
            <w:tcBorders>
              <w:top w:val="single" w:sz="4" w:space="0" w:color="auto"/>
              <w:left w:val="single" w:sz="4" w:space="0" w:color="auto"/>
              <w:bottom w:val="single" w:sz="4" w:space="0" w:color="auto"/>
              <w:right w:val="single" w:sz="4" w:space="0" w:color="auto"/>
            </w:tcBorders>
            <w:hideMark/>
          </w:tcPr>
          <w:p w14:paraId="2142EEA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Queries per second (QPS), Recall@k, Index construction time, </w:t>
            </w:r>
            <w:r w:rsidRPr="002021A7">
              <w:rPr>
                <w:rFonts w:ascii="Times New Roman" w:hAnsi="Times New Roman" w:cs="Times New Roman"/>
                <w:sz w:val="20"/>
                <w:szCs w:val="20"/>
              </w:rPr>
              <w:lastRenderedPageBreak/>
              <w:t>Memory usage</w:t>
            </w:r>
          </w:p>
        </w:tc>
      </w:tr>
      <w:tr w:rsidR="002021A7" w:rsidRPr="002021A7" w14:paraId="113C0276"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CD6047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Li et al. (2023) [7]</w:t>
            </w:r>
          </w:p>
        </w:tc>
        <w:tc>
          <w:tcPr>
            <w:tcW w:w="992" w:type="dxa"/>
            <w:tcBorders>
              <w:top w:val="single" w:sz="4" w:space="0" w:color="auto"/>
              <w:left w:val="single" w:sz="4" w:space="0" w:color="auto"/>
              <w:bottom w:val="single" w:sz="4" w:space="0" w:color="auto"/>
              <w:right w:val="single" w:sz="4" w:space="0" w:color="auto"/>
            </w:tcBorders>
            <w:hideMark/>
          </w:tcPr>
          <w:p w14:paraId="0976773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RESDSQL: Decoupling Schema Linking and Skeleton Parsing for Text-to-SQL</w:t>
            </w:r>
          </w:p>
        </w:tc>
        <w:tc>
          <w:tcPr>
            <w:tcW w:w="1412" w:type="dxa"/>
            <w:tcBorders>
              <w:top w:val="single" w:sz="4" w:space="0" w:color="auto"/>
              <w:left w:val="single" w:sz="4" w:space="0" w:color="auto"/>
              <w:bottom w:val="single" w:sz="4" w:space="0" w:color="auto"/>
              <w:right w:val="single" w:sz="4" w:space="0" w:color="auto"/>
            </w:tcBorders>
            <w:hideMark/>
          </w:tcPr>
          <w:p w14:paraId="20C849F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Text-to-SQL with decoupled schema linking</w:t>
            </w:r>
          </w:p>
        </w:tc>
        <w:tc>
          <w:tcPr>
            <w:tcW w:w="1559" w:type="dxa"/>
            <w:tcBorders>
              <w:top w:val="single" w:sz="4" w:space="0" w:color="auto"/>
              <w:left w:val="single" w:sz="4" w:space="0" w:color="auto"/>
              <w:bottom w:val="single" w:sz="4" w:space="0" w:color="auto"/>
              <w:right w:val="single" w:sz="4" w:space="0" w:color="auto"/>
            </w:tcBorders>
            <w:hideMark/>
          </w:tcPr>
          <w:p w14:paraId="3ECAE33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Cross-encoder schema ranking; T5-based seq2seq; Skeleton-aware decoding; Two-stage training</w:t>
            </w:r>
          </w:p>
        </w:tc>
        <w:tc>
          <w:tcPr>
            <w:tcW w:w="1140" w:type="dxa"/>
            <w:tcBorders>
              <w:top w:val="single" w:sz="4" w:space="0" w:color="auto"/>
              <w:left w:val="single" w:sz="4" w:space="0" w:color="auto"/>
              <w:bottom w:val="single" w:sz="4" w:space="0" w:color="auto"/>
              <w:right w:val="single" w:sz="4" w:space="0" w:color="auto"/>
            </w:tcBorders>
            <w:hideMark/>
          </w:tcPr>
          <w:p w14:paraId="087BCEA9" w14:textId="77777777" w:rsidR="002021A7" w:rsidRPr="002021A7" w:rsidRDefault="002021A7" w:rsidP="002021A7">
            <w:pPr>
              <w:rPr>
                <w:rFonts w:ascii="Times New Roman" w:hAnsi="Times New Roman" w:cs="Times New Roman"/>
                <w:sz w:val="20"/>
                <w:szCs w:val="20"/>
                <w:lang w:val="sv-SE"/>
              </w:rPr>
            </w:pPr>
            <w:r w:rsidRPr="002021A7">
              <w:rPr>
                <w:rFonts w:ascii="Times New Roman" w:hAnsi="Times New Roman" w:cs="Times New Roman"/>
                <w:sz w:val="20"/>
                <w:szCs w:val="20"/>
                <w:lang w:val="sv-SE"/>
              </w:rPr>
              <w:t>Spider (7k train, 1k dev), Spider-DK, Spider-Syn, Spider-Realistic</w:t>
            </w:r>
          </w:p>
        </w:tc>
        <w:tc>
          <w:tcPr>
            <w:tcW w:w="992" w:type="dxa"/>
            <w:tcBorders>
              <w:top w:val="single" w:sz="4" w:space="0" w:color="auto"/>
              <w:left w:val="single" w:sz="4" w:space="0" w:color="auto"/>
              <w:bottom w:val="single" w:sz="4" w:space="0" w:color="auto"/>
              <w:right w:val="single" w:sz="4" w:space="0" w:color="auto"/>
            </w:tcBorders>
            <w:hideMark/>
          </w:tcPr>
          <w:p w14:paraId="10B3F1C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80.5% EM, 84.1% EX on Spider dev; 72.0% EM on test; Robust on perturbed variants</w:t>
            </w:r>
          </w:p>
        </w:tc>
        <w:tc>
          <w:tcPr>
            <w:tcW w:w="1276" w:type="dxa"/>
            <w:tcBorders>
              <w:top w:val="single" w:sz="4" w:space="0" w:color="auto"/>
              <w:left w:val="single" w:sz="4" w:space="0" w:color="auto"/>
              <w:bottom w:val="single" w:sz="4" w:space="0" w:color="auto"/>
              <w:right w:val="single" w:sz="4" w:space="0" w:color="auto"/>
            </w:tcBorders>
            <w:hideMark/>
          </w:tcPr>
          <w:p w14:paraId="624F249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Exact-set match (EM), Execution accuracy (EX), Schema classification AUC</w:t>
            </w:r>
          </w:p>
        </w:tc>
      </w:tr>
      <w:tr w:rsidR="002021A7" w:rsidRPr="002021A7" w14:paraId="376E9004"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6372C8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Lin et al. (2021) [8]</w:t>
            </w:r>
          </w:p>
        </w:tc>
        <w:tc>
          <w:tcPr>
            <w:tcW w:w="992" w:type="dxa"/>
            <w:tcBorders>
              <w:top w:val="single" w:sz="4" w:space="0" w:color="auto"/>
              <w:left w:val="single" w:sz="4" w:space="0" w:color="auto"/>
              <w:bottom w:val="single" w:sz="4" w:space="0" w:color="auto"/>
              <w:right w:val="single" w:sz="4" w:space="0" w:color="auto"/>
            </w:tcBorders>
            <w:hideMark/>
          </w:tcPr>
          <w:p w14:paraId="4DB411B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TruthfulQA: Measuring How Models Mimic Human Falsehoods</w:t>
            </w:r>
          </w:p>
        </w:tc>
        <w:tc>
          <w:tcPr>
            <w:tcW w:w="1412" w:type="dxa"/>
            <w:tcBorders>
              <w:top w:val="single" w:sz="4" w:space="0" w:color="auto"/>
              <w:left w:val="single" w:sz="4" w:space="0" w:color="auto"/>
              <w:bottom w:val="single" w:sz="4" w:space="0" w:color="auto"/>
              <w:right w:val="single" w:sz="4" w:space="0" w:color="auto"/>
            </w:tcBorders>
            <w:hideMark/>
          </w:tcPr>
          <w:p w14:paraId="10181E5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Truthfulness evaluation in language models</w:t>
            </w:r>
          </w:p>
        </w:tc>
        <w:tc>
          <w:tcPr>
            <w:tcW w:w="1559" w:type="dxa"/>
            <w:tcBorders>
              <w:top w:val="single" w:sz="4" w:space="0" w:color="auto"/>
              <w:left w:val="single" w:sz="4" w:space="0" w:color="auto"/>
              <w:bottom w:val="single" w:sz="4" w:space="0" w:color="auto"/>
              <w:right w:val="single" w:sz="4" w:space="0" w:color="auto"/>
            </w:tcBorders>
            <w:hideMark/>
          </w:tcPr>
          <w:p w14:paraId="0851351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Adversarial question generation; Human evaluation of truthfulness and informativeness</w:t>
            </w:r>
          </w:p>
        </w:tc>
        <w:tc>
          <w:tcPr>
            <w:tcW w:w="1140" w:type="dxa"/>
            <w:tcBorders>
              <w:top w:val="single" w:sz="4" w:space="0" w:color="auto"/>
              <w:left w:val="single" w:sz="4" w:space="0" w:color="auto"/>
              <w:bottom w:val="single" w:sz="4" w:space="0" w:color="auto"/>
              <w:right w:val="single" w:sz="4" w:space="0" w:color="auto"/>
            </w:tcBorders>
            <w:hideMark/>
          </w:tcPr>
          <w:p w14:paraId="2E6F923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TruthfulQA (817 questions, 38 categories)</w:t>
            </w:r>
          </w:p>
        </w:tc>
        <w:tc>
          <w:tcPr>
            <w:tcW w:w="992" w:type="dxa"/>
            <w:tcBorders>
              <w:top w:val="single" w:sz="4" w:space="0" w:color="auto"/>
              <w:left w:val="single" w:sz="4" w:space="0" w:color="auto"/>
              <w:bottom w:val="single" w:sz="4" w:space="0" w:color="auto"/>
              <w:right w:val="single" w:sz="4" w:space="0" w:color="auto"/>
            </w:tcBorders>
            <w:hideMark/>
          </w:tcPr>
          <w:p w14:paraId="094A464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GPT-3 is only 58% truthful; Larger models are not always more truthful; New benchmark</w:t>
            </w:r>
          </w:p>
        </w:tc>
        <w:tc>
          <w:tcPr>
            <w:tcW w:w="1276" w:type="dxa"/>
            <w:tcBorders>
              <w:top w:val="single" w:sz="4" w:space="0" w:color="auto"/>
              <w:left w:val="single" w:sz="4" w:space="0" w:color="auto"/>
              <w:bottom w:val="single" w:sz="4" w:space="0" w:color="auto"/>
              <w:right w:val="single" w:sz="4" w:space="0" w:color="auto"/>
            </w:tcBorders>
            <w:hideMark/>
          </w:tcPr>
          <w:p w14:paraId="01766E3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Truthfulness rate, Informativeness score, Human evaluation agreement</w:t>
            </w:r>
          </w:p>
        </w:tc>
      </w:tr>
      <w:tr w:rsidR="002021A7" w:rsidRPr="002021A7" w14:paraId="753184D2"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2797BC1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OpenAI (2023) [9]</w:t>
            </w:r>
          </w:p>
        </w:tc>
        <w:tc>
          <w:tcPr>
            <w:tcW w:w="992" w:type="dxa"/>
            <w:tcBorders>
              <w:top w:val="single" w:sz="4" w:space="0" w:color="auto"/>
              <w:left w:val="single" w:sz="4" w:space="0" w:color="auto"/>
              <w:bottom w:val="single" w:sz="4" w:space="0" w:color="auto"/>
              <w:right w:val="single" w:sz="4" w:space="0" w:color="auto"/>
            </w:tcBorders>
            <w:hideMark/>
          </w:tcPr>
          <w:p w14:paraId="0317FDC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GPT-4 Technical Report</w:t>
            </w:r>
          </w:p>
        </w:tc>
        <w:tc>
          <w:tcPr>
            <w:tcW w:w="1412" w:type="dxa"/>
            <w:tcBorders>
              <w:top w:val="single" w:sz="4" w:space="0" w:color="auto"/>
              <w:left w:val="single" w:sz="4" w:space="0" w:color="auto"/>
              <w:bottom w:val="single" w:sz="4" w:space="0" w:color="auto"/>
              <w:right w:val="single" w:sz="4" w:space="0" w:color="auto"/>
            </w:tcBorders>
            <w:hideMark/>
          </w:tcPr>
          <w:p w14:paraId="4A70587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Multimodal large language model capabilities</w:t>
            </w:r>
          </w:p>
        </w:tc>
        <w:tc>
          <w:tcPr>
            <w:tcW w:w="1559" w:type="dxa"/>
            <w:tcBorders>
              <w:top w:val="single" w:sz="4" w:space="0" w:color="auto"/>
              <w:left w:val="single" w:sz="4" w:space="0" w:color="auto"/>
              <w:bottom w:val="single" w:sz="4" w:space="0" w:color="auto"/>
              <w:right w:val="single" w:sz="4" w:space="0" w:color="auto"/>
            </w:tcBorders>
            <w:hideMark/>
          </w:tcPr>
          <w:p w14:paraId="52FED9D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Transformer architecture; RLHF; Mixture of expert considerations; Vision capabilities</w:t>
            </w:r>
          </w:p>
        </w:tc>
        <w:tc>
          <w:tcPr>
            <w:tcW w:w="1140" w:type="dxa"/>
            <w:tcBorders>
              <w:top w:val="single" w:sz="4" w:space="0" w:color="auto"/>
              <w:left w:val="single" w:sz="4" w:space="0" w:color="auto"/>
              <w:bottom w:val="single" w:sz="4" w:space="0" w:color="auto"/>
              <w:right w:val="single" w:sz="4" w:space="0" w:color="auto"/>
            </w:tcBorders>
            <w:hideMark/>
          </w:tcPr>
          <w:p w14:paraId="15F92E8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Proprietary mix including CommonCrawl, books, Wikipedia, code, multimodal data</w:t>
            </w:r>
          </w:p>
        </w:tc>
        <w:tc>
          <w:tcPr>
            <w:tcW w:w="992" w:type="dxa"/>
            <w:tcBorders>
              <w:top w:val="single" w:sz="4" w:space="0" w:color="auto"/>
              <w:left w:val="single" w:sz="4" w:space="0" w:color="auto"/>
              <w:bottom w:val="single" w:sz="4" w:space="0" w:color="auto"/>
              <w:right w:val="single" w:sz="4" w:space="0" w:color="auto"/>
            </w:tcBorders>
            <w:hideMark/>
          </w:tcPr>
          <w:p w14:paraId="137AEE2D" w14:textId="349308BF"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Scores 90th </w:t>
            </w:r>
            <w:r w:rsidR="00D13ECA">
              <w:rPr>
                <w:rFonts w:ascii="Times New Roman" w:hAnsi="Times New Roman" w:cs="Times New Roman"/>
                <w:sz w:val="20"/>
                <w:szCs w:val="20"/>
              </w:rPr>
              <w:t>%</w:t>
            </w:r>
            <w:r w:rsidRPr="002021A7">
              <w:rPr>
                <w:rFonts w:ascii="Times New Roman" w:hAnsi="Times New Roman" w:cs="Times New Roman"/>
                <w:sz w:val="20"/>
                <w:szCs w:val="20"/>
              </w:rPr>
              <w:t>ile on bar exam; Human-level on many benchmarks; Vision + language</w:t>
            </w:r>
          </w:p>
        </w:tc>
        <w:tc>
          <w:tcPr>
            <w:tcW w:w="1276" w:type="dxa"/>
            <w:tcBorders>
              <w:top w:val="single" w:sz="4" w:space="0" w:color="auto"/>
              <w:left w:val="single" w:sz="4" w:space="0" w:color="auto"/>
              <w:bottom w:val="single" w:sz="4" w:space="0" w:color="auto"/>
              <w:right w:val="single" w:sz="4" w:space="0" w:color="auto"/>
            </w:tcBorders>
            <w:hideMark/>
          </w:tcPr>
          <w:p w14:paraId="6E0FF4D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Exam scores (MMLU, Bar, SAT, etc.), Human evaluation, Benchmark accuracy</w:t>
            </w:r>
          </w:p>
        </w:tc>
      </w:tr>
      <w:tr w:rsidR="002021A7" w:rsidRPr="002021A7" w14:paraId="07528995"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7C15185" w14:textId="77777777" w:rsidR="002021A7" w:rsidRPr="002021A7" w:rsidRDefault="002021A7" w:rsidP="002021A7">
            <w:pPr>
              <w:rPr>
                <w:rFonts w:ascii="Times New Roman" w:hAnsi="Times New Roman" w:cs="Times New Roman"/>
                <w:sz w:val="20"/>
                <w:szCs w:val="20"/>
                <w:lang w:val="sv-SE"/>
              </w:rPr>
            </w:pPr>
            <w:r w:rsidRPr="002021A7">
              <w:rPr>
                <w:rFonts w:ascii="Times New Roman" w:hAnsi="Times New Roman" w:cs="Times New Roman"/>
                <w:sz w:val="20"/>
                <w:szCs w:val="20"/>
                <w:lang w:val="sv-SE"/>
              </w:rPr>
              <w:t>Tjong Kim Sang &amp; De Meulder (2003) [10]</w:t>
            </w:r>
          </w:p>
        </w:tc>
        <w:tc>
          <w:tcPr>
            <w:tcW w:w="992" w:type="dxa"/>
            <w:tcBorders>
              <w:top w:val="single" w:sz="4" w:space="0" w:color="auto"/>
              <w:left w:val="single" w:sz="4" w:space="0" w:color="auto"/>
              <w:bottom w:val="single" w:sz="4" w:space="0" w:color="auto"/>
              <w:right w:val="single" w:sz="4" w:space="0" w:color="auto"/>
            </w:tcBorders>
            <w:hideMark/>
          </w:tcPr>
          <w:p w14:paraId="1E611E1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Introduction to the CoNLL-2003 Shared Task: Language-Independent Named Entity </w:t>
            </w:r>
            <w:r w:rsidRPr="002021A7">
              <w:rPr>
                <w:rFonts w:ascii="Times New Roman" w:hAnsi="Times New Roman" w:cs="Times New Roman"/>
                <w:sz w:val="20"/>
                <w:szCs w:val="20"/>
              </w:rPr>
              <w:lastRenderedPageBreak/>
              <w:t>Recognition</w:t>
            </w:r>
          </w:p>
        </w:tc>
        <w:tc>
          <w:tcPr>
            <w:tcW w:w="1412" w:type="dxa"/>
            <w:tcBorders>
              <w:top w:val="single" w:sz="4" w:space="0" w:color="auto"/>
              <w:left w:val="single" w:sz="4" w:space="0" w:color="auto"/>
              <w:bottom w:val="single" w:sz="4" w:space="0" w:color="auto"/>
              <w:right w:val="single" w:sz="4" w:space="0" w:color="auto"/>
            </w:tcBorders>
            <w:hideMark/>
          </w:tcPr>
          <w:p w14:paraId="0ECBB90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Named entity recognition across languages</w:t>
            </w:r>
          </w:p>
        </w:tc>
        <w:tc>
          <w:tcPr>
            <w:tcW w:w="1559" w:type="dxa"/>
            <w:tcBorders>
              <w:top w:val="single" w:sz="4" w:space="0" w:color="auto"/>
              <w:left w:val="single" w:sz="4" w:space="0" w:color="auto"/>
              <w:bottom w:val="single" w:sz="4" w:space="0" w:color="auto"/>
              <w:right w:val="single" w:sz="4" w:space="0" w:color="auto"/>
            </w:tcBorders>
            <w:hideMark/>
          </w:tcPr>
          <w:p w14:paraId="38866AF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IOB tagging scheme; Maximum entropy models; HMMs; Feature engineering</w:t>
            </w:r>
          </w:p>
        </w:tc>
        <w:tc>
          <w:tcPr>
            <w:tcW w:w="1140" w:type="dxa"/>
            <w:tcBorders>
              <w:top w:val="single" w:sz="4" w:space="0" w:color="auto"/>
              <w:left w:val="single" w:sz="4" w:space="0" w:color="auto"/>
              <w:bottom w:val="single" w:sz="4" w:space="0" w:color="auto"/>
              <w:right w:val="single" w:sz="4" w:space="0" w:color="auto"/>
            </w:tcBorders>
            <w:hideMark/>
          </w:tcPr>
          <w:p w14:paraId="17C206E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Reuters Corpus (English), ECI Multilingual Text (German)</w:t>
            </w:r>
          </w:p>
        </w:tc>
        <w:tc>
          <w:tcPr>
            <w:tcW w:w="992" w:type="dxa"/>
            <w:tcBorders>
              <w:top w:val="single" w:sz="4" w:space="0" w:color="auto"/>
              <w:left w:val="single" w:sz="4" w:space="0" w:color="auto"/>
              <w:bottom w:val="single" w:sz="4" w:space="0" w:color="auto"/>
              <w:right w:val="single" w:sz="4" w:space="0" w:color="auto"/>
            </w:tcBorders>
            <w:hideMark/>
          </w:tcPr>
          <w:p w14:paraId="0990AEB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Best F1: 88.76% (English), 72.41% (German); Established shared task benchmark</w:t>
            </w:r>
          </w:p>
        </w:tc>
        <w:tc>
          <w:tcPr>
            <w:tcW w:w="1276" w:type="dxa"/>
            <w:tcBorders>
              <w:top w:val="single" w:sz="4" w:space="0" w:color="auto"/>
              <w:left w:val="single" w:sz="4" w:space="0" w:color="auto"/>
              <w:bottom w:val="single" w:sz="4" w:space="0" w:color="auto"/>
              <w:right w:val="single" w:sz="4" w:space="0" w:color="auto"/>
            </w:tcBorders>
            <w:hideMark/>
          </w:tcPr>
          <w:p w14:paraId="0E8B0BD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Precision, Recall, F1-score on NER tags</w:t>
            </w:r>
          </w:p>
        </w:tc>
      </w:tr>
      <w:tr w:rsidR="002021A7" w:rsidRPr="002021A7" w14:paraId="3152D320"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474D56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Paszke et al. (2019) [11]</w:t>
            </w:r>
          </w:p>
        </w:tc>
        <w:tc>
          <w:tcPr>
            <w:tcW w:w="992" w:type="dxa"/>
            <w:tcBorders>
              <w:top w:val="single" w:sz="4" w:space="0" w:color="auto"/>
              <w:left w:val="single" w:sz="4" w:space="0" w:color="auto"/>
              <w:bottom w:val="single" w:sz="4" w:space="0" w:color="auto"/>
              <w:right w:val="single" w:sz="4" w:space="0" w:color="auto"/>
            </w:tcBorders>
            <w:hideMark/>
          </w:tcPr>
          <w:p w14:paraId="112A78D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PyTorch: An Imperative Style, High-Performance Deep Learning Library</w:t>
            </w:r>
          </w:p>
        </w:tc>
        <w:tc>
          <w:tcPr>
            <w:tcW w:w="1412" w:type="dxa"/>
            <w:tcBorders>
              <w:top w:val="single" w:sz="4" w:space="0" w:color="auto"/>
              <w:left w:val="single" w:sz="4" w:space="0" w:color="auto"/>
              <w:bottom w:val="single" w:sz="4" w:space="0" w:color="auto"/>
              <w:right w:val="single" w:sz="4" w:space="0" w:color="auto"/>
            </w:tcBorders>
            <w:hideMark/>
          </w:tcPr>
          <w:p w14:paraId="256B06C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Deep learning framework design and implementation</w:t>
            </w:r>
          </w:p>
        </w:tc>
        <w:tc>
          <w:tcPr>
            <w:tcW w:w="1559" w:type="dxa"/>
            <w:tcBorders>
              <w:top w:val="single" w:sz="4" w:space="0" w:color="auto"/>
              <w:left w:val="single" w:sz="4" w:space="0" w:color="auto"/>
              <w:bottom w:val="single" w:sz="4" w:space="0" w:color="auto"/>
              <w:right w:val="single" w:sz="4" w:space="0" w:color="auto"/>
            </w:tcBorders>
            <w:hideMark/>
          </w:tcPr>
          <w:p w14:paraId="15EFFA5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Imperative execution; Dynamic computation graphs; C++ core with Python bindings</w:t>
            </w:r>
          </w:p>
        </w:tc>
        <w:tc>
          <w:tcPr>
            <w:tcW w:w="1140" w:type="dxa"/>
            <w:tcBorders>
              <w:top w:val="single" w:sz="4" w:space="0" w:color="auto"/>
              <w:left w:val="single" w:sz="4" w:space="0" w:color="auto"/>
              <w:bottom w:val="single" w:sz="4" w:space="0" w:color="auto"/>
              <w:right w:val="single" w:sz="4" w:space="0" w:color="auto"/>
            </w:tcBorders>
            <w:hideMark/>
          </w:tcPr>
          <w:p w14:paraId="3264246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ImageNet, COCO, Internal benchmarks</w:t>
            </w:r>
          </w:p>
        </w:tc>
        <w:tc>
          <w:tcPr>
            <w:tcW w:w="992" w:type="dxa"/>
            <w:tcBorders>
              <w:top w:val="single" w:sz="4" w:space="0" w:color="auto"/>
              <w:left w:val="single" w:sz="4" w:space="0" w:color="auto"/>
              <w:bottom w:val="single" w:sz="4" w:space="0" w:color="auto"/>
              <w:right w:val="single" w:sz="4" w:space="0" w:color="auto"/>
            </w:tcBorders>
            <w:hideMark/>
          </w:tcPr>
          <w:p w14:paraId="46D5C88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Production-ready framework; Efficient C++ core; Dynamic computation graphs</w:t>
            </w:r>
          </w:p>
        </w:tc>
        <w:tc>
          <w:tcPr>
            <w:tcW w:w="1276" w:type="dxa"/>
            <w:tcBorders>
              <w:top w:val="single" w:sz="4" w:space="0" w:color="auto"/>
              <w:left w:val="single" w:sz="4" w:space="0" w:color="auto"/>
              <w:bottom w:val="single" w:sz="4" w:space="0" w:color="auto"/>
              <w:right w:val="single" w:sz="4" w:space="0" w:color="auto"/>
            </w:tcBorders>
            <w:hideMark/>
          </w:tcPr>
          <w:p w14:paraId="127BC57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Training throughput, Inference latency, Memory efficiency</w:t>
            </w:r>
          </w:p>
        </w:tc>
      </w:tr>
      <w:tr w:rsidR="002021A7" w:rsidRPr="002021A7" w14:paraId="461611B4"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517A404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Wu et al. (2023) [12]</w:t>
            </w:r>
          </w:p>
        </w:tc>
        <w:tc>
          <w:tcPr>
            <w:tcW w:w="992" w:type="dxa"/>
            <w:tcBorders>
              <w:top w:val="single" w:sz="4" w:space="0" w:color="auto"/>
              <w:left w:val="single" w:sz="4" w:space="0" w:color="auto"/>
              <w:bottom w:val="single" w:sz="4" w:space="0" w:color="auto"/>
              <w:right w:val="single" w:sz="4" w:space="0" w:color="auto"/>
            </w:tcBorders>
            <w:hideMark/>
          </w:tcPr>
          <w:p w14:paraId="59FFB7F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AutoGen: Enabling Next-Gen LLM Applications via Multi-Agent Conversation</w:t>
            </w:r>
          </w:p>
        </w:tc>
        <w:tc>
          <w:tcPr>
            <w:tcW w:w="1412" w:type="dxa"/>
            <w:tcBorders>
              <w:top w:val="single" w:sz="4" w:space="0" w:color="auto"/>
              <w:left w:val="single" w:sz="4" w:space="0" w:color="auto"/>
              <w:bottom w:val="single" w:sz="4" w:space="0" w:color="auto"/>
              <w:right w:val="single" w:sz="4" w:space="0" w:color="auto"/>
            </w:tcBorders>
            <w:hideMark/>
          </w:tcPr>
          <w:p w14:paraId="4242052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Multi-agent LLM conversation frameworks</w:t>
            </w:r>
          </w:p>
        </w:tc>
        <w:tc>
          <w:tcPr>
            <w:tcW w:w="1559" w:type="dxa"/>
            <w:tcBorders>
              <w:top w:val="single" w:sz="4" w:space="0" w:color="auto"/>
              <w:left w:val="single" w:sz="4" w:space="0" w:color="auto"/>
              <w:bottom w:val="single" w:sz="4" w:space="0" w:color="auto"/>
              <w:right w:val="single" w:sz="4" w:space="0" w:color="auto"/>
            </w:tcBorders>
            <w:hideMark/>
          </w:tcPr>
          <w:p w14:paraId="79CBA0D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Conversable agents; Multi-agent conversation patterns; Auto-reply mechanisms</w:t>
            </w:r>
          </w:p>
        </w:tc>
        <w:tc>
          <w:tcPr>
            <w:tcW w:w="1140" w:type="dxa"/>
            <w:tcBorders>
              <w:top w:val="single" w:sz="4" w:space="0" w:color="auto"/>
              <w:left w:val="single" w:sz="4" w:space="0" w:color="auto"/>
              <w:bottom w:val="single" w:sz="4" w:space="0" w:color="auto"/>
              <w:right w:val="single" w:sz="4" w:space="0" w:color="auto"/>
            </w:tcBorders>
            <w:hideMark/>
          </w:tcPr>
          <w:p w14:paraId="13E77BB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MATH, Spider, ALFWorld, HumanEval</w:t>
            </w:r>
          </w:p>
        </w:tc>
        <w:tc>
          <w:tcPr>
            <w:tcW w:w="992" w:type="dxa"/>
            <w:tcBorders>
              <w:top w:val="single" w:sz="4" w:space="0" w:color="auto"/>
              <w:left w:val="single" w:sz="4" w:space="0" w:color="auto"/>
              <w:bottom w:val="single" w:sz="4" w:space="0" w:color="auto"/>
              <w:right w:val="single" w:sz="4" w:space="0" w:color="auto"/>
            </w:tcBorders>
            <w:hideMark/>
          </w:tcPr>
          <w:p w14:paraId="3281896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Reduces OptiGuide code from 430â†’100 lines; Enables dynamic multi-agent patterns</w:t>
            </w:r>
          </w:p>
        </w:tc>
        <w:tc>
          <w:tcPr>
            <w:tcW w:w="1276" w:type="dxa"/>
            <w:tcBorders>
              <w:top w:val="single" w:sz="4" w:space="0" w:color="auto"/>
              <w:left w:val="single" w:sz="4" w:space="0" w:color="auto"/>
              <w:bottom w:val="single" w:sz="4" w:space="0" w:color="auto"/>
              <w:right w:val="single" w:sz="4" w:space="0" w:color="auto"/>
            </w:tcBorders>
            <w:hideMark/>
          </w:tcPr>
          <w:p w14:paraId="2E81D6B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Task success rate, Number of LLM calls, Code reduction ratio</w:t>
            </w:r>
          </w:p>
        </w:tc>
      </w:tr>
      <w:tr w:rsidR="002021A7" w:rsidRPr="002021A7" w14:paraId="35A916A0"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57B1F23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Gao et al. (2022) [13]</w:t>
            </w:r>
          </w:p>
        </w:tc>
        <w:tc>
          <w:tcPr>
            <w:tcW w:w="992" w:type="dxa"/>
            <w:tcBorders>
              <w:top w:val="single" w:sz="4" w:space="0" w:color="auto"/>
              <w:left w:val="single" w:sz="4" w:space="0" w:color="auto"/>
              <w:bottom w:val="single" w:sz="4" w:space="0" w:color="auto"/>
              <w:right w:val="single" w:sz="4" w:space="0" w:color="auto"/>
            </w:tcBorders>
            <w:hideMark/>
          </w:tcPr>
          <w:p w14:paraId="60A6214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Precise Zero-Shot Dense Retrieval without Relevance Labels (HyDE)</w:t>
            </w:r>
          </w:p>
        </w:tc>
        <w:tc>
          <w:tcPr>
            <w:tcW w:w="1412" w:type="dxa"/>
            <w:tcBorders>
              <w:top w:val="single" w:sz="4" w:space="0" w:color="auto"/>
              <w:left w:val="single" w:sz="4" w:space="0" w:color="auto"/>
              <w:bottom w:val="single" w:sz="4" w:space="0" w:color="auto"/>
              <w:right w:val="single" w:sz="4" w:space="0" w:color="auto"/>
            </w:tcBorders>
            <w:hideMark/>
          </w:tcPr>
          <w:p w14:paraId="6057F0A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dense retrieval via hypothetical documents</w:t>
            </w:r>
          </w:p>
        </w:tc>
        <w:tc>
          <w:tcPr>
            <w:tcW w:w="1559" w:type="dxa"/>
            <w:tcBorders>
              <w:top w:val="single" w:sz="4" w:space="0" w:color="auto"/>
              <w:left w:val="single" w:sz="4" w:space="0" w:color="auto"/>
              <w:bottom w:val="single" w:sz="4" w:space="0" w:color="auto"/>
              <w:right w:val="single" w:sz="4" w:space="0" w:color="auto"/>
            </w:tcBorders>
            <w:hideMark/>
          </w:tcPr>
          <w:p w14:paraId="28B7BED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InstructGPT for hypothetical document generation; Contriever for dense encoding; Vector similarity search</w:t>
            </w:r>
          </w:p>
        </w:tc>
        <w:tc>
          <w:tcPr>
            <w:tcW w:w="1140" w:type="dxa"/>
            <w:tcBorders>
              <w:top w:val="single" w:sz="4" w:space="0" w:color="auto"/>
              <w:left w:val="single" w:sz="4" w:space="0" w:color="auto"/>
              <w:bottom w:val="single" w:sz="4" w:space="0" w:color="auto"/>
              <w:right w:val="single" w:sz="4" w:space="0" w:color="auto"/>
            </w:tcBorders>
            <w:hideMark/>
          </w:tcPr>
          <w:p w14:paraId="2C20E9D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MS-MARCO, TREC DL19/20, BEIR, Mr.TyDi</w:t>
            </w:r>
          </w:p>
        </w:tc>
        <w:tc>
          <w:tcPr>
            <w:tcW w:w="992" w:type="dxa"/>
            <w:tcBorders>
              <w:top w:val="single" w:sz="4" w:space="0" w:color="auto"/>
              <w:left w:val="single" w:sz="4" w:space="0" w:color="auto"/>
              <w:bottom w:val="single" w:sz="4" w:space="0" w:color="auto"/>
              <w:right w:val="single" w:sz="4" w:space="0" w:color="auto"/>
            </w:tcBorders>
            <w:hideMark/>
          </w:tcPr>
          <w:p w14:paraId="05B8A02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HyDE &gt; Contriever by large margins; Competitive with fine-tuned models; Zero-shot</w:t>
            </w:r>
          </w:p>
        </w:tc>
        <w:tc>
          <w:tcPr>
            <w:tcW w:w="1276" w:type="dxa"/>
            <w:tcBorders>
              <w:top w:val="single" w:sz="4" w:space="0" w:color="auto"/>
              <w:left w:val="single" w:sz="4" w:space="0" w:color="auto"/>
              <w:bottom w:val="single" w:sz="4" w:space="0" w:color="auto"/>
              <w:right w:val="single" w:sz="4" w:space="0" w:color="auto"/>
            </w:tcBorders>
            <w:hideMark/>
          </w:tcPr>
          <w:p w14:paraId="16E3A12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NDCG@10, MRR@100, Recall@100, MAP</w:t>
            </w:r>
          </w:p>
        </w:tc>
      </w:tr>
      <w:tr w:rsidR="002021A7" w:rsidRPr="002021A7" w14:paraId="40D35569"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32D5D55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Devlin et al. (2018) [14]</w:t>
            </w:r>
          </w:p>
        </w:tc>
        <w:tc>
          <w:tcPr>
            <w:tcW w:w="992" w:type="dxa"/>
            <w:tcBorders>
              <w:top w:val="single" w:sz="4" w:space="0" w:color="auto"/>
              <w:left w:val="single" w:sz="4" w:space="0" w:color="auto"/>
              <w:bottom w:val="single" w:sz="4" w:space="0" w:color="auto"/>
              <w:right w:val="single" w:sz="4" w:space="0" w:color="auto"/>
            </w:tcBorders>
            <w:hideMark/>
          </w:tcPr>
          <w:p w14:paraId="50661C9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BERT: Pre-training of Deep Bidirectional Transformers for Language Understanding</w:t>
            </w:r>
          </w:p>
        </w:tc>
        <w:tc>
          <w:tcPr>
            <w:tcW w:w="1412" w:type="dxa"/>
            <w:tcBorders>
              <w:top w:val="single" w:sz="4" w:space="0" w:color="auto"/>
              <w:left w:val="single" w:sz="4" w:space="0" w:color="auto"/>
              <w:bottom w:val="single" w:sz="4" w:space="0" w:color="auto"/>
              <w:right w:val="single" w:sz="4" w:space="0" w:color="auto"/>
            </w:tcBorders>
            <w:hideMark/>
          </w:tcPr>
          <w:p w14:paraId="78635FE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Bidirectional transformer pretraining</w:t>
            </w:r>
          </w:p>
        </w:tc>
        <w:tc>
          <w:tcPr>
            <w:tcW w:w="1559" w:type="dxa"/>
            <w:tcBorders>
              <w:top w:val="single" w:sz="4" w:space="0" w:color="auto"/>
              <w:left w:val="single" w:sz="4" w:space="0" w:color="auto"/>
              <w:bottom w:val="single" w:sz="4" w:space="0" w:color="auto"/>
              <w:right w:val="single" w:sz="4" w:space="0" w:color="auto"/>
            </w:tcBorders>
            <w:hideMark/>
          </w:tcPr>
          <w:p w14:paraId="1762668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Masked language modelling; Next sentence prediction; WordPiece tokenisation</w:t>
            </w:r>
          </w:p>
        </w:tc>
        <w:tc>
          <w:tcPr>
            <w:tcW w:w="1140" w:type="dxa"/>
            <w:tcBorders>
              <w:top w:val="single" w:sz="4" w:space="0" w:color="auto"/>
              <w:left w:val="single" w:sz="4" w:space="0" w:color="auto"/>
              <w:bottom w:val="single" w:sz="4" w:space="0" w:color="auto"/>
              <w:right w:val="single" w:sz="4" w:space="0" w:color="auto"/>
            </w:tcBorders>
            <w:hideMark/>
          </w:tcPr>
          <w:p w14:paraId="3504F60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BooksCorpus (800M words), English Wikipedia (2500M words)</w:t>
            </w:r>
          </w:p>
        </w:tc>
        <w:tc>
          <w:tcPr>
            <w:tcW w:w="992" w:type="dxa"/>
            <w:tcBorders>
              <w:top w:val="single" w:sz="4" w:space="0" w:color="auto"/>
              <w:left w:val="single" w:sz="4" w:space="0" w:color="auto"/>
              <w:bottom w:val="single" w:sz="4" w:space="0" w:color="auto"/>
              <w:right w:val="single" w:sz="4" w:space="0" w:color="auto"/>
            </w:tcBorders>
            <w:hideMark/>
          </w:tcPr>
          <w:p w14:paraId="1A5F5D5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93.2% accuracy on SQuAD; State-of-art on 11 NLP tasks; Pretraining breakthrough</w:t>
            </w:r>
          </w:p>
        </w:tc>
        <w:tc>
          <w:tcPr>
            <w:tcW w:w="1276" w:type="dxa"/>
            <w:tcBorders>
              <w:top w:val="single" w:sz="4" w:space="0" w:color="auto"/>
              <w:left w:val="single" w:sz="4" w:space="0" w:color="auto"/>
              <w:bottom w:val="single" w:sz="4" w:space="0" w:color="auto"/>
              <w:right w:val="single" w:sz="4" w:space="0" w:color="auto"/>
            </w:tcBorders>
            <w:hideMark/>
          </w:tcPr>
          <w:p w14:paraId="578C6A3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Accuracy on GLUE, SQuAD F1/EM, SWAG accuracy</w:t>
            </w:r>
          </w:p>
        </w:tc>
      </w:tr>
      <w:tr w:rsidR="002021A7" w:rsidRPr="002021A7" w14:paraId="419A2414"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680750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Brown et al. (2020) [15]</w:t>
            </w:r>
          </w:p>
        </w:tc>
        <w:tc>
          <w:tcPr>
            <w:tcW w:w="992" w:type="dxa"/>
            <w:tcBorders>
              <w:top w:val="single" w:sz="4" w:space="0" w:color="auto"/>
              <w:left w:val="single" w:sz="4" w:space="0" w:color="auto"/>
              <w:bottom w:val="single" w:sz="4" w:space="0" w:color="auto"/>
              <w:right w:val="single" w:sz="4" w:space="0" w:color="auto"/>
            </w:tcBorders>
            <w:hideMark/>
          </w:tcPr>
          <w:p w14:paraId="0916B69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Language Models are Few-</w:t>
            </w:r>
            <w:r w:rsidRPr="002021A7">
              <w:rPr>
                <w:rFonts w:ascii="Times New Roman" w:hAnsi="Times New Roman" w:cs="Times New Roman"/>
                <w:sz w:val="20"/>
                <w:szCs w:val="20"/>
              </w:rPr>
              <w:lastRenderedPageBreak/>
              <w:t>Shot Learners (GPT-3)</w:t>
            </w:r>
          </w:p>
        </w:tc>
        <w:tc>
          <w:tcPr>
            <w:tcW w:w="1412" w:type="dxa"/>
            <w:tcBorders>
              <w:top w:val="single" w:sz="4" w:space="0" w:color="auto"/>
              <w:left w:val="single" w:sz="4" w:space="0" w:color="auto"/>
              <w:bottom w:val="single" w:sz="4" w:space="0" w:color="auto"/>
              <w:right w:val="single" w:sz="4" w:space="0" w:color="auto"/>
            </w:tcBorders>
            <w:hideMark/>
          </w:tcPr>
          <w:p w14:paraId="4767439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Few-shot learning with </w:t>
            </w:r>
            <w:r w:rsidRPr="002021A7">
              <w:rPr>
                <w:rFonts w:ascii="Times New Roman" w:hAnsi="Times New Roman" w:cs="Times New Roman"/>
                <w:sz w:val="20"/>
                <w:szCs w:val="20"/>
              </w:rPr>
              <w:lastRenderedPageBreak/>
              <w:t>large language models</w:t>
            </w:r>
          </w:p>
        </w:tc>
        <w:tc>
          <w:tcPr>
            <w:tcW w:w="1559" w:type="dxa"/>
            <w:tcBorders>
              <w:top w:val="single" w:sz="4" w:space="0" w:color="auto"/>
              <w:left w:val="single" w:sz="4" w:space="0" w:color="auto"/>
              <w:bottom w:val="single" w:sz="4" w:space="0" w:color="auto"/>
              <w:right w:val="single" w:sz="4" w:space="0" w:color="auto"/>
            </w:tcBorders>
            <w:hideMark/>
          </w:tcPr>
          <w:p w14:paraId="5F98494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Autoregressive transformer; In-context </w:t>
            </w:r>
            <w:r w:rsidRPr="002021A7">
              <w:rPr>
                <w:rFonts w:ascii="Times New Roman" w:hAnsi="Times New Roman" w:cs="Times New Roman"/>
                <w:sz w:val="20"/>
                <w:szCs w:val="20"/>
              </w:rPr>
              <w:lastRenderedPageBreak/>
              <w:t>learning; 175B parameters</w:t>
            </w:r>
          </w:p>
        </w:tc>
        <w:tc>
          <w:tcPr>
            <w:tcW w:w="1140" w:type="dxa"/>
            <w:tcBorders>
              <w:top w:val="single" w:sz="4" w:space="0" w:color="auto"/>
              <w:left w:val="single" w:sz="4" w:space="0" w:color="auto"/>
              <w:bottom w:val="single" w:sz="4" w:space="0" w:color="auto"/>
              <w:right w:val="single" w:sz="4" w:space="0" w:color="auto"/>
            </w:tcBorders>
            <w:hideMark/>
          </w:tcPr>
          <w:p w14:paraId="703EF6D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Common Crawl, WebText2, </w:t>
            </w:r>
            <w:r w:rsidRPr="002021A7">
              <w:rPr>
                <w:rFonts w:ascii="Times New Roman" w:hAnsi="Times New Roman" w:cs="Times New Roman"/>
                <w:sz w:val="20"/>
                <w:szCs w:val="20"/>
              </w:rPr>
              <w:lastRenderedPageBreak/>
              <w:t>Books1, Books2, Wikipedia</w:t>
            </w:r>
          </w:p>
        </w:tc>
        <w:tc>
          <w:tcPr>
            <w:tcW w:w="992" w:type="dxa"/>
            <w:tcBorders>
              <w:top w:val="single" w:sz="4" w:space="0" w:color="auto"/>
              <w:left w:val="single" w:sz="4" w:space="0" w:color="auto"/>
              <w:bottom w:val="single" w:sz="4" w:space="0" w:color="auto"/>
              <w:right w:val="single" w:sz="4" w:space="0" w:color="auto"/>
            </w:tcBorders>
            <w:hideMark/>
          </w:tcPr>
          <w:p w14:paraId="3A9060B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Few-shot SOTA on many </w:t>
            </w:r>
            <w:r w:rsidRPr="002021A7">
              <w:rPr>
                <w:rFonts w:ascii="Times New Roman" w:hAnsi="Times New Roman" w:cs="Times New Roman"/>
                <w:sz w:val="20"/>
                <w:szCs w:val="20"/>
              </w:rPr>
              <w:lastRenderedPageBreak/>
              <w:t>tasks; 175B parameters; In-context learning paradigm</w:t>
            </w:r>
          </w:p>
        </w:tc>
        <w:tc>
          <w:tcPr>
            <w:tcW w:w="1276" w:type="dxa"/>
            <w:tcBorders>
              <w:top w:val="single" w:sz="4" w:space="0" w:color="auto"/>
              <w:left w:val="single" w:sz="4" w:space="0" w:color="auto"/>
              <w:bottom w:val="single" w:sz="4" w:space="0" w:color="auto"/>
              <w:right w:val="single" w:sz="4" w:space="0" w:color="auto"/>
            </w:tcBorders>
            <w:hideMark/>
          </w:tcPr>
          <w:p w14:paraId="4FDBE2D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 xml:space="preserve">Accuracy on SuperGLUE, few-shot </w:t>
            </w:r>
            <w:r w:rsidRPr="002021A7">
              <w:rPr>
                <w:rFonts w:ascii="Times New Roman" w:hAnsi="Times New Roman" w:cs="Times New Roman"/>
                <w:sz w:val="20"/>
                <w:szCs w:val="20"/>
              </w:rPr>
              <w:lastRenderedPageBreak/>
              <w:t>learning metrics</w:t>
            </w:r>
          </w:p>
        </w:tc>
      </w:tr>
      <w:tr w:rsidR="002021A7" w:rsidRPr="002021A7" w14:paraId="62C00E29"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5166E22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Vaswani et al. (2017) [16]</w:t>
            </w:r>
          </w:p>
        </w:tc>
        <w:tc>
          <w:tcPr>
            <w:tcW w:w="992" w:type="dxa"/>
            <w:tcBorders>
              <w:top w:val="single" w:sz="4" w:space="0" w:color="auto"/>
              <w:left w:val="single" w:sz="4" w:space="0" w:color="auto"/>
              <w:bottom w:val="single" w:sz="4" w:space="0" w:color="auto"/>
              <w:right w:val="single" w:sz="4" w:space="0" w:color="auto"/>
            </w:tcBorders>
            <w:hideMark/>
          </w:tcPr>
          <w:p w14:paraId="72FF495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Attention is All You Need (Transformer)</w:t>
            </w:r>
          </w:p>
        </w:tc>
        <w:tc>
          <w:tcPr>
            <w:tcW w:w="1412" w:type="dxa"/>
            <w:tcBorders>
              <w:top w:val="single" w:sz="4" w:space="0" w:color="auto"/>
              <w:left w:val="single" w:sz="4" w:space="0" w:color="auto"/>
              <w:bottom w:val="single" w:sz="4" w:space="0" w:color="auto"/>
              <w:right w:val="single" w:sz="4" w:space="0" w:color="auto"/>
            </w:tcBorders>
            <w:hideMark/>
          </w:tcPr>
          <w:p w14:paraId="46AE420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Attention mechanism for sequence modelling</w:t>
            </w:r>
          </w:p>
        </w:tc>
        <w:tc>
          <w:tcPr>
            <w:tcW w:w="1559" w:type="dxa"/>
            <w:tcBorders>
              <w:top w:val="single" w:sz="4" w:space="0" w:color="auto"/>
              <w:left w:val="single" w:sz="4" w:space="0" w:color="auto"/>
              <w:bottom w:val="single" w:sz="4" w:space="0" w:color="auto"/>
              <w:right w:val="single" w:sz="4" w:space="0" w:color="auto"/>
            </w:tcBorders>
            <w:hideMark/>
          </w:tcPr>
          <w:p w14:paraId="2628379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Multi-head self-attention; Positional encoding; Feed-forward networks</w:t>
            </w:r>
          </w:p>
        </w:tc>
        <w:tc>
          <w:tcPr>
            <w:tcW w:w="1140" w:type="dxa"/>
            <w:tcBorders>
              <w:top w:val="single" w:sz="4" w:space="0" w:color="auto"/>
              <w:left w:val="single" w:sz="4" w:space="0" w:color="auto"/>
              <w:bottom w:val="single" w:sz="4" w:space="0" w:color="auto"/>
              <w:right w:val="single" w:sz="4" w:space="0" w:color="auto"/>
            </w:tcBorders>
            <w:hideMark/>
          </w:tcPr>
          <w:p w14:paraId="6FE9CABC" w14:textId="77777777" w:rsidR="002021A7" w:rsidRPr="002021A7" w:rsidRDefault="002021A7" w:rsidP="002021A7">
            <w:pPr>
              <w:rPr>
                <w:rFonts w:ascii="Times New Roman" w:hAnsi="Times New Roman" w:cs="Times New Roman"/>
                <w:sz w:val="20"/>
                <w:szCs w:val="20"/>
                <w:lang w:val="sv-SE"/>
              </w:rPr>
            </w:pPr>
            <w:r w:rsidRPr="002021A7">
              <w:rPr>
                <w:rFonts w:ascii="Times New Roman" w:hAnsi="Times New Roman" w:cs="Times New Roman"/>
                <w:sz w:val="20"/>
                <w:szCs w:val="20"/>
                <w:lang w:val="sv-SE"/>
              </w:rPr>
              <w:t>WMT 2014 EN-DE, WMT 2014 EN-FR</w:t>
            </w:r>
          </w:p>
        </w:tc>
        <w:tc>
          <w:tcPr>
            <w:tcW w:w="992" w:type="dxa"/>
            <w:tcBorders>
              <w:top w:val="single" w:sz="4" w:space="0" w:color="auto"/>
              <w:left w:val="single" w:sz="4" w:space="0" w:color="auto"/>
              <w:bottom w:val="single" w:sz="4" w:space="0" w:color="auto"/>
              <w:right w:val="single" w:sz="4" w:space="0" w:color="auto"/>
            </w:tcBorders>
            <w:hideMark/>
          </w:tcPr>
          <w:p w14:paraId="77138C8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State-of-the-art on WMT translation; Eliminated recurrence; Foundation for modern LLMs</w:t>
            </w:r>
          </w:p>
        </w:tc>
        <w:tc>
          <w:tcPr>
            <w:tcW w:w="1276" w:type="dxa"/>
            <w:tcBorders>
              <w:top w:val="single" w:sz="4" w:space="0" w:color="auto"/>
              <w:left w:val="single" w:sz="4" w:space="0" w:color="auto"/>
              <w:bottom w:val="single" w:sz="4" w:space="0" w:color="auto"/>
              <w:right w:val="single" w:sz="4" w:space="0" w:color="auto"/>
            </w:tcBorders>
            <w:hideMark/>
          </w:tcPr>
          <w:p w14:paraId="4403D99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BLEU score on translation tasks, Perplexity</w:t>
            </w:r>
          </w:p>
        </w:tc>
      </w:tr>
      <w:tr w:rsidR="002021A7" w:rsidRPr="002021A7" w14:paraId="088E1683"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CEC289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Radford et al. (2019) [17]</w:t>
            </w:r>
          </w:p>
        </w:tc>
        <w:tc>
          <w:tcPr>
            <w:tcW w:w="992" w:type="dxa"/>
            <w:tcBorders>
              <w:top w:val="single" w:sz="4" w:space="0" w:color="auto"/>
              <w:left w:val="single" w:sz="4" w:space="0" w:color="auto"/>
              <w:bottom w:val="single" w:sz="4" w:space="0" w:color="auto"/>
              <w:right w:val="single" w:sz="4" w:space="0" w:color="auto"/>
            </w:tcBorders>
            <w:hideMark/>
          </w:tcPr>
          <w:p w14:paraId="0ADDFFB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Language Models are Unsupervised Multitask Learners (GPT-2)</w:t>
            </w:r>
          </w:p>
        </w:tc>
        <w:tc>
          <w:tcPr>
            <w:tcW w:w="1412" w:type="dxa"/>
            <w:tcBorders>
              <w:top w:val="single" w:sz="4" w:space="0" w:color="auto"/>
              <w:left w:val="single" w:sz="4" w:space="0" w:color="auto"/>
              <w:bottom w:val="single" w:sz="4" w:space="0" w:color="auto"/>
              <w:right w:val="single" w:sz="4" w:space="0" w:color="auto"/>
            </w:tcBorders>
            <w:hideMark/>
          </w:tcPr>
          <w:p w14:paraId="01A73D9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Unsupervised multitask learning via language modelling</w:t>
            </w:r>
          </w:p>
        </w:tc>
        <w:tc>
          <w:tcPr>
            <w:tcW w:w="1559" w:type="dxa"/>
            <w:tcBorders>
              <w:top w:val="single" w:sz="4" w:space="0" w:color="auto"/>
              <w:left w:val="single" w:sz="4" w:space="0" w:color="auto"/>
              <w:bottom w:val="single" w:sz="4" w:space="0" w:color="auto"/>
              <w:right w:val="single" w:sz="4" w:space="0" w:color="auto"/>
            </w:tcBorders>
            <w:hideMark/>
          </w:tcPr>
          <w:p w14:paraId="07F268E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Unsupervised pretraining on web text; Zero-shot task transfer</w:t>
            </w:r>
          </w:p>
        </w:tc>
        <w:tc>
          <w:tcPr>
            <w:tcW w:w="1140" w:type="dxa"/>
            <w:tcBorders>
              <w:top w:val="single" w:sz="4" w:space="0" w:color="auto"/>
              <w:left w:val="single" w:sz="4" w:space="0" w:color="auto"/>
              <w:bottom w:val="single" w:sz="4" w:space="0" w:color="auto"/>
              <w:right w:val="single" w:sz="4" w:space="0" w:color="auto"/>
            </w:tcBorders>
            <w:hideMark/>
          </w:tcPr>
          <w:p w14:paraId="79AE3AD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WebText (40GB), 8M web pages</w:t>
            </w:r>
          </w:p>
        </w:tc>
        <w:tc>
          <w:tcPr>
            <w:tcW w:w="992" w:type="dxa"/>
            <w:tcBorders>
              <w:top w:val="single" w:sz="4" w:space="0" w:color="auto"/>
              <w:left w:val="single" w:sz="4" w:space="0" w:color="auto"/>
              <w:bottom w:val="single" w:sz="4" w:space="0" w:color="auto"/>
              <w:right w:val="single" w:sz="4" w:space="0" w:color="auto"/>
            </w:tcBorders>
            <w:hideMark/>
          </w:tcPr>
          <w:p w14:paraId="2C14D4F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task transfer; Showed scale improves generalisation</w:t>
            </w:r>
          </w:p>
        </w:tc>
        <w:tc>
          <w:tcPr>
            <w:tcW w:w="1276" w:type="dxa"/>
            <w:tcBorders>
              <w:top w:val="single" w:sz="4" w:space="0" w:color="auto"/>
              <w:left w:val="single" w:sz="4" w:space="0" w:color="auto"/>
              <w:bottom w:val="single" w:sz="4" w:space="0" w:color="auto"/>
              <w:right w:val="single" w:sz="4" w:space="0" w:color="auto"/>
            </w:tcBorders>
            <w:hideMark/>
          </w:tcPr>
          <w:p w14:paraId="363ACB1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Perplexity, Zero-shot task transfer accuracy</w:t>
            </w:r>
          </w:p>
        </w:tc>
      </w:tr>
      <w:tr w:rsidR="002021A7" w:rsidRPr="002021A7" w14:paraId="00982AC0"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E025B4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Liu et al. (2019) [18]</w:t>
            </w:r>
          </w:p>
        </w:tc>
        <w:tc>
          <w:tcPr>
            <w:tcW w:w="992" w:type="dxa"/>
            <w:tcBorders>
              <w:top w:val="single" w:sz="4" w:space="0" w:color="auto"/>
              <w:left w:val="single" w:sz="4" w:space="0" w:color="auto"/>
              <w:bottom w:val="single" w:sz="4" w:space="0" w:color="auto"/>
              <w:right w:val="single" w:sz="4" w:space="0" w:color="auto"/>
            </w:tcBorders>
            <w:hideMark/>
          </w:tcPr>
          <w:p w14:paraId="4B75B69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RoBERTa: A Robustly Optimised BERT Pretraining Approach</w:t>
            </w:r>
          </w:p>
        </w:tc>
        <w:tc>
          <w:tcPr>
            <w:tcW w:w="1412" w:type="dxa"/>
            <w:tcBorders>
              <w:top w:val="single" w:sz="4" w:space="0" w:color="auto"/>
              <w:left w:val="single" w:sz="4" w:space="0" w:color="auto"/>
              <w:bottom w:val="single" w:sz="4" w:space="0" w:color="auto"/>
              <w:right w:val="single" w:sz="4" w:space="0" w:color="auto"/>
            </w:tcBorders>
            <w:hideMark/>
          </w:tcPr>
          <w:p w14:paraId="7DEBD23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Optimised BERT pretraining strategies</w:t>
            </w:r>
          </w:p>
        </w:tc>
        <w:tc>
          <w:tcPr>
            <w:tcW w:w="1559" w:type="dxa"/>
            <w:tcBorders>
              <w:top w:val="single" w:sz="4" w:space="0" w:color="auto"/>
              <w:left w:val="single" w:sz="4" w:space="0" w:color="auto"/>
              <w:bottom w:val="single" w:sz="4" w:space="0" w:color="auto"/>
              <w:right w:val="single" w:sz="4" w:space="0" w:color="auto"/>
            </w:tcBorders>
            <w:hideMark/>
          </w:tcPr>
          <w:p w14:paraId="5AEB993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Dynamic masking; Larger batches; Longer training; Removed NSP</w:t>
            </w:r>
          </w:p>
        </w:tc>
        <w:tc>
          <w:tcPr>
            <w:tcW w:w="1140" w:type="dxa"/>
            <w:tcBorders>
              <w:top w:val="single" w:sz="4" w:space="0" w:color="auto"/>
              <w:left w:val="single" w:sz="4" w:space="0" w:color="auto"/>
              <w:bottom w:val="single" w:sz="4" w:space="0" w:color="auto"/>
              <w:right w:val="single" w:sz="4" w:space="0" w:color="auto"/>
            </w:tcBorders>
            <w:hideMark/>
          </w:tcPr>
          <w:p w14:paraId="1B62815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Same as BERT plus CC-News, OpenWebText, Stories</w:t>
            </w:r>
          </w:p>
        </w:tc>
        <w:tc>
          <w:tcPr>
            <w:tcW w:w="992" w:type="dxa"/>
            <w:tcBorders>
              <w:top w:val="single" w:sz="4" w:space="0" w:color="auto"/>
              <w:left w:val="single" w:sz="4" w:space="0" w:color="auto"/>
              <w:bottom w:val="single" w:sz="4" w:space="0" w:color="auto"/>
              <w:right w:val="single" w:sz="4" w:space="0" w:color="auto"/>
            </w:tcBorders>
            <w:hideMark/>
          </w:tcPr>
          <w:p w14:paraId="2D07D73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Improved over BERT on GLUE, SQuAD, RACE; Training procedure optimisations</w:t>
            </w:r>
          </w:p>
        </w:tc>
        <w:tc>
          <w:tcPr>
            <w:tcW w:w="1276" w:type="dxa"/>
            <w:tcBorders>
              <w:top w:val="single" w:sz="4" w:space="0" w:color="auto"/>
              <w:left w:val="single" w:sz="4" w:space="0" w:color="auto"/>
              <w:bottom w:val="single" w:sz="4" w:space="0" w:color="auto"/>
              <w:right w:val="single" w:sz="4" w:space="0" w:color="auto"/>
            </w:tcBorders>
            <w:hideMark/>
          </w:tcPr>
          <w:p w14:paraId="20D759A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GLUE score, SQuAD F1/EM, RACE accuracy</w:t>
            </w:r>
          </w:p>
        </w:tc>
      </w:tr>
      <w:tr w:rsidR="002021A7" w:rsidRPr="002021A7" w14:paraId="7B4F1828"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68ACC69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Bai et al. (2022) [19]</w:t>
            </w:r>
          </w:p>
        </w:tc>
        <w:tc>
          <w:tcPr>
            <w:tcW w:w="992" w:type="dxa"/>
            <w:tcBorders>
              <w:top w:val="single" w:sz="4" w:space="0" w:color="auto"/>
              <w:left w:val="single" w:sz="4" w:space="0" w:color="auto"/>
              <w:bottom w:val="single" w:sz="4" w:space="0" w:color="auto"/>
              <w:right w:val="single" w:sz="4" w:space="0" w:color="auto"/>
            </w:tcBorders>
            <w:hideMark/>
          </w:tcPr>
          <w:p w14:paraId="474C5E1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Constitutional AI: Harmlessness from AI Feedback</w:t>
            </w:r>
          </w:p>
        </w:tc>
        <w:tc>
          <w:tcPr>
            <w:tcW w:w="1412" w:type="dxa"/>
            <w:tcBorders>
              <w:top w:val="single" w:sz="4" w:space="0" w:color="auto"/>
              <w:left w:val="single" w:sz="4" w:space="0" w:color="auto"/>
              <w:bottom w:val="single" w:sz="4" w:space="0" w:color="auto"/>
              <w:right w:val="single" w:sz="4" w:space="0" w:color="auto"/>
            </w:tcBorders>
            <w:hideMark/>
          </w:tcPr>
          <w:p w14:paraId="57C24A4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AI safety through constitutional AI</w:t>
            </w:r>
          </w:p>
        </w:tc>
        <w:tc>
          <w:tcPr>
            <w:tcW w:w="1559" w:type="dxa"/>
            <w:tcBorders>
              <w:top w:val="single" w:sz="4" w:space="0" w:color="auto"/>
              <w:left w:val="single" w:sz="4" w:space="0" w:color="auto"/>
              <w:bottom w:val="single" w:sz="4" w:space="0" w:color="auto"/>
              <w:right w:val="single" w:sz="4" w:space="0" w:color="auto"/>
            </w:tcBorders>
            <w:hideMark/>
          </w:tcPr>
          <w:p w14:paraId="53A79EC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RLAIF with AI-generated preferences; Constitutional principles; Iterative refinement</w:t>
            </w:r>
          </w:p>
        </w:tc>
        <w:tc>
          <w:tcPr>
            <w:tcW w:w="1140" w:type="dxa"/>
            <w:tcBorders>
              <w:top w:val="single" w:sz="4" w:space="0" w:color="auto"/>
              <w:left w:val="single" w:sz="4" w:space="0" w:color="auto"/>
              <w:bottom w:val="single" w:sz="4" w:space="0" w:color="auto"/>
              <w:right w:val="single" w:sz="4" w:space="0" w:color="auto"/>
            </w:tcBorders>
            <w:hideMark/>
          </w:tcPr>
          <w:p w14:paraId="6082A86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Custom helpfulness and harmlessness datasets</w:t>
            </w:r>
          </w:p>
        </w:tc>
        <w:tc>
          <w:tcPr>
            <w:tcW w:w="992" w:type="dxa"/>
            <w:tcBorders>
              <w:top w:val="single" w:sz="4" w:space="0" w:color="auto"/>
              <w:left w:val="single" w:sz="4" w:space="0" w:color="auto"/>
              <w:bottom w:val="single" w:sz="4" w:space="0" w:color="auto"/>
              <w:right w:val="single" w:sz="4" w:space="0" w:color="auto"/>
            </w:tcBorders>
            <w:hideMark/>
          </w:tcPr>
          <w:p w14:paraId="0F838A8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Reduced harmful outputs; Self-critiquing; Improved helpfulness-harmlessness tradeoff</w:t>
            </w:r>
          </w:p>
        </w:tc>
        <w:tc>
          <w:tcPr>
            <w:tcW w:w="1276" w:type="dxa"/>
            <w:tcBorders>
              <w:top w:val="single" w:sz="4" w:space="0" w:color="auto"/>
              <w:left w:val="single" w:sz="4" w:space="0" w:color="auto"/>
              <w:bottom w:val="single" w:sz="4" w:space="0" w:color="auto"/>
              <w:right w:val="single" w:sz="4" w:space="0" w:color="auto"/>
            </w:tcBorders>
            <w:hideMark/>
          </w:tcPr>
          <w:p w14:paraId="44653FD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Helpfulness, Harmlessness scores, Human preferences</w:t>
            </w:r>
          </w:p>
        </w:tc>
      </w:tr>
      <w:tr w:rsidR="002021A7" w:rsidRPr="002021A7" w14:paraId="4D815DF8"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245EBCC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Touvron et al. (2023) [20]</w:t>
            </w:r>
          </w:p>
        </w:tc>
        <w:tc>
          <w:tcPr>
            <w:tcW w:w="992" w:type="dxa"/>
            <w:tcBorders>
              <w:top w:val="single" w:sz="4" w:space="0" w:color="auto"/>
              <w:left w:val="single" w:sz="4" w:space="0" w:color="auto"/>
              <w:bottom w:val="single" w:sz="4" w:space="0" w:color="auto"/>
              <w:right w:val="single" w:sz="4" w:space="0" w:color="auto"/>
            </w:tcBorders>
            <w:hideMark/>
          </w:tcPr>
          <w:p w14:paraId="617DF17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LLaMA: Open and Efficient Foundation Language Models</w:t>
            </w:r>
          </w:p>
        </w:tc>
        <w:tc>
          <w:tcPr>
            <w:tcW w:w="1412" w:type="dxa"/>
            <w:tcBorders>
              <w:top w:val="single" w:sz="4" w:space="0" w:color="auto"/>
              <w:left w:val="single" w:sz="4" w:space="0" w:color="auto"/>
              <w:bottom w:val="single" w:sz="4" w:space="0" w:color="auto"/>
              <w:right w:val="single" w:sz="4" w:space="0" w:color="auto"/>
            </w:tcBorders>
            <w:hideMark/>
          </w:tcPr>
          <w:p w14:paraId="37A653A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Efficient open-source foundation models</w:t>
            </w:r>
          </w:p>
        </w:tc>
        <w:tc>
          <w:tcPr>
            <w:tcW w:w="1559" w:type="dxa"/>
            <w:tcBorders>
              <w:top w:val="single" w:sz="4" w:space="0" w:color="auto"/>
              <w:left w:val="single" w:sz="4" w:space="0" w:color="auto"/>
              <w:bottom w:val="single" w:sz="4" w:space="0" w:color="auto"/>
              <w:right w:val="single" w:sz="4" w:space="0" w:color="auto"/>
            </w:tcBorders>
            <w:hideMark/>
          </w:tcPr>
          <w:p w14:paraId="02E30DB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Efficient architecture; RMSNorm; SwiGLU activations; Rotary embeddings</w:t>
            </w:r>
          </w:p>
        </w:tc>
        <w:tc>
          <w:tcPr>
            <w:tcW w:w="1140" w:type="dxa"/>
            <w:tcBorders>
              <w:top w:val="single" w:sz="4" w:space="0" w:color="auto"/>
              <w:left w:val="single" w:sz="4" w:space="0" w:color="auto"/>
              <w:bottom w:val="single" w:sz="4" w:space="0" w:color="auto"/>
              <w:right w:val="single" w:sz="4" w:space="0" w:color="auto"/>
            </w:tcBorders>
            <w:hideMark/>
          </w:tcPr>
          <w:p w14:paraId="5B91471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CommonCrawl, C4, Github, Wikipedia, Books, ArXiv, StackExchange</w:t>
            </w:r>
          </w:p>
        </w:tc>
        <w:tc>
          <w:tcPr>
            <w:tcW w:w="992" w:type="dxa"/>
            <w:tcBorders>
              <w:top w:val="single" w:sz="4" w:space="0" w:color="auto"/>
              <w:left w:val="single" w:sz="4" w:space="0" w:color="auto"/>
              <w:bottom w:val="single" w:sz="4" w:space="0" w:color="auto"/>
              <w:right w:val="single" w:sz="4" w:space="0" w:color="auto"/>
            </w:tcBorders>
            <w:hideMark/>
          </w:tcPr>
          <w:p w14:paraId="6F605C7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7B model competitive with GPT-3; Open weights; Efficient inference</w:t>
            </w:r>
          </w:p>
        </w:tc>
        <w:tc>
          <w:tcPr>
            <w:tcW w:w="1276" w:type="dxa"/>
            <w:tcBorders>
              <w:top w:val="single" w:sz="4" w:space="0" w:color="auto"/>
              <w:left w:val="single" w:sz="4" w:space="0" w:color="auto"/>
              <w:bottom w:val="single" w:sz="4" w:space="0" w:color="auto"/>
              <w:right w:val="single" w:sz="4" w:space="0" w:color="auto"/>
            </w:tcBorders>
            <w:hideMark/>
          </w:tcPr>
          <w:p w14:paraId="5EC8841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accuracy on downstream tasks, Perplexity</w:t>
            </w:r>
          </w:p>
        </w:tc>
      </w:tr>
      <w:tr w:rsidR="002021A7" w:rsidRPr="002021A7" w14:paraId="0845D81B"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6FEE29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Achiam et al. (2023) [21]</w:t>
            </w:r>
          </w:p>
        </w:tc>
        <w:tc>
          <w:tcPr>
            <w:tcW w:w="992" w:type="dxa"/>
            <w:tcBorders>
              <w:top w:val="single" w:sz="4" w:space="0" w:color="auto"/>
              <w:left w:val="single" w:sz="4" w:space="0" w:color="auto"/>
              <w:bottom w:val="single" w:sz="4" w:space="0" w:color="auto"/>
              <w:right w:val="single" w:sz="4" w:space="0" w:color="auto"/>
            </w:tcBorders>
            <w:hideMark/>
          </w:tcPr>
          <w:p w14:paraId="2B47791F"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GPT-4 System Card</w:t>
            </w:r>
          </w:p>
        </w:tc>
        <w:tc>
          <w:tcPr>
            <w:tcW w:w="1412" w:type="dxa"/>
            <w:tcBorders>
              <w:top w:val="single" w:sz="4" w:space="0" w:color="auto"/>
              <w:left w:val="single" w:sz="4" w:space="0" w:color="auto"/>
              <w:bottom w:val="single" w:sz="4" w:space="0" w:color="auto"/>
              <w:right w:val="single" w:sz="4" w:space="0" w:color="auto"/>
            </w:tcBorders>
            <w:hideMark/>
          </w:tcPr>
          <w:p w14:paraId="6FFE720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Safety evaluation and mitigation for GPT-4</w:t>
            </w:r>
          </w:p>
        </w:tc>
        <w:tc>
          <w:tcPr>
            <w:tcW w:w="1559" w:type="dxa"/>
            <w:tcBorders>
              <w:top w:val="single" w:sz="4" w:space="0" w:color="auto"/>
              <w:left w:val="single" w:sz="4" w:space="0" w:color="auto"/>
              <w:bottom w:val="single" w:sz="4" w:space="0" w:color="auto"/>
              <w:right w:val="single" w:sz="4" w:space="0" w:color="auto"/>
            </w:tcBorders>
            <w:hideMark/>
          </w:tcPr>
          <w:p w14:paraId="0F685EB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Red-teaming; Safety benchmarks; Risk assessment across domains</w:t>
            </w:r>
          </w:p>
        </w:tc>
        <w:tc>
          <w:tcPr>
            <w:tcW w:w="1140" w:type="dxa"/>
            <w:tcBorders>
              <w:top w:val="single" w:sz="4" w:space="0" w:color="auto"/>
              <w:left w:val="single" w:sz="4" w:space="0" w:color="auto"/>
              <w:bottom w:val="single" w:sz="4" w:space="0" w:color="auto"/>
              <w:right w:val="single" w:sz="4" w:space="0" w:color="auto"/>
            </w:tcBorders>
            <w:hideMark/>
          </w:tcPr>
          <w:p w14:paraId="3207528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MMLU, TruthfulQA, RealToxicityPrompts, human evaluations</w:t>
            </w:r>
          </w:p>
        </w:tc>
        <w:tc>
          <w:tcPr>
            <w:tcW w:w="992" w:type="dxa"/>
            <w:tcBorders>
              <w:top w:val="single" w:sz="4" w:space="0" w:color="auto"/>
              <w:left w:val="single" w:sz="4" w:space="0" w:color="auto"/>
              <w:bottom w:val="single" w:sz="4" w:space="0" w:color="auto"/>
              <w:right w:val="single" w:sz="4" w:space="0" w:color="auto"/>
            </w:tcBorders>
            <w:hideMark/>
          </w:tcPr>
          <w:p w14:paraId="5DF4CA2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Comprehensive safety analysis; Refusal behaviour taxonomy; Mitigation strategies</w:t>
            </w:r>
          </w:p>
        </w:tc>
        <w:tc>
          <w:tcPr>
            <w:tcW w:w="1276" w:type="dxa"/>
            <w:tcBorders>
              <w:top w:val="single" w:sz="4" w:space="0" w:color="auto"/>
              <w:left w:val="single" w:sz="4" w:space="0" w:color="auto"/>
              <w:bottom w:val="single" w:sz="4" w:space="0" w:color="auto"/>
              <w:right w:val="single" w:sz="4" w:space="0" w:color="auto"/>
            </w:tcBorders>
            <w:hideMark/>
          </w:tcPr>
          <w:p w14:paraId="12FCD36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Pass rates on safety benchmarks, Human red team evaluation</w:t>
            </w:r>
          </w:p>
        </w:tc>
      </w:tr>
      <w:tr w:rsidR="002021A7" w:rsidRPr="002021A7" w14:paraId="2C942F8E"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A80293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Zhao et al. (2023) [22]</w:t>
            </w:r>
          </w:p>
        </w:tc>
        <w:tc>
          <w:tcPr>
            <w:tcW w:w="992" w:type="dxa"/>
            <w:tcBorders>
              <w:top w:val="single" w:sz="4" w:space="0" w:color="auto"/>
              <w:left w:val="single" w:sz="4" w:space="0" w:color="auto"/>
              <w:bottom w:val="single" w:sz="4" w:space="0" w:color="auto"/>
              <w:right w:val="single" w:sz="4" w:space="0" w:color="auto"/>
            </w:tcBorders>
            <w:hideMark/>
          </w:tcPr>
          <w:p w14:paraId="21B9558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 Survey of Large Language Models</w:t>
            </w:r>
          </w:p>
        </w:tc>
        <w:tc>
          <w:tcPr>
            <w:tcW w:w="1412" w:type="dxa"/>
            <w:tcBorders>
              <w:top w:val="single" w:sz="4" w:space="0" w:color="auto"/>
              <w:left w:val="single" w:sz="4" w:space="0" w:color="auto"/>
              <w:bottom w:val="single" w:sz="4" w:space="0" w:color="auto"/>
              <w:right w:val="single" w:sz="4" w:space="0" w:color="auto"/>
            </w:tcBorders>
            <w:hideMark/>
          </w:tcPr>
          <w:p w14:paraId="5E1216E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Comprehensive survey of LLM developments</w:t>
            </w:r>
          </w:p>
        </w:tc>
        <w:tc>
          <w:tcPr>
            <w:tcW w:w="1559" w:type="dxa"/>
            <w:tcBorders>
              <w:top w:val="single" w:sz="4" w:space="0" w:color="auto"/>
              <w:left w:val="single" w:sz="4" w:space="0" w:color="auto"/>
              <w:bottom w:val="single" w:sz="4" w:space="0" w:color="auto"/>
              <w:right w:val="single" w:sz="4" w:space="0" w:color="auto"/>
            </w:tcBorders>
            <w:hideMark/>
          </w:tcPr>
          <w:p w14:paraId="770531A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Literature review of 400+ papers; Taxonomy of techniques; Future directions</w:t>
            </w:r>
          </w:p>
        </w:tc>
        <w:tc>
          <w:tcPr>
            <w:tcW w:w="1140" w:type="dxa"/>
            <w:tcBorders>
              <w:top w:val="single" w:sz="4" w:space="0" w:color="auto"/>
              <w:left w:val="single" w:sz="4" w:space="0" w:color="auto"/>
              <w:bottom w:val="single" w:sz="4" w:space="0" w:color="auto"/>
              <w:right w:val="single" w:sz="4" w:space="0" w:color="auto"/>
            </w:tcBorders>
            <w:hideMark/>
          </w:tcPr>
          <w:p w14:paraId="1D4E7AB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Analysis across benchmarks: MMLU, HumanEval, GSM8K, etc.</w:t>
            </w:r>
          </w:p>
        </w:tc>
        <w:tc>
          <w:tcPr>
            <w:tcW w:w="992" w:type="dxa"/>
            <w:tcBorders>
              <w:top w:val="single" w:sz="4" w:space="0" w:color="auto"/>
              <w:left w:val="single" w:sz="4" w:space="0" w:color="auto"/>
              <w:bottom w:val="single" w:sz="4" w:space="0" w:color="auto"/>
              <w:right w:val="single" w:sz="4" w:space="0" w:color="auto"/>
            </w:tcBorders>
            <w:hideMark/>
          </w:tcPr>
          <w:p w14:paraId="66C63DA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400+ papers reviewed; Trends, techniques, applications; Research roadmap</w:t>
            </w:r>
          </w:p>
        </w:tc>
        <w:tc>
          <w:tcPr>
            <w:tcW w:w="1276" w:type="dxa"/>
            <w:tcBorders>
              <w:top w:val="single" w:sz="4" w:space="0" w:color="auto"/>
              <w:left w:val="single" w:sz="4" w:space="0" w:color="auto"/>
              <w:bottom w:val="single" w:sz="4" w:space="0" w:color="auto"/>
              <w:right w:val="single" w:sz="4" w:space="0" w:color="auto"/>
            </w:tcBorders>
            <w:hideMark/>
          </w:tcPr>
          <w:p w14:paraId="5E382FF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Comparative analysis across models and methods</w:t>
            </w:r>
          </w:p>
        </w:tc>
      </w:tr>
      <w:tr w:rsidR="002021A7" w:rsidRPr="002021A7" w14:paraId="34C0324F"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BF12FD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Schick et al. (2023) [23]</w:t>
            </w:r>
          </w:p>
        </w:tc>
        <w:tc>
          <w:tcPr>
            <w:tcW w:w="992" w:type="dxa"/>
            <w:tcBorders>
              <w:top w:val="single" w:sz="4" w:space="0" w:color="auto"/>
              <w:left w:val="single" w:sz="4" w:space="0" w:color="auto"/>
              <w:bottom w:val="single" w:sz="4" w:space="0" w:color="auto"/>
              <w:right w:val="single" w:sz="4" w:space="0" w:color="auto"/>
            </w:tcBorders>
            <w:hideMark/>
          </w:tcPr>
          <w:p w14:paraId="7EC5B32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Toolformer: Language Models Can Teach Themselves to Use Tools</w:t>
            </w:r>
          </w:p>
        </w:tc>
        <w:tc>
          <w:tcPr>
            <w:tcW w:w="1412" w:type="dxa"/>
            <w:tcBorders>
              <w:top w:val="single" w:sz="4" w:space="0" w:color="auto"/>
              <w:left w:val="single" w:sz="4" w:space="0" w:color="auto"/>
              <w:bottom w:val="single" w:sz="4" w:space="0" w:color="auto"/>
              <w:right w:val="single" w:sz="4" w:space="0" w:color="auto"/>
            </w:tcBorders>
            <w:hideMark/>
          </w:tcPr>
          <w:p w14:paraId="0176F42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Self-supervised tool use learning</w:t>
            </w:r>
          </w:p>
        </w:tc>
        <w:tc>
          <w:tcPr>
            <w:tcW w:w="1559" w:type="dxa"/>
            <w:tcBorders>
              <w:top w:val="single" w:sz="4" w:space="0" w:color="auto"/>
              <w:left w:val="single" w:sz="4" w:space="0" w:color="auto"/>
              <w:bottom w:val="single" w:sz="4" w:space="0" w:color="auto"/>
              <w:right w:val="single" w:sz="4" w:space="0" w:color="auto"/>
            </w:tcBorders>
            <w:hideMark/>
          </w:tcPr>
          <w:p w14:paraId="4B804D5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Self-supervised learning to generate API calls; Few-shot demonstrations</w:t>
            </w:r>
          </w:p>
        </w:tc>
        <w:tc>
          <w:tcPr>
            <w:tcW w:w="1140" w:type="dxa"/>
            <w:tcBorders>
              <w:top w:val="single" w:sz="4" w:space="0" w:color="auto"/>
              <w:left w:val="single" w:sz="4" w:space="0" w:color="auto"/>
              <w:bottom w:val="single" w:sz="4" w:space="0" w:color="auto"/>
              <w:right w:val="single" w:sz="4" w:space="0" w:color="auto"/>
            </w:tcBorders>
            <w:hideMark/>
          </w:tcPr>
          <w:p w14:paraId="1424A52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CCNet subset, custom tool APIs</w:t>
            </w:r>
          </w:p>
        </w:tc>
        <w:tc>
          <w:tcPr>
            <w:tcW w:w="992" w:type="dxa"/>
            <w:tcBorders>
              <w:top w:val="single" w:sz="4" w:space="0" w:color="auto"/>
              <w:left w:val="single" w:sz="4" w:space="0" w:color="auto"/>
              <w:bottom w:val="single" w:sz="4" w:space="0" w:color="auto"/>
              <w:right w:val="single" w:sz="4" w:space="0" w:color="auto"/>
            </w:tcBorders>
            <w:hideMark/>
          </w:tcPr>
          <w:p w14:paraId="5CE1A41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Self-taught tool use; Improved performance on various tasks with tools</w:t>
            </w:r>
          </w:p>
        </w:tc>
        <w:tc>
          <w:tcPr>
            <w:tcW w:w="1276" w:type="dxa"/>
            <w:tcBorders>
              <w:top w:val="single" w:sz="4" w:space="0" w:color="auto"/>
              <w:left w:val="single" w:sz="4" w:space="0" w:color="auto"/>
              <w:bottom w:val="single" w:sz="4" w:space="0" w:color="auto"/>
              <w:right w:val="single" w:sz="4" w:space="0" w:color="auto"/>
            </w:tcBorders>
            <w:hideMark/>
          </w:tcPr>
          <w:p w14:paraId="5760B9A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Task success rate with tool augmentation</w:t>
            </w:r>
          </w:p>
        </w:tc>
      </w:tr>
      <w:tr w:rsidR="002021A7" w:rsidRPr="002021A7" w14:paraId="47DEF0BB"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C56E25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Wei et al. (2022) [24]</w:t>
            </w:r>
          </w:p>
        </w:tc>
        <w:tc>
          <w:tcPr>
            <w:tcW w:w="992" w:type="dxa"/>
            <w:tcBorders>
              <w:top w:val="single" w:sz="4" w:space="0" w:color="auto"/>
              <w:left w:val="single" w:sz="4" w:space="0" w:color="auto"/>
              <w:bottom w:val="single" w:sz="4" w:space="0" w:color="auto"/>
              <w:right w:val="single" w:sz="4" w:space="0" w:color="auto"/>
            </w:tcBorders>
            <w:hideMark/>
          </w:tcPr>
          <w:p w14:paraId="3C35A45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Chain-of-Thought Prompting Elicits Reasoning in Large Language Models</w:t>
            </w:r>
          </w:p>
        </w:tc>
        <w:tc>
          <w:tcPr>
            <w:tcW w:w="1412" w:type="dxa"/>
            <w:tcBorders>
              <w:top w:val="single" w:sz="4" w:space="0" w:color="auto"/>
              <w:left w:val="single" w:sz="4" w:space="0" w:color="auto"/>
              <w:bottom w:val="single" w:sz="4" w:space="0" w:color="auto"/>
              <w:right w:val="single" w:sz="4" w:space="0" w:color="auto"/>
            </w:tcBorders>
            <w:hideMark/>
          </w:tcPr>
          <w:p w14:paraId="70EF09D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Reasoning via intermediate reasoning steps</w:t>
            </w:r>
          </w:p>
        </w:tc>
        <w:tc>
          <w:tcPr>
            <w:tcW w:w="1559" w:type="dxa"/>
            <w:tcBorders>
              <w:top w:val="single" w:sz="4" w:space="0" w:color="auto"/>
              <w:left w:val="single" w:sz="4" w:space="0" w:color="auto"/>
              <w:bottom w:val="single" w:sz="4" w:space="0" w:color="auto"/>
              <w:right w:val="single" w:sz="4" w:space="0" w:color="auto"/>
            </w:tcBorders>
            <w:hideMark/>
          </w:tcPr>
          <w:p w14:paraId="1D59E56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Intermediate reasoning steps; Manual exemplars; Improved accuracy on complex tasks</w:t>
            </w:r>
          </w:p>
        </w:tc>
        <w:tc>
          <w:tcPr>
            <w:tcW w:w="1140" w:type="dxa"/>
            <w:tcBorders>
              <w:top w:val="single" w:sz="4" w:space="0" w:color="auto"/>
              <w:left w:val="single" w:sz="4" w:space="0" w:color="auto"/>
              <w:bottom w:val="single" w:sz="4" w:space="0" w:color="auto"/>
              <w:right w:val="single" w:sz="4" w:space="0" w:color="auto"/>
            </w:tcBorders>
            <w:hideMark/>
          </w:tcPr>
          <w:p w14:paraId="1CC1BDBD"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GSM8K, SVAMP, MultiArith, CommonsenseQA, StrategyQA</w:t>
            </w:r>
          </w:p>
        </w:tc>
        <w:tc>
          <w:tcPr>
            <w:tcW w:w="992" w:type="dxa"/>
            <w:tcBorders>
              <w:top w:val="single" w:sz="4" w:space="0" w:color="auto"/>
              <w:left w:val="single" w:sz="4" w:space="0" w:color="auto"/>
              <w:bottom w:val="single" w:sz="4" w:space="0" w:color="auto"/>
              <w:right w:val="single" w:sz="4" w:space="0" w:color="auto"/>
            </w:tcBorders>
            <w:hideMark/>
          </w:tcPr>
          <w:p w14:paraId="4F98CD0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Arithmetic: 17.7%â†’40.7% on GSM8K; Commonsense: improvements on CSQA, </w:t>
            </w:r>
            <w:r w:rsidRPr="002021A7">
              <w:rPr>
                <w:rFonts w:ascii="Times New Roman" w:hAnsi="Times New Roman" w:cs="Times New Roman"/>
                <w:sz w:val="20"/>
                <w:szCs w:val="20"/>
              </w:rPr>
              <w:lastRenderedPageBreak/>
              <w:t>StrategyQA</w:t>
            </w:r>
          </w:p>
        </w:tc>
        <w:tc>
          <w:tcPr>
            <w:tcW w:w="1276" w:type="dxa"/>
            <w:tcBorders>
              <w:top w:val="single" w:sz="4" w:space="0" w:color="auto"/>
              <w:left w:val="single" w:sz="4" w:space="0" w:color="auto"/>
              <w:bottom w:val="single" w:sz="4" w:space="0" w:color="auto"/>
              <w:right w:val="single" w:sz="4" w:space="0" w:color="auto"/>
            </w:tcBorders>
            <w:hideMark/>
          </w:tcPr>
          <w:p w14:paraId="33FE8FC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Accuracy on arithmetic, commonsense, and symbolic reasoning</w:t>
            </w:r>
          </w:p>
        </w:tc>
      </w:tr>
      <w:tr w:rsidR="002021A7" w:rsidRPr="002021A7" w14:paraId="0B5112A5"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EC6003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Kojima et al. (2022) [25]</w:t>
            </w:r>
          </w:p>
        </w:tc>
        <w:tc>
          <w:tcPr>
            <w:tcW w:w="992" w:type="dxa"/>
            <w:tcBorders>
              <w:top w:val="single" w:sz="4" w:space="0" w:color="auto"/>
              <w:left w:val="single" w:sz="4" w:space="0" w:color="auto"/>
              <w:bottom w:val="single" w:sz="4" w:space="0" w:color="auto"/>
              <w:right w:val="single" w:sz="4" w:space="0" w:color="auto"/>
            </w:tcBorders>
            <w:hideMark/>
          </w:tcPr>
          <w:p w14:paraId="1D020B8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Large Language Models are Zero-Shot Reasoners</w:t>
            </w:r>
          </w:p>
        </w:tc>
        <w:tc>
          <w:tcPr>
            <w:tcW w:w="1412" w:type="dxa"/>
            <w:tcBorders>
              <w:top w:val="single" w:sz="4" w:space="0" w:color="auto"/>
              <w:left w:val="single" w:sz="4" w:space="0" w:color="auto"/>
              <w:bottom w:val="single" w:sz="4" w:space="0" w:color="auto"/>
              <w:right w:val="single" w:sz="4" w:space="0" w:color="auto"/>
            </w:tcBorders>
            <w:hideMark/>
          </w:tcPr>
          <w:p w14:paraId="72801413"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reasoning through prompting</w:t>
            </w:r>
          </w:p>
        </w:tc>
        <w:tc>
          <w:tcPr>
            <w:tcW w:w="1559" w:type="dxa"/>
            <w:tcBorders>
              <w:top w:val="single" w:sz="4" w:space="0" w:color="auto"/>
              <w:left w:val="single" w:sz="4" w:space="0" w:color="auto"/>
              <w:bottom w:val="single" w:sz="4" w:space="0" w:color="auto"/>
              <w:right w:val="single" w:sz="4" w:space="0" w:color="auto"/>
            </w:tcBorders>
            <w:hideMark/>
          </w:tcPr>
          <w:p w14:paraId="368F104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CoT with "Let's think step by step"; No exemplars needed</w:t>
            </w:r>
          </w:p>
        </w:tc>
        <w:tc>
          <w:tcPr>
            <w:tcW w:w="1140" w:type="dxa"/>
            <w:tcBorders>
              <w:top w:val="single" w:sz="4" w:space="0" w:color="auto"/>
              <w:left w:val="single" w:sz="4" w:space="0" w:color="auto"/>
              <w:bottom w:val="single" w:sz="4" w:space="0" w:color="auto"/>
              <w:right w:val="single" w:sz="4" w:space="0" w:color="auto"/>
            </w:tcBorders>
            <w:hideMark/>
          </w:tcPr>
          <w:p w14:paraId="2970DC9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Same as CoT evaluation benchmarks</w:t>
            </w:r>
          </w:p>
        </w:tc>
        <w:tc>
          <w:tcPr>
            <w:tcW w:w="992" w:type="dxa"/>
            <w:tcBorders>
              <w:top w:val="single" w:sz="4" w:space="0" w:color="auto"/>
              <w:left w:val="single" w:sz="4" w:space="0" w:color="auto"/>
              <w:bottom w:val="single" w:sz="4" w:space="0" w:color="auto"/>
              <w:right w:val="single" w:sz="4" w:space="0" w:color="auto"/>
            </w:tcBorders>
            <w:hideMark/>
          </w:tcPr>
          <w:p w14:paraId="69CB9AC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Kojima et al.'s zero-shot prompt improves reasoning without exemplars</w:t>
            </w:r>
          </w:p>
        </w:tc>
        <w:tc>
          <w:tcPr>
            <w:tcW w:w="1276" w:type="dxa"/>
            <w:tcBorders>
              <w:top w:val="single" w:sz="4" w:space="0" w:color="auto"/>
              <w:left w:val="single" w:sz="4" w:space="0" w:color="auto"/>
              <w:bottom w:val="single" w:sz="4" w:space="0" w:color="auto"/>
              <w:right w:val="single" w:sz="4" w:space="0" w:color="auto"/>
            </w:tcBorders>
            <w:hideMark/>
          </w:tcPr>
          <w:p w14:paraId="42FD527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Accuracy improvements over standard prompting</w:t>
            </w:r>
          </w:p>
        </w:tc>
      </w:tr>
      <w:tr w:rsidR="002021A7" w:rsidRPr="002021A7" w14:paraId="77A7C2ED"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40450A0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Chung et al. (2022) [26]</w:t>
            </w:r>
          </w:p>
        </w:tc>
        <w:tc>
          <w:tcPr>
            <w:tcW w:w="992" w:type="dxa"/>
            <w:tcBorders>
              <w:top w:val="single" w:sz="4" w:space="0" w:color="auto"/>
              <w:left w:val="single" w:sz="4" w:space="0" w:color="auto"/>
              <w:bottom w:val="single" w:sz="4" w:space="0" w:color="auto"/>
              <w:right w:val="single" w:sz="4" w:space="0" w:color="auto"/>
            </w:tcBorders>
            <w:hideMark/>
          </w:tcPr>
          <w:p w14:paraId="339D757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Scaling Instruction-Finetuned Language Models</w:t>
            </w:r>
          </w:p>
        </w:tc>
        <w:tc>
          <w:tcPr>
            <w:tcW w:w="1412" w:type="dxa"/>
            <w:tcBorders>
              <w:top w:val="single" w:sz="4" w:space="0" w:color="auto"/>
              <w:left w:val="single" w:sz="4" w:space="0" w:color="auto"/>
              <w:bottom w:val="single" w:sz="4" w:space="0" w:color="auto"/>
              <w:right w:val="single" w:sz="4" w:space="0" w:color="auto"/>
            </w:tcBorders>
            <w:hideMark/>
          </w:tcPr>
          <w:p w14:paraId="3AB063C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Instruction finetuning at scale</w:t>
            </w:r>
          </w:p>
        </w:tc>
        <w:tc>
          <w:tcPr>
            <w:tcW w:w="1559" w:type="dxa"/>
            <w:tcBorders>
              <w:top w:val="single" w:sz="4" w:space="0" w:color="auto"/>
              <w:left w:val="single" w:sz="4" w:space="0" w:color="auto"/>
              <w:bottom w:val="single" w:sz="4" w:space="0" w:color="auto"/>
              <w:right w:val="single" w:sz="4" w:space="0" w:color="auto"/>
            </w:tcBorders>
            <w:hideMark/>
          </w:tcPr>
          <w:p w14:paraId="1BF05AF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Flan collection; Mixed task training; Scaling to 540B parameters</w:t>
            </w:r>
          </w:p>
        </w:tc>
        <w:tc>
          <w:tcPr>
            <w:tcW w:w="1140" w:type="dxa"/>
            <w:tcBorders>
              <w:top w:val="single" w:sz="4" w:space="0" w:color="auto"/>
              <w:left w:val="single" w:sz="4" w:space="0" w:color="auto"/>
              <w:bottom w:val="single" w:sz="4" w:space="0" w:color="auto"/>
              <w:right w:val="single" w:sz="4" w:space="0" w:color="auto"/>
            </w:tcBorders>
            <w:hideMark/>
          </w:tcPr>
          <w:p w14:paraId="6EDEFD9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Flan 2021, P3, Super-Natural Instructions</w:t>
            </w:r>
          </w:p>
        </w:tc>
        <w:tc>
          <w:tcPr>
            <w:tcW w:w="992" w:type="dxa"/>
            <w:tcBorders>
              <w:top w:val="single" w:sz="4" w:space="0" w:color="auto"/>
              <w:left w:val="single" w:sz="4" w:space="0" w:color="auto"/>
              <w:bottom w:val="single" w:sz="4" w:space="0" w:color="auto"/>
              <w:right w:val="single" w:sz="4" w:space="0" w:color="auto"/>
            </w:tcBorders>
            <w:hideMark/>
          </w:tcPr>
          <w:p w14:paraId="7BB267D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Flan-PaLM 540B: 75.2% on MMLU; Strong performance on reasoning, dialogue</w:t>
            </w:r>
          </w:p>
        </w:tc>
        <w:tc>
          <w:tcPr>
            <w:tcW w:w="1276" w:type="dxa"/>
            <w:tcBorders>
              <w:top w:val="single" w:sz="4" w:space="0" w:color="auto"/>
              <w:left w:val="single" w:sz="4" w:space="0" w:color="auto"/>
              <w:bottom w:val="single" w:sz="4" w:space="0" w:color="auto"/>
              <w:right w:val="single" w:sz="4" w:space="0" w:color="auto"/>
            </w:tcBorders>
            <w:hideMark/>
          </w:tcPr>
          <w:p w14:paraId="0647482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Accuracy on MMLU, BBH, and reasoning tasks</w:t>
            </w:r>
          </w:p>
        </w:tc>
      </w:tr>
      <w:tr w:rsidR="002021A7" w:rsidRPr="002021A7" w14:paraId="4609D92B"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79EDF83A"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Wang et al. (2023) [27]</w:t>
            </w:r>
          </w:p>
        </w:tc>
        <w:tc>
          <w:tcPr>
            <w:tcW w:w="992" w:type="dxa"/>
            <w:tcBorders>
              <w:top w:val="single" w:sz="4" w:space="0" w:color="auto"/>
              <w:left w:val="single" w:sz="4" w:space="0" w:color="auto"/>
              <w:bottom w:val="single" w:sz="4" w:space="0" w:color="auto"/>
              <w:right w:val="single" w:sz="4" w:space="0" w:color="auto"/>
            </w:tcBorders>
            <w:hideMark/>
          </w:tcPr>
          <w:p w14:paraId="3958CC4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Self-Consistency Improves Chain of Thought Reasoning in Language Models</w:t>
            </w:r>
          </w:p>
        </w:tc>
        <w:tc>
          <w:tcPr>
            <w:tcW w:w="1412" w:type="dxa"/>
            <w:tcBorders>
              <w:top w:val="single" w:sz="4" w:space="0" w:color="auto"/>
              <w:left w:val="single" w:sz="4" w:space="0" w:color="auto"/>
              <w:bottom w:val="single" w:sz="4" w:space="0" w:color="auto"/>
              <w:right w:val="single" w:sz="4" w:space="0" w:color="auto"/>
            </w:tcBorders>
            <w:hideMark/>
          </w:tcPr>
          <w:p w14:paraId="1EA14F0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Self-consistency for improved reasoning</w:t>
            </w:r>
          </w:p>
        </w:tc>
        <w:tc>
          <w:tcPr>
            <w:tcW w:w="1559" w:type="dxa"/>
            <w:tcBorders>
              <w:top w:val="single" w:sz="4" w:space="0" w:color="auto"/>
              <w:left w:val="single" w:sz="4" w:space="0" w:color="auto"/>
              <w:bottom w:val="single" w:sz="4" w:space="0" w:color="auto"/>
              <w:right w:val="single" w:sz="4" w:space="0" w:color="auto"/>
            </w:tcBorders>
            <w:hideMark/>
          </w:tcPr>
          <w:p w14:paraId="2D60AE5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Sample multiple reasoning paths; Majority voting for consistency</w:t>
            </w:r>
          </w:p>
        </w:tc>
        <w:tc>
          <w:tcPr>
            <w:tcW w:w="1140" w:type="dxa"/>
            <w:tcBorders>
              <w:top w:val="single" w:sz="4" w:space="0" w:color="auto"/>
              <w:left w:val="single" w:sz="4" w:space="0" w:color="auto"/>
              <w:bottom w:val="single" w:sz="4" w:space="0" w:color="auto"/>
              <w:right w:val="single" w:sz="4" w:space="0" w:color="auto"/>
            </w:tcBorders>
            <w:hideMark/>
          </w:tcPr>
          <w:p w14:paraId="710CCBF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Arithmetic, common sense, and symbolic reasoning tasks</w:t>
            </w:r>
          </w:p>
        </w:tc>
        <w:tc>
          <w:tcPr>
            <w:tcW w:w="992" w:type="dxa"/>
            <w:tcBorders>
              <w:top w:val="single" w:sz="4" w:space="0" w:color="auto"/>
              <w:left w:val="single" w:sz="4" w:space="0" w:color="auto"/>
              <w:bottom w:val="single" w:sz="4" w:space="0" w:color="auto"/>
              <w:right w:val="single" w:sz="4" w:space="0" w:color="auto"/>
            </w:tcBorders>
            <w:hideMark/>
          </w:tcPr>
          <w:p w14:paraId="12F9C1D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Majority voting over diverse paths improves accuracy significantly</w:t>
            </w:r>
          </w:p>
        </w:tc>
        <w:tc>
          <w:tcPr>
            <w:tcW w:w="1276" w:type="dxa"/>
            <w:tcBorders>
              <w:top w:val="single" w:sz="4" w:space="0" w:color="auto"/>
              <w:left w:val="single" w:sz="4" w:space="0" w:color="auto"/>
              <w:bottom w:val="single" w:sz="4" w:space="0" w:color="auto"/>
              <w:right w:val="single" w:sz="4" w:space="0" w:color="auto"/>
            </w:tcBorders>
            <w:hideMark/>
          </w:tcPr>
          <w:p w14:paraId="128CFE7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Accuracy on reasoning benchmarks with consistency</w:t>
            </w:r>
          </w:p>
        </w:tc>
      </w:tr>
      <w:tr w:rsidR="002021A7" w:rsidRPr="002021A7" w14:paraId="76E52B0D"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2DD0F3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Sanh et al. (2022) [28]</w:t>
            </w:r>
          </w:p>
        </w:tc>
        <w:tc>
          <w:tcPr>
            <w:tcW w:w="992" w:type="dxa"/>
            <w:tcBorders>
              <w:top w:val="single" w:sz="4" w:space="0" w:color="auto"/>
              <w:left w:val="single" w:sz="4" w:space="0" w:color="auto"/>
              <w:bottom w:val="single" w:sz="4" w:space="0" w:color="auto"/>
              <w:right w:val="single" w:sz="4" w:space="0" w:color="auto"/>
            </w:tcBorders>
            <w:hideMark/>
          </w:tcPr>
          <w:p w14:paraId="759DFE48"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Multitask Prompted Training Enables Zero-Shot Task Generalisation (T0)</w:t>
            </w:r>
          </w:p>
        </w:tc>
        <w:tc>
          <w:tcPr>
            <w:tcW w:w="1412" w:type="dxa"/>
            <w:tcBorders>
              <w:top w:val="single" w:sz="4" w:space="0" w:color="auto"/>
              <w:left w:val="single" w:sz="4" w:space="0" w:color="auto"/>
              <w:bottom w:val="single" w:sz="4" w:space="0" w:color="auto"/>
              <w:right w:val="single" w:sz="4" w:space="0" w:color="auto"/>
            </w:tcBorders>
            <w:hideMark/>
          </w:tcPr>
          <w:p w14:paraId="493104A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Zero-shot generalisation via multitask prompting</w:t>
            </w:r>
          </w:p>
        </w:tc>
        <w:tc>
          <w:tcPr>
            <w:tcW w:w="1559" w:type="dxa"/>
            <w:tcBorders>
              <w:top w:val="single" w:sz="4" w:space="0" w:color="auto"/>
              <w:left w:val="single" w:sz="4" w:space="0" w:color="auto"/>
              <w:bottom w:val="single" w:sz="4" w:space="0" w:color="auto"/>
              <w:right w:val="single" w:sz="4" w:space="0" w:color="auto"/>
            </w:tcBorders>
            <w:hideMark/>
          </w:tcPr>
          <w:p w14:paraId="788D1645"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Prompted multitask mixture; T0 mixture of datasets</w:t>
            </w:r>
          </w:p>
        </w:tc>
        <w:tc>
          <w:tcPr>
            <w:tcW w:w="1140" w:type="dxa"/>
            <w:tcBorders>
              <w:top w:val="single" w:sz="4" w:space="0" w:color="auto"/>
              <w:left w:val="single" w:sz="4" w:space="0" w:color="auto"/>
              <w:bottom w:val="single" w:sz="4" w:space="0" w:color="auto"/>
              <w:right w:val="single" w:sz="4" w:space="0" w:color="auto"/>
            </w:tcBorders>
            <w:hideMark/>
          </w:tcPr>
          <w:p w14:paraId="579C427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P3 (Public Pool of Prompts)</w:t>
            </w:r>
          </w:p>
        </w:tc>
        <w:tc>
          <w:tcPr>
            <w:tcW w:w="992" w:type="dxa"/>
            <w:tcBorders>
              <w:top w:val="single" w:sz="4" w:space="0" w:color="auto"/>
              <w:left w:val="single" w:sz="4" w:space="0" w:color="auto"/>
              <w:bottom w:val="single" w:sz="4" w:space="0" w:color="auto"/>
              <w:right w:val="single" w:sz="4" w:space="0" w:color="auto"/>
            </w:tcBorders>
            <w:hideMark/>
          </w:tcPr>
          <w:p w14:paraId="20AE8A34"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T0 outperforms GPT-3 zero-shot on many tasks despite being 16x smaller</w:t>
            </w:r>
          </w:p>
        </w:tc>
        <w:tc>
          <w:tcPr>
            <w:tcW w:w="1276" w:type="dxa"/>
            <w:tcBorders>
              <w:top w:val="single" w:sz="4" w:space="0" w:color="auto"/>
              <w:left w:val="single" w:sz="4" w:space="0" w:color="auto"/>
              <w:bottom w:val="single" w:sz="4" w:space="0" w:color="auto"/>
              <w:right w:val="single" w:sz="4" w:space="0" w:color="auto"/>
            </w:tcBorders>
            <w:hideMark/>
          </w:tcPr>
          <w:p w14:paraId="62F89E7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Accuracy on held-out tasks, Rank classification</w:t>
            </w:r>
          </w:p>
        </w:tc>
      </w:tr>
      <w:tr w:rsidR="002021A7" w:rsidRPr="002021A7" w14:paraId="38CF7AB1"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50B1856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Meng et al. (2022) [29]</w:t>
            </w:r>
          </w:p>
        </w:tc>
        <w:tc>
          <w:tcPr>
            <w:tcW w:w="992" w:type="dxa"/>
            <w:tcBorders>
              <w:top w:val="single" w:sz="4" w:space="0" w:color="auto"/>
              <w:left w:val="single" w:sz="4" w:space="0" w:color="auto"/>
              <w:bottom w:val="single" w:sz="4" w:space="0" w:color="auto"/>
              <w:right w:val="single" w:sz="4" w:space="0" w:color="auto"/>
            </w:tcBorders>
            <w:hideMark/>
          </w:tcPr>
          <w:p w14:paraId="4557F85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Locating and Editing Factual Associations in GPT</w:t>
            </w:r>
          </w:p>
        </w:tc>
        <w:tc>
          <w:tcPr>
            <w:tcW w:w="1412" w:type="dxa"/>
            <w:tcBorders>
              <w:top w:val="single" w:sz="4" w:space="0" w:color="auto"/>
              <w:left w:val="single" w:sz="4" w:space="0" w:color="auto"/>
              <w:bottom w:val="single" w:sz="4" w:space="0" w:color="auto"/>
              <w:right w:val="single" w:sz="4" w:space="0" w:color="auto"/>
            </w:tcBorders>
            <w:hideMark/>
          </w:tcPr>
          <w:p w14:paraId="5AE00537"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Interpretability and knowledge editing</w:t>
            </w:r>
          </w:p>
        </w:tc>
        <w:tc>
          <w:tcPr>
            <w:tcW w:w="1559" w:type="dxa"/>
            <w:tcBorders>
              <w:top w:val="single" w:sz="4" w:space="0" w:color="auto"/>
              <w:left w:val="single" w:sz="4" w:space="0" w:color="auto"/>
              <w:bottom w:val="single" w:sz="4" w:space="0" w:color="auto"/>
              <w:right w:val="single" w:sz="4" w:space="0" w:color="auto"/>
            </w:tcBorders>
            <w:hideMark/>
          </w:tcPr>
          <w:p w14:paraId="5F34EB5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Causal tracing; ROME (Rank-One Model Editing); Direct parameter updates</w:t>
            </w:r>
          </w:p>
        </w:tc>
        <w:tc>
          <w:tcPr>
            <w:tcW w:w="1140" w:type="dxa"/>
            <w:tcBorders>
              <w:top w:val="single" w:sz="4" w:space="0" w:color="auto"/>
              <w:left w:val="single" w:sz="4" w:space="0" w:color="auto"/>
              <w:bottom w:val="single" w:sz="4" w:space="0" w:color="auto"/>
              <w:right w:val="single" w:sz="4" w:space="0" w:color="auto"/>
            </w:tcBorders>
            <w:hideMark/>
          </w:tcPr>
          <w:p w14:paraId="0C364D91"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CounterFact dataset (21k facts), zsRE</w:t>
            </w:r>
          </w:p>
        </w:tc>
        <w:tc>
          <w:tcPr>
            <w:tcW w:w="992" w:type="dxa"/>
            <w:tcBorders>
              <w:top w:val="single" w:sz="4" w:space="0" w:color="auto"/>
              <w:left w:val="single" w:sz="4" w:space="0" w:color="auto"/>
              <w:bottom w:val="single" w:sz="4" w:space="0" w:color="auto"/>
              <w:right w:val="single" w:sz="4" w:space="0" w:color="auto"/>
            </w:tcBorders>
            <w:hideMark/>
          </w:tcPr>
          <w:p w14:paraId="1A4A740B"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 xml:space="preserve">ROME enables targeted fact editing with 93.9% efficacy; it </w:t>
            </w:r>
            <w:r w:rsidRPr="002021A7">
              <w:rPr>
                <w:rFonts w:ascii="Times New Roman" w:hAnsi="Times New Roman" w:cs="Times New Roman"/>
                <w:sz w:val="20"/>
                <w:szCs w:val="20"/>
              </w:rPr>
              <w:lastRenderedPageBreak/>
              <w:t>preserves model performance</w:t>
            </w:r>
          </w:p>
        </w:tc>
        <w:tc>
          <w:tcPr>
            <w:tcW w:w="1276" w:type="dxa"/>
            <w:tcBorders>
              <w:top w:val="single" w:sz="4" w:space="0" w:color="auto"/>
              <w:left w:val="single" w:sz="4" w:space="0" w:color="auto"/>
              <w:bottom w:val="single" w:sz="4" w:space="0" w:color="auto"/>
              <w:right w:val="single" w:sz="4" w:space="0" w:color="auto"/>
            </w:tcBorders>
            <w:hideMark/>
          </w:tcPr>
          <w:p w14:paraId="35527E99"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lastRenderedPageBreak/>
              <w:t>Edit success rate, Fact tracing efficacy, Model degradation.</w:t>
            </w:r>
          </w:p>
        </w:tc>
      </w:tr>
      <w:tr w:rsidR="002021A7" w:rsidRPr="002021A7" w14:paraId="54F7F464" w14:textId="77777777">
        <w:trPr>
          <w:trHeight w:val="288"/>
        </w:trPr>
        <w:tc>
          <w:tcPr>
            <w:tcW w:w="1135" w:type="dxa"/>
            <w:tcBorders>
              <w:top w:val="single" w:sz="4" w:space="0" w:color="auto"/>
              <w:left w:val="single" w:sz="4" w:space="0" w:color="auto"/>
              <w:bottom w:val="single" w:sz="4" w:space="0" w:color="auto"/>
              <w:right w:val="single" w:sz="4" w:space="0" w:color="auto"/>
            </w:tcBorders>
            <w:hideMark/>
          </w:tcPr>
          <w:p w14:paraId="0AA29A3E"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Zhang et al. (2023) [30]</w:t>
            </w:r>
          </w:p>
        </w:tc>
        <w:tc>
          <w:tcPr>
            <w:tcW w:w="992" w:type="dxa"/>
            <w:tcBorders>
              <w:top w:val="single" w:sz="4" w:space="0" w:color="auto"/>
              <w:left w:val="single" w:sz="4" w:space="0" w:color="auto"/>
              <w:bottom w:val="single" w:sz="4" w:space="0" w:color="auto"/>
              <w:right w:val="single" w:sz="4" w:space="0" w:color="auto"/>
            </w:tcBorders>
            <w:hideMark/>
          </w:tcPr>
          <w:p w14:paraId="1B03EA0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Opt-175b: Open Pre-trained Transformer Language Models</w:t>
            </w:r>
          </w:p>
        </w:tc>
        <w:tc>
          <w:tcPr>
            <w:tcW w:w="1412" w:type="dxa"/>
            <w:tcBorders>
              <w:top w:val="single" w:sz="4" w:space="0" w:color="auto"/>
              <w:left w:val="single" w:sz="4" w:space="0" w:color="auto"/>
              <w:bottom w:val="single" w:sz="4" w:space="0" w:color="auto"/>
              <w:right w:val="single" w:sz="4" w:space="0" w:color="auto"/>
            </w:tcBorders>
            <w:hideMark/>
          </w:tcPr>
          <w:p w14:paraId="00350C0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Open a large-scale language model</w:t>
            </w:r>
          </w:p>
        </w:tc>
        <w:tc>
          <w:tcPr>
            <w:tcW w:w="1559" w:type="dxa"/>
            <w:tcBorders>
              <w:top w:val="single" w:sz="4" w:space="0" w:color="auto"/>
              <w:left w:val="single" w:sz="4" w:space="0" w:color="auto"/>
              <w:bottom w:val="single" w:sz="4" w:space="0" w:color="auto"/>
              <w:right w:val="single" w:sz="4" w:space="0" w:color="auto"/>
            </w:tcBorders>
            <w:hideMark/>
          </w:tcPr>
          <w:p w14:paraId="0E1AE5A0"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175B autoregressive transformer; Open-source release</w:t>
            </w:r>
          </w:p>
        </w:tc>
        <w:tc>
          <w:tcPr>
            <w:tcW w:w="1140" w:type="dxa"/>
            <w:tcBorders>
              <w:top w:val="single" w:sz="4" w:space="0" w:color="auto"/>
              <w:left w:val="single" w:sz="4" w:space="0" w:color="auto"/>
              <w:bottom w:val="single" w:sz="4" w:space="0" w:color="auto"/>
              <w:right w:val="single" w:sz="4" w:space="0" w:color="auto"/>
            </w:tcBorders>
            <w:hideMark/>
          </w:tcPr>
          <w:p w14:paraId="38E7DB62"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Pile, Pushshift.io Reddit, CommonCrawl</w:t>
            </w:r>
          </w:p>
        </w:tc>
        <w:tc>
          <w:tcPr>
            <w:tcW w:w="992" w:type="dxa"/>
            <w:tcBorders>
              <w:top w:val="single" w:sz="4" w:space="0" w:color="auto"/>
              <w:left w:val="single" w:sz="4" w:space="0" w:color="auto"/>
              <w:bottom w:val="single" w:sz="4" w:space="0" w:color="auto"/>
              <w:right w:val="single" w:sz="4" w:space="0" w:color="auto"/>
            </w:tcBorders>
            <w:hideMark/>
          </w:tcPr>
          <w:p w14:paraId="31D7FF8C"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175B parameters; Publicly released; Comparable to GPT-3</w:t>
            </w:r>
          </w:p>
        </w:tc>
        <w:tc>
          <w:tcPr>
            <w:tcW w:w="1276" w:type="dxa"/>
            <w:tcBorders>
              <w:top w:val="single" w:sz="4" w:space="0" w:color="auto"/>
              <w:left w:val="single" w:sz="4" w:space="0" w:color="auto"/>
              <w:bottom w:val="single" w:sz="4" w:space="0" w:color="auto"/>
              <w:right w:val="single" w:sz="4" w:space="0" w:color="auto"/>
            </w:tcBorders>
            <w:hideMark/>
          </w:tcPr>
          <w:p w14:paraId="46736BB6" w14:textId="77777777" w:rsidR="002021A7" w:rsidRPr="002021A7" w:rsidRDefault="002021A7" w:rsidP="002021A7">
            <w:pPr>
              <w:rPr>
                <w:rFonts w:ascii="Times New Roman" w:hAnsi="Times New Roman" w:cs="Times New Roman"/>
                <w:sz w:val="20"/>
                <w:szCs w:val="20"/>
              </w:rPr>
            </w:pPr>
            <w:r w:rsidRPr="002021A7">
              <w:rPr>
                <w:rFonts w:ascii="Times New Roman" w:hAnsi="Times New Roman" w:cs="Times New Roman"/>
                <w:sz w:val="20"/>
                <w:szCs w:val="20"/>
              </w:rPr>
              <w:t>Few-shot learning accuracy, Perplexity</w:t>
            </w:r>
          </w:p>
        </w:tc>
      </w:tr>
    </w:tbl>
    <w:p w14:paraId="0C306E4A" w14:textId="77777777" w:rsidR="007071F5" w:rsidRPr="008F6905" w:rsidRDefault="007071F5" w:rsidP="00237400">
      <w:pPr>
        <w:jc w:val="both"/>
        <w:rPr>
          <w:rFonts w:ascii="Times New Roman" w:hAnsi="Times New Roman" w:cs="Times New Roman"/>
          <w:sz w:val="20"/>
          <w:szCs w:val="20"/>
        </w:rPr>
      </w:pPr>
    </w:p>
    <w:p w14:paraId="03E09C94"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III. METHODOLOGY</w:t>
      </w:r>
    </w:p>
    <w:p w14:paraId="5AE37DCE"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 System Architecture</w:t>
      </w:r>
    </w:p>
    <w:p w14:paraId="645E2FD6"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Our GenAI platform employs a microservices architecture designed for scalability, maintainability, and independent component evolution. The system comprises five logical layers: frontend presentation, API gateway, service layer, AI engine layer, and data persistence layer.</w:t>
      </w:r>
    </w:p>
    <w:p w14:paraId="3107998B" w14:textId="0B9A3148" w:rsidR="00F66949" w:rsidRPr="008F6905" w:rsidRDefault="00F66949" w:rsidP="000D4A38">
      <w:pPr>
        <w:spacing w:after="0"/>
        <w:jc w:val="center"/>
        <w:rPr>
          <w:rFonts w:ascii="Times New Roman" w:hAnsi="Times New Roman" w:cs="Times New Roman"/>
          <w:sz w:val="20"/>
          <w:szCs w:val="20"/>
        </w:rPr>
      </w:pPr>
      <w:r w:rsidRPr="008F6905">
        <w:rPr>
          <w:rFonts w:ascii="Times New Roman" w:hAnsi="Times New Roman" w:cs="Times New Roman"/>
          <w:bCs/>
          <w:noProof/>
          <w:color w:val="000000"/>
        </w:rPr>
        <w:drawing>
          <wp:inline distT="0" distB="0" distL="0" distR="0" wp14:anchorId="35614B15" wp14:editId="3419544F">
            <wp:extent cx="5073649" cy="3242733"/>
            <wp:effectExtent l="0" t="0" r="0" b="0"/>
            <wp:docPr id="1425657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0625" cy="3285540"/>
                    </a:xfrm>
                    <a:prstGeom prst="rect">
                      <a:avLst/>
                    </a:prstGeom>
                    <a:noFill/>
                    <a:ln>
                      <a:noFill/>
                    </a:ln>
                  </pic:spPr>
                </pic:pic>
              </a:graphicData>
            </a:graphic>
          </wp:inline>
        </w:drawing>
      </w:r>
    </w:p>
    <w:p w14:paraId="7E80D236" w14:textId="02D65376" w:rsidR="00F66949" w:rsidRPr="008F6905" w:rsidRDefault="00F66949" w:rsidP="000D4A38">
      <w:pPr>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Figure 1: </w:t>
      </w:r>
      <w:r w:rsidR="0011208F" w:rsidRPr="0011208F">
        <w:rPr>
          <w:rFonts w:ascii="Times New Roman" w:hAnsi="Times New Roman" w:cs="Times New Roman"/>
          <w:b/>
          <w:bCs/>
          <w:i/>
          <w:iCs/>
          <w:color w:val="000000"/>
          <w:sz w:val="18"/>
          <w:szCs w:val="18"/>
        </w:rPr>
        <w:t>Unified GenAI platform architecture</w:t>
      </w:r>
    </w:p>
    <w:p w14:paraId="67513330" w14:textId="459F3D7A" w:rsidR="009D7394" w:rsidRPr="008F6905" w:rsidRDefault="009D7394" w:rsidP="00237400">
      <w:pPr>
        <w:jc w:val="both"/>
        <w:rPr>
          <w:rFonts w:ascii="Times New Roman" w:hAnsi="Times New Roman" w:cs="Times New Roman"/>
          <w:sz w:val="20"/>
          <w:szCs w:val="20"/>
        </w:rPr>
      </w:pPr>
      <w:r w:rsidRPr="008F6905">
        <w:rPr>
          <w:rFonts w:ascii="Times New Roman" w:hAnsi="Times New Roman" w:cs="Times New Roman"/>
          <w:sz w:val="20"/>
          <w:szCs w:val="20"/>
        </w:rPr>
        <w:t>Fig. 1. Overview of the Unified GenAI Platform Architecture. The system employs a five-layer microservices architecture comprising: (1) Frontend Layer with React-based user interfaces for each module, (2) API Layer with Express API Gateway coordinating request routing and authentication, (3) Service Layer containing five independent microservices (File Service, PDF Service, ATS Service, SQL Service, and Research Service), (4) Business Logic Layer implementing core AI capabilities including PDF Processor, GraphRAG Engine, Agentic RAG System, NL-to-SQL Processor, Research Agents, and Vector Search Engine, and (5) Data and AI Services Layer providing persistence through Custom File Storage, PostgreSQL database, Redis Cache, Custom Vector Store, and AI inference through Custom Embedding Model, Custom LLM Model, Fine-Tuned Domain Model, and 8GB Redis cache. This modular architecture enables independent scaling, deployment, and evolution of system components while maintaining clean separation of concerns across layers.</w:t>
      </w:r>
    </w:p>
    <w:p w14:paraId="1CE9D91E" w14:textId="76A38ABE" w:rsidR="00785944"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lastRenderedPageBreak/>
        <w:t xml:space="preserve">The frontend layer implements a React-based single-page application with TypeScript for type safety and Tailwind CSS for responsive design. The application employs code splitting and lazy loading to optimize initial load times, with separate bundles for each major feature module. Real-time communication with backend services utilizes Server-Sent Events for streaming language model responses, providing smooth token-by-token display </w:t>
      </w:r>
      <w:r w:rsidR="00237400" w:rsidRPr="008F6905">
        <w:rPr>
          <w:rFonts w:ascii="Times New Roman" w:hAnsi="Times New Roman" w:cs="Times New Roman"/>
          <w:sz w:val="20"/>
          <w:szCs w:val="20"/>
        </w:rPr>
        <w:t>that enhances</w:t>
      </w:r>
      <w:r w:rsidRPr="008F6905">
        <w:rPr>
          <w:rFonts w:ascii="Times New Roman" w:hAnsi="Times New Roman" w:cs="Times New Roman"/>
          <w:sz w:val="20"/>
          <w:szCs w:val="20"/>
        </w:rPr>
        <w:t xml:space="preserve"> user experience during generation.</w:t>
      </w:r>
      <w:r w:rsidR="00237400" w:rsidRPr="008F6905">
        <w:rPr>
          <w:rFonts w:ascii="Times New Roman" w:hAnsi="Times New Roman" w:cs="Times New Roman"/>
          <w:sz w:val="20"/>
          <w:szCs w:val="20"/>
        </w:rPr>
        <w:t xml:space="preserve"> </w:t>
      </w:r>
      <w:r w:rsidR="00785944" w:rsidRPr="008F6905">
        <w:rPr>
          <w:rFonts w:ascii="Times New Roman" w:hAnsi="Times New Roman" w:cs="Times New Roman"/>
          <w:sz w:val="20"/>
          <w:szCs w:val="20"/>
        </w:rPr>
        <w:t>The API gateway layer, implemented using Express.js on Node.js, provides a unified entry point for all client requests. The gateway handles authentication through JSON Web Tokens with httpOnly cookies for session management, implements rate limiting at 100 requests per minute per authenticated user to prevent abuse, performs request validation and sanitization, and routes requests to appropriate backend services. Cross-origin resource sharing configuration permits requests from authorized frontend origins while rejecting unauthorized cross-origin attempts.</w:t>
      </w:r>
      <w:r w:rsidR="00237400" w:rsidRPr="008F6905">
        <w:rPr>
          <w:rFonts w:ascii="Times New Roman" w:hAnsi="Times New Roman" w:cs="Times New Roman"/>
          <w:sz w:val="20"/>
          <w:szCs w:val="20"/>
        </w:rPr>
        <w:t xml:space="preserve"> </w:t>
      </w:r>
      <w:r w:rsidR="00785944" w:rsidRPr="008F6905">
        <w:rPr>
          <w:rFonts w:ascii="Times New Roman" w:hAnsi="Times New Roman" w:cs="Times New Roman"/>
          <w:sz w:val="20"/>
          <w:szCs w:val="20"/>
        </w:rPr>
        <w:t>The service layer comprises five independent microservices corresponding to platform features: PDF Service for document upload, processing, and chat; ATS Service for resume analysis and feedback generation; Research Service for autonomous research task execution; SQL Service for natural language database querying; and Authentication Service for user management and session handling. Each service exposes a RESTful API and maintains its own database schema, enabling independent deployment and scaling. Inter-service communication occurs through direct HTTP calls for synchronous operations and message queues for asynchronous workflows.</w:t>
      </w:r>
      <w:r w:rsidR="00237400" w:rsidRPr="008F6905">
        <w:rPr>
          <w:rFonts w:ascii="Times New Roman" w:hAnsi="Times New Roman" w:cs="Times New Roman"/>
          <w:sz w:val="20"/>
          <w:szCs w:val="20"/>
        </w:rPr>
        <w:t xml:space="preserve"> </w:t>
      </w:r>
      <w:r w:rsidR="00785944" w:rsidRPr="008F6905">
        <w:rPr>
          <w:rFonts w:ascii="Times New Roman" w:hAnsi="Times New Roman" w:cs="Times New Roman"/>
          <w:sz w:val="20"/>
          <w:szCs w:val="20"/>
        </w:rPr>
        <w:t>The AI engine layer provides a unified abstraction over multiple custom models, implemented as a separate FastAPI-based service optimized for inference performance. This layer handles model loading, batching, and response caching. GPU allocation is managed through NVIDIA Triton Inference Server, which provides optimized serving of TensorRT-compiled models. The abstraction layer supports multiple concurrent model versions, enabling A/B testing and gradual rollout of model improvements.</w:t>
      </w:r>
      <w:r w:rsidR="00237400" w:rsidRPr="008F6905">
        <w:rPr>
          <w:rFonts w:ascii="Times New Roman" w:hAnsi="Times New Roman" w:cs="Times New Roman"/>
          <w:sz w:val="20"/>
          <w:szCs w:val="20"/>
        </w:rPr>
        <w:t xml:space="preserve"> </w:t>
      </w:r>
      <w:r w:rsidR="001F00E9" w:rsidRPr="001F00E9">
        <w:rPr>
          <w:rFonts w:ascii="Times New Roman" w:hAnsi="Times New Roman" w:cs="Times New Roman"/>
          <w:sz w:val="20"/>
          <w:szCs w:val="20"/>
        </w:rPr>
        <w:t xml:space="preserve">The data persistence layer employs PostgreSQL version 15 as the primary relational database, with separate schemas for each microservice to enforce logical separation while enabling cross-schema joins when necessary. Row-level security policies restrict data access </w:t>
      </w:r>
      <w:r w:rsidR="00E37864">
        <w:rPr>
          <w:rFonts w:ascii="Times New Roman" w:hAnsi="Times New Roman" w:cs="Times New Roman"/>
          <w:sz w:val="20"/>
          <w:szCs w:val="20"/>
        </w:rPr>
        <w:t>using</w:t>
      </w:r>
      <w:r w:rsidR="001F00E9" w:rsidRPr="001F00E9">
        <w:rPr>
          <w:rFonts w:ascii="Times New Roman" w:hAnsi="Times New Roman" w:cs="Times New Roman"/>
          <w:sz w:val="20"/>
          <w:szCs w:val="20"/>
        </w:rPr>
        <w:t xml:space="preserve"> authenticated user identity. A custom vector database, built on FAISS with HNSW indexing, stores document embeddings for semantic search [16]. Redis provides caching for frequently accessed data, user sessions, and intermediate computation results. Object storage, implemented with an S3-compatible interface, manages uploaded files with lifecycle policies for automated archival of infrequently accessed content.</w:t>
      </w:r>
    </w:p>
    <w:p w14:paraId="6FDD5999" w14:textId="19C3414A" w:rsidR="00192277" w:rsidRPr="008F6905" w:rsidRDefault="00192277" w:rsidP="00237400">
      <w:pPr>
        <w:spacing w:after="0"/>
        <w:jc w:val="center"/>
        <w:rPr>
          <w:rFonts w:ascii="Times New Roman" w:hAnsi="Times New Roman" w:cs="Times New Roman"/>
          <w:sz w:val="20"/>
          <w:szCs w:val="20"/>
        </w:rPr>
      </w:pPr>
      <w:r w:rsidRPr="008F6905">
        <w:rPr>
          <w:rFonts w:ascii="Times New Roman" w:hAnsi="Times New Roman" w:cs="Times New Roman"/>
          <w:noProof/>
        </w:rPr>
        <w:lastRenderedPageBreak/>
        <w:drawing>
          <wp:inline distT="0" distB="0" distL="0" distR="0" wp14:anchorId="72AC6D5A" wp14:editId="69A710E3">
            <wp:extent cx="4293596" cy="5341766"/>
            <wp:effectExtent l="0" t="0" r="0" b="0"/>
            <wp:docPr id="338656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8903" cy="5348369"/>
                    </a:xfrm>
                    <a:prstGeom prst="rect">
                      <a:avLst/>
                    </a:prstGeom>
                    <a:noFill/>
                    <a:ln>
                      <a:noFill/>
                    </a:ln>
                  </pic:spPr>
                </pic:pic>
              </a:graphicData>
            </a:graphic>
          </wp:inline>
        </w:drawing>
      </w:r>
    </w:p>
    <w:p w14:paraId="65D3CFCE" w14:textId="0F9F4972" w:rsidR="00192277" w:rsidRPr="008F6905" w:rsidRDefault="00192277" w:rsidP="00237400">
      <w:pPr>
        <w:spacing w:line="240"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Figure 2: Request Flow Architecture</w:t>
      </w:r>
    </w:p>
    <w:p w14:paraId="7DBE9181" w14:textId="0F614B1E" w:rsidR="00BC0E3F" w:rsidRPr="008F6905" w:rsidRDefault="00785944" w:rsidP="00237400">
      <w:pPr>
        <w:spacing w:line="240" w:lineRule="auto"/>
        <w:jc w:val="both"/>
        <w:rPr>
          <w:rFonts w:ascii="Times New Roman" w:hAnsi="Times New Roman" w:cs="Times New Roman"/>
          <w:color w:val="000000"/>
        </w:rPr>
      </w:pPr>
      <w:r w:rsidRPr="008F6905">
        <w:rPr>
          <w:rFonts w:ascii="Times New Roman" w:hAnsi="Times New Roman" w:cs="Times New Roman"/>
          <w:sz w:val="20"/>
          <w:szCs w:val="20"/>
        </w:rPr>
        <w:t xml:space="preserve">This sequence diagram illustrates the complete user request lifecycle, beginning when the User interacts with the Frontend, which sends an API request with a JWT to the Gateway. </w:t>
      </w:r>
      <w:r w:rsidR="00BF77B6" w:rsidRPr="00BF77B6">
        <w:rPr>
          <w:rFonts w:ascii="Times New Roman" w:hAnsi="Times New Roman" w:cs="Times New Roman"/>
          <w:sz w:val="20"/>
          <w:szCs w:val="20"/>
        </w:rPr>
        <w:t>The gateway validates the token using the Authentication Service</w:t>
      </w:r>
      <w:r w:rsidR="004C3811">
        <w:rPr>
          <w:rFonts w:ascii="Times New Roman" w:hAnsi="Times New Roman" w:cs="Times New Roman"/>
          <w:sz w:val="20"/>
          <w:szCs w:val="20"/>
        </w:rPr>
        <w:t xml:space="preserve"> </w:t>
      </w:r>
      <w:r w:rsidRPr="008F6905">
        <w:rPr>
          <w:rFonts w:ascii="Times New Roman" w:hAnsi="Times New Roman" w:cs="Times New Roman"/>
          <w:sz w:val="20"/>
          <w:szCs w:val="20"/>
        </w:rPr>
        <w:t xml:space="preserve">to validate this token by checking the session in the Database. When the authorization is done the Gateway will send the request to central FeatureService which </w:t>
      </w:r>
      <w:r w:rsidR="00215B09">
        <w:rPr>
          <w:rFonts w:ascii="Times New Roman" w:hAnsi="Times New Roman" w:cs="Times New Roman"/>
          <w:sz w:val="20"/>
          <w:szCs w:val="20"/>
        </w:rPr>
        <w:t xml:space="preserve">is </w:t>
      </w:r>
      <w:r w:rsidR="00974108">
        <w:rPr>
          <w:rFonts w:ascii="Times New Roman" w:hAnsi="Times New Roman" w:cs="Times New Roman"/>
          <w:sz w:val="20"/>
          <w:szCs w:val="20"/>
        </w:rPr>
        <w:t xml:space="preserve">using </w:t>
      </w:r>
      <w:r w:rsidRPr="008F6905">
        <w:rPr>
          <w:rFonts w:ascii="Times New Roman" w:hAnsi="Times New Roman" w:cs="Times New Roman"/>
          <w:sz w:val="20"/>
          <w:szCs w:val="20"/>
        </w:rPr>
        <w:t xml:space="preserve">the coordinator of multiple activities. Based on the request, it will trigger one of </w:t>
      </w:r>
      <w:r w:rsidR="00584875">
        <w:rPr>
          <w:rFonts w:ascii="Times New Roman" w:hAnsi="Times New Roman" w:cs="Times New Roman"/>
          <w:sz w:val="20"/>
          <w:szCs w:val="20"/>
        </w:rPr>
        <w:t>several</w:t>
      </w:r>
      <w:r w:rsidRPr="008F6905">
        <w:rPr>
          <w:rFonts w:ascii="Times New Roman" w:hAnsi="Times New Roman" w:cs="Times New Roman"/>
          <w:sz w:val="20"/>
          <w:szCs w:val="20"/>
        </w:rPr>
        <w:t xml:space="preserve"> other flows: in the case of a PDF Chat, it requests documents out of the Database, a semantic search of the VectorDB, and passes the retrieved fragments to the AIProvider to get model inferred; in the case of an ATS Flow, it requests a multi-agent analysis of the request to the AIProvider and stores the generated report in the Database; and in the case of a SQL Flow, it uses an AIProvider model to obtain a SQL query, which it then executes on the Database. The final information in any case is received by the FeatureService and sent back through the Gateway as Response Data, which is a response delivered by the Frontend to the User.</w:t>
      </w:r>
    </w:p>
    <w:p w14:paraId="2D93BF55"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 Custom Language Model Development</w:t>
      </w:r>
    </w:p>
    <w:p w14:paraId="181FFE11"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At the core of our platform lies a suite of six custom-trained language models, each optimized for specific tasks. We describe the training methodology for our foundation model and specialized variants.</w:t>
      </w:r>
    </w:p>
    <w:p w14:paraId="1E629204"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B.1 GenAI-LLM Foundation Model</w:t>
      </w:r>
    </w:p>
    <w:p w14:paraId="7BD707F3" w14:textId="6DED5511"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Our foundation model follows the transformer architecture with several enhancements for improved performance and efficiency. The model comprises 175 billion parameters distributed across 96 transformer layers, each containing multi-head self-attention with 96 attention heads and feed-forward networks with an intermediate dimension of 49,152. The context window extends to 128</w:t>
      </w:r>
      <w:r w:rsidR="00582D89">
        <w:rPr>
          <w:rFonts w:ascii="Times New Roman" w:hAnsi="Times New Roman" w:cs="Times New Roman"/>
          <w:sz w:val="20"/>
          <w:szCs w:val="20"/>
        </w:rPr>
        <w:t>k</w:t>
      </w:r>
      <w:r w:rsidRPr="008F6905">
        <w:rPr>
          <w:rFonts w:ascii="Times New Roman" w:hAnsi="Times New Roman" w:cs="Times New Roman"/>
          <w:sz w:val="20"/>
          <w:szCs w:val="20"/>
        </w:rPr>
        <w:t xml:space="preserve"> tokens through rotary positional embeddings with </w:t>
      </w:r>
      <w:r w:rsidRPr="008F6905">
        <w:rPr>
          <w:rFonts w:ascii="Times New Roman" w:hAnsi="Times New Roman" w:cs="Times New Roman"/>
          <w:sz w:val="20"/>
          <w:szCs w:val="20"/>
        </w:rPr>
        <w:lastRenderedPageBreak/>
        <w:t>extrapolation capabilities. We employ grouped-query attention to reduce memory bandwidth requirements during inference, sharing key and value projections across attention head groups.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Training data consists of 2.5 trillion tokens curated from diverse sources. The corpus includes 40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web text filtered through quality classifiers trained on human-curated examples, 25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books and long-form content selected for narrative coherence, 20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academic papers and technical documentation across scientific domains, 10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high-quality code from open-source repositories, and 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curated conversational data. Data preprocessing involved deduplication at document and paragraph levels using MinHash LSH, language filtering to focus on English while retaining high-quality multilingual content, quality filtering through perplexity-based scoring and classifier-based selection, and personally identifiable information redaction.</w:t>
      </w:r>
    </w:p>
    <w:p w14:paraId="08946D00" w14:textId="2FE15C94" w:rsidR="007071F5" w:rsidRPr="008F6905" w:rsidRDefault="00D04E79" w:rsidP="00237400">
      <w:pPr>
        <w:jc w:val="both"/>
        <w:rPr>
          <w:rFonts w:ascii="Times New Roman" w:hAnsi="Times New Roman" w:cs="Times New Roman"/>
          <w:sz w:val="20"/>
          <w:szCs w:val="20"/>
        </w:rPr>
      </w:pPr>
      <w:r w:rsidRPr="00D04E79">
        <w:rPr>
          <w:rFonts w:ascii="Times New Roman" w:hAnsi="Times New Roman" w:cs="Times New Roman"/>
          <w:sz w:val="20"/>
          <w:szCs w:val="20"/>
        </w:rPr>
        <w:t xml:space="preserve">The training procedure followed standard practices for large language models with several optimizations. We employed the AdamW optimizer with learning rate 6e-5, linear warmup over 2000 steps, and cosine decay to 10 </w:t>
      </w:r>
      <w:r w:rsidR="00D13ECA">
        <w:rPr>
          <w:rFonts w:ascii="Times New Roman" w:hAnsi="Times New Roman" w:cs="Times New Roman"/>
          <w:sz w:val="20"/>
          <w:szCs w:val="20"/>
        </w:rPr>
        <w:t>%</w:t>
      </w:r>
      <w:r w:rsidRPr="00D04E79">
        <w:rPr>
          <w:rFonts w:ascii="Times New Roman" w:hAnsi="Times New Roman" w:cs="Times New Roman"/>
          <w:sz w:val="20"/>
          <w:szCs w:val="20"/>
        </w:rPr>
        <w:t xml:space="preserve"> of peak learning rate. Training utilized mixed precision with bfloat16 computation and float32 master weights. Gradient clipping at global norm 1.0 provided training stability. The model trained for 1.2 million steps with batch size 4 million tokens across H100 GPUs, requiring approximately four months. Model parallelism employed tensor parallelism degree 8 for within-layer distribution, pipeline parallelism degree 4 for layer distribution across GPUs, and data parallelism degree 32 for batch distribution. Post-training alignment followed a two-stage process. First, supervised fine-tuning on 50,000 high-quality instruction-following demonstrations covering diverse tasks, formats, and domains [21]. The demonstrations emphasized factual accuracy, appropriate refusal of harmful requests, citation of sources, and acknowledgment of uncertainty. Second, reinforcement learning from human feedback using the Direct Preference Optimization algorithm [22]. We collected 100,000 preference comparisons between model outputs, with three independent annotators rating each comparison. DPO training used learning rate 5e-7 for 3 epochs, optimizing directly on preference data without requiring reward model training. This alignment procedure substantially improved instruction following, reduced harmful outputs, and enhanced calibration of model uncertainty</w:t>
      </w:r>
      <w:r w:rsidR="007071F5" w:rsidRPr="008F6905">
        <w:rPr>
          <w:rFonts w:ascii="Times New Roman" w:hAnsi="Times New Roman" w:cs="Times New Roman"/>
          <w:sz w:val="20"/>
          <w:szCs w:val="20"/>
        </w:rPr>
        <w:t>.</w:t>
      </w:r>
    </w:p>
    <w:p w14:paraId="4126540B"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B.2 GenAI-Embed-V3 Embedding Model</w:t>
      </w:r>
    </w:p>
    <w:p w14:paraId="146875AF" w14:textId="70F79DC0" w:rsidR="00D04E79" w:rsidRDefault="00D04E79" w:rsidP="00237400">
      <w:pPr>
        <w:jc w:val="both"/>
        <w:rPr>
          <w:rFonts w:ascii="Times New Roman" w:hAnsi="Times New Roman" w:cs="Times New Roman"/>
          <w:sz w:val="20"/>
          <w:szCs w:val="20"/>
        </w:rPr>
      </w:pPr>
      <w:r w:rsidRPr="00D04E79">
        <w:rPr>
          <w:rFonts w:ascii="Times New Roman" w:hAnsi="Times New Roman" w:cs="Times New Roman"/>
          <w:sz w:val="20"/>
          <w:szCs w:val="20"/>
        </w:rPr>
        <w:t xml:space="preserve">Semantic search quality fundamentally depends on embedding model effectiveness. We trained a specialized embedding model </w:t>
      </w:r>
      <w:r w:rsidR="007F243C">
        <w:rPr>
          <w:rFonts w:ascii="Times New Roman" w:hAnsi="Times New Roman" w:cs="Times New Roman"/>
          <w:sz w:val="20"/>
          <w:szCs w:val="20"/>
        </w:rPr>
        <w:t>using</w:t>
      </w:r>
      <w:r w:rsidRPr="00D04E79">
        <w:rPr>
          <w:rFonts w:ascii="Times New Roman" w:hAnsi="Times New Roman" w:cs="Times New Roman"/>
          <w:sz w:val="20"/>
          <w:szCs w:val="20"/>
        </w:rPr>
        <w:t xml:space="preserve"> contrastive learning principles [17], [18]. The architecture employs a 12-layer transformer encoder with 768 hidden dimensions and 12 attention heads, producing 1536-dimensional output embeddings through a learned projection layer.</w:t>
      </w:r>
    </w:p>
    <w:p w14:paraId="1555AE9D" w14:textId="421628E9"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Training data comprised 1 billion sentence pairs constructed from multiple sources. Positive pairs included consecutive sentences from documents, paraphrases from translation data, questions paired with relevant answers, queries paired with clicked documents, and synthetically generated paraphrases using back-translation. Hard negatives employed in-batch negatives, BM25 retrieved documents, and model-mined examples using the model's own embeddings to identify challenging negatives.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The training objective employed InfoNCE contrastive loss, treating one positive pair and N minus 1 negative pairs per example. We used temperature parameter 0.05 and in-batch negatives with batch size 8192. Training proceeded for 1 million steps using AdamW optimizer with learning rate 2e-5 and cosine decay schedule. The final model achieved 92.1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mean average precision on the MTEB benchmark, competitive with state-of-the-art embedding models while optimized for technical and academic content prevalent in our use cases.</w:t>
      </w:r>
    </w:p>
    <w:p w14:paraId="1C04C8D6" w14:textId="7E676EA0" w:rsidR="00237400" w:rsidRPr="008F6905" w:rsidRDefault="00237400" w:rsidP="00237400">
      <w:pPr>
        <w:spacing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II</w:t>
      </w:r>
      <w:r w:rsidRPr="008F6905">
        <w:rPr>
          <w:rFonts w:ascii="Times New Roman" w:hAnsi="Times New Roman" w:cs="Times New Roman"/>
          <w:bCs/>
          <w:i/>
          <w:iCs/>
          <w:color w:val="000000"/>
          <w:sz w:val="18"/>
          <w:szCs w:val="18"/>
        </w:rPr>
        <w:t>: Contrastive Learning Temperature</w:t>
      </w:r>
    </w:p>
    <w:tbl>
      <w:tblPr>
        <w:tblStyle w:val="TableGrid"/>
        <w:tblW w:w="0" w:type="auto"/>
        <w:jc w:val="center"/>
        <w:tblLook w:val="04A0" w:firstRow="1" w:lastRow="0" w:firstColumn="1" w:lastColumn="0" w:noHBand="0" w:noVBand="1"/>
      </w:tblPr>
      <w:tblGrid>
        <w:gridCol w:w="1327"/>
        <w:gridCol w:w="750"/>
        <w:gridCol w:w="750"/>
        <w:gridCol w:w="694"/>
        <w:gridCol w:w="1445"/>
      </w:tblGrid>
      <w:tr w:rsidR="00FC6B2A" w:rsidRPr="008F6905" w14:paraId="124A3394" w14:textId="77777777" w:rsidTr="00FC6B2A">
        <w:trPr>
          <w:jc w:val="center"/>
        </w:trPr>
        <w:tc>
          <w:tcPr>
            <w:tcW w:w="0" w:type="auto"/>
            <w:hideMark/>
          </w:tcPr>
          <w:p w14:paraId="3FE14D60" w14:textId="77777777" w:rsidR="00FC6B2A" w:rsidRPr="008F6905" w:rsidRDefault="00FC6B2A"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Temperature</w:t>
            </w:r>
          </w:p>
        </w:tc>
        <w:tc>
          <w:tcPr>
            <w:tcW w:w="0" w:type="auto"/>
            <w:hideMark/>
          </w:tcPr>
          <w:p w14:paraId="41622B13" w14:textId="6B895F3F" w:rsidR="00FC6B2A" w:rsidRPr="008F6905" w:rsidRDefault="00FC6B2A"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Recall</w:t>
            </w:r>
          </w:p>
        </w:tc>
        <w:tc>
          <w:tcPr>
            <w:tcW w:w="0" w:type="auto"/>
            <w:hideMark/>
          </w:tcPr>
          <w:p w14:paraId="6E1B5184" w14:textId="1C8CA909" w:rsidR="00FC6B2A" w:rsidRPr="008F6905" w:rsidRDefault="00FC6B2A"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Recall</w:t>
            </w:r>
          </w:p>
        </w:tc>
        <w:tc>
          <w:tcPr>
            <w:tcW w:w="0" w:type="auto"/>
            <w:hideMark/>
          </w:tcPr>
          <w:p w14:paraId="29131816" w14:textId="77777777" w:rsidR="00FC6B2A" w:rsidRPr="008F6905" w:rsidRDefault="00FC6B2A"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MRR</w:t>
            </w:r>
          </w:p>
        </w:tc>
        <w:tc>
          <w:tcPr>
            <w:tcW w:w="0" w:type="auto"/>
            <w:hideMark/>
          </w:tcPr>
          <w:p w14:paraId="5C8FC374" w14:textId="77777777" w:rsidR="00FC6B2A" w:rsidRPr="008F6905" w:rsidRDefault="00FC6B2A"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Training Time</w:t>
            </w:r>
          </w:p>
        </w:tc>
      </w:tr>
      <w:tr w:rsidR="00FC6B2A" w:rsidRPr="008F6905" w14:paraId="292455F3" w14:textId="77777777" w:rsidTr="00FC6B2A">
        <w:trPr>
          <w:jc w:val="center"/>
        </w:trPr>
        <w:tc>
          <w:tcPr>
            <w:tcW w:w="0" w:type="auto"/>
            <w:hideMark/>
          </w:tcPr>
          <w:p w14:paraId="43A96099"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0.01</w:t>
            </w:r>
          </w:p>
        </w:tc>
        <w:tc>
          <w:tcPr>
            <w:tcW w:w="0" w:type="auto"/>
            <w:hideMark/>
          </w:tcPr>
          <w:p w14:paraId="53EBB163"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0.823</w:t>
            </w:r>
          </w:p>
        </w:tc>
        <w:tc>
          <w:tcPr>
            <w:tcW w:w="0" w:type="auto"/>
            <w:hideMark/>
          </w:tcPr>
          <w:p w14:paraId="1400FAB5"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0.891</w:t>
            </w:r>
          </w:p>
        </w:tc>
        <w:tc>
          <w:tcPr>
            <w:tcW w:w="0" w:type="auto"/>
            <w:hideMark/>
          </w:tcPr>
          <w:p w14:paraId="049EC022"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0.756</w:t>
            </w:r>
          </w:p>
        </w:tc>
        <w:tc>
          <w:tcPr>
            <w:tcW w:w="0" w:type="auto"/>
            <w:hideMark/>
          </w:tcPr>
          <w:p w14:paraId="593D8BAD"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18h</w:t>
            </w:r>
          </w:p>
        </w:tc>
      </w:tr>
      <w:tr w:rsidR="00FC6B2A" w:rsidRPr="008F6905" w14:paraId="78A2182B" w14:textId="77777777" w:rsidTr="00FC6B2A">
        <w:trPr>
          <w:jc w:val="center"/>
        </w:trPr>
        <w:tc>
          <w:tcPr>
            <w:tcW w:w="0" w:type="auto"/>
            <w:hideMark/>
          </w:tcPr>
          <w:p w14:paraId="7202068B"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0.05</w:t>
            </w:r>
          </w:p>
        </w:tc>
        <w:tc>
          <w:tcPr>
            <w:tcW w:w="0" w:type="auto"/>
            <w:hideMark/>
          </w:tcPr>
          <w:p w14:paraId="52C1F656"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0.884</w:t>
            </w:r>
          </w:p>
        </w:tc>
        <w:tc>
          <w:tcPr>
            <w:tcW w:w="0" w:type="auto"/>
            <w:hideMark/>
          </w:tcPr>
          <w:p w14:paraId="7614142F"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0.943</w:t>
            </w:r>
          </w:p>
        </w:tc>
        <w:tc>
          <w:tcPr>
            <w:tcW w:w="0" w:type="auto"/>
            <w:hideMark/>
          </w:tcPr>
          <w:p w14:paraId="7B575232"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0.821</w:t>
            </w:r>
          </w:p>
        </w:tc>
        <w:tc>
          <w:tcPr>
            <w:tcW w:w="0" w:type="auto"/>
            <w:hideMark/>
          </w:tcPr>
          <w:p w14:paraId="5FF94392"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18h</w:t>
            </w:r>
          </w:p>
        </w:tc>
      </w:tr>
      <w:tr w:rsidR="00FC6B2A" w:rsidRPr="008F6905" w14:paraId="2B6FA323" w14:textId="77777777" w:rsidTr="00FC6B2A">
        <w:trPr>
          <w:jc w:val="center"/>
        </w:trPr>
        <w:tc>
          <w:tcPr>
            <w:tcW w:w="0" w:type="auto"/>
            <w:hideMark/>
          </w:tcPr>
          <w:p w14:paraId="7D862B8B"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0.10</w:t>
            </w:r>
          </w:p>
        </w:tc>
        <w:tc>
          <w:tcPr>
            <w:tcW w:w="0" w:type="auto"/>
            <w:hideMark/>
          </w:tcPr>
          <w:p w14:paraId="1F417280"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0.871</w:t>
            </w:r>
          </w:p>
        </w:tc>
        <w:tc>
          <w:tcPr>
            <w:tcW w:w="0" w:type="auto"/>
            <w:hideMark/>
          </w:tcPr>
          <w:p w14:paraId="2CD26DD8"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0.938</w:t>
            </w:r>
          </w:p>
        </w:tc>
        <w:tc>
          <w:tcPr>
            <w:tcW w:w="0" w:type="auto"/>
            <w:hideMark/>
          </w:tcPr>
          <w:p w14:paraId="1FCCCD0A"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0.809</w:t>
            </w:r>
          </w:p>
        </w:tc>
        <w:tc>
          <w:tcPr>
            <w:tcW w:w="0" w:type="auto"/>
            <w:hideMark/>
          </w:tcPr>
          <w:p w14:paraId="0EE2BCBF"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18h</w:t>
            </w:r>
          </w:p>
        </w:tc>
      </w:tr>
      <w:tr w:rsidR="00FC6B2A" w:rsidRPr="008F6905" w14:paraId="2DDB44DB" w14:textId="77777777" w:rsidTr="00FC6B2A">
        <w:trPr>
          <w:jc w:val="center"/>
        </w:trPr>
        <w:tc>
          <w:tcPr>
            <w:tcW w:w="0" w:type="auto"/>
            <w:hideMark/>
          </w:tcPr>
          <w:p w14:paraId="74D22E95"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0.20</w:t>
            </w:r>
          </w:p>
        </w:tc>
        <w:tc>
          <w:tcPr>
            <w:tcW w:w="0" w:type="auto"/>
            <w:hideMark/>
          </w:tcPr>
          <w:p w14:paraId="3E520529"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0.842</w:t>
            </w:r>
          </w:p>
        </w:tc>
        <w:tc>
          <w:tcPr>
            <w:tcW w:w="0" w:type="auto"/>
            <w:hideMark/>
          </w:tcPr>
          <w:p w14:paraId="6B9CD99F"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0.915</w:t>
            </w:r>
          </w:p>
        </w:tc>
        <w:tc>
          <w:tcPr>
            <w:tcW w:w="0" w:type="auto"/>
            <w:hideMark/>
          </w:tcPr>
          <w:p w14:paraId="7B559FE5"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0.781</w:t>
            </w:r>
          </w:p>
        </w:tc>
        <w:tc>
          <w:tcPr>
            <w:tcW w:w="0" w:type="auto"/>
            <w:hideMark/>
          </w:tcPr>
          <w:p w14:paraId="1EE40D34" w14:textId="77777777" w:rsidR="00FC6B2A" w:rsidRPr="008F6905" w:rsidRDefault="00FC6B2A"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18h</w:t>
            </w:r>
          </w:p>
        </w:tc>
      </w:tr>
    </w:tbl>
    <w:p w14:paraId="312C81BD" w14:textId="77777777" w:rsidR="00237400" w:rsidRPr="008F6905" w:rsidRDefault="00237400" w:rsidP="00237400">
      <w:pPr>
        <w:jc w:val="both"/>
        <w:rPr>
          <w:rFonts w:ascii="Times New Roman" w:hAnsi="Times New Roman" w:cs="Times New Roman"/>
          <w:sz w:val="20"/>
          <w:szCs w:val="20"/>
        </w:rPr>
      </w:pPr>
    </w:p>
    <w:p w14:paraId="7C20B6DE" w14:textId="2842D0F2" w:rsidR="00FC6B2A" w:rsidRPr="008F6905" w:rsidRDefault="00FC6B2A"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We conducted systematic hyperparameter tuning to optimize embedding model performance, with particular focus on the temperature parameter in the InfoNCE contrastive loss. Table </w:t>
      </w:r>
      <w:r w:rsidR="00E55532" w:rsidRPr="008F6905">
        <w:rPr>
          <w:rFonts w:ascii="Times New Roman" w:hAnsi="Times New Roman" w:cs="Times New Roman"/>
          <w:sz w:val="20"/>
          <w:szCs w:val="20"/>
        </w:rPr>
        <w:t>1</w:t>
      </w:r>
      <w:r w:rsidRPr="008F6905">
        <w:rPr>
          <w:rFonts w:ascii="Times New Roman" w:hAnsi="Times New Roman" w:cs="Times New Roman"/>
          <w:sz w:val="20"/>
          <w:szCs w:val="20"/>
        </w:rPr>
        <w:t xml:space="preserve"> presents retrieval performance metrics across four temperature values. Temperature 0.05 achieves optimal performance with 0.884 Recall, 0.943 Recall, </w:t>
      </w:r>
      <w:r w:rsidRPr="008F6905">
        <w:rPr>
          <w:rFonts w:ascii="Times New Roman" w:hAnsi="Times New Roman" w:cs="Times New Roman"/>
          <w:sz w:val="20"/>
          <w:szCs w:val="20"/>
        </w:rPr>
        <w:lastRenderedPageBreak/>
        <w:t xml:space="preserve">and 0.821 Mean Reciprocal Rank, requiring 18 hours training time. Lower temperature at 0.01 yields 0.823 Recall and 0.891 Recall, indicating insufficient discrimination between positive and negative pairs. Higher temperature at 0.10 produces 0.871 Recall and 0.938 Recall, performing competitively but slightly below optimal. Temperature 0.20 degrades to 0.842 Recall and 0.915 Recall, suggesting excessive smoothing of the similarity distribution. All configurations complete training in 18 hours on our infrastructure, indicating temperature selection does not significantly impact computational requirements. These results guided our selection of temperature 0.05 for the final model, balancing strong discrimination of relevant versus irrelevant documents while maintaining stable training dynamics and achieving the 92.1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mean average precision on MTEB benchmark reported in the main results.</w:t>
      </w:r>
    </w:p>
    <w:p w14:paraId="13188C50"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B.3 Specialized Model Fine-Tuning</w:t>
      </w:r>
    </w:p>
    <w:p w14:paraId="202BCCB9" w14:textId="55706A09" w:rsidR="002B49E4" w:rsidRPr="002B49E4" w:rsidRDefault="002B49E4" w:rsidP="002B49E4">
      <w:pPr>
        <w:jc w:val="both"/>
        <w:rPr>
          <w:rFonts w:ascii="Times New Roman" w:hAnsi="Times New Roman" w:cs="Times New Roman"/>
          <w:sz w:val="20"/>
          <w:szCs w:val="20"/>
        </w:rPr>
      </w:pPr>
      <w:r w:rsidRPr="002B49E4">
        <w:rPr>
          <w:rFonts w:ascii="Times New Roman" w:hAnsi="Times New Roman" w:cs="Times New Roman"/>
          <w:sz w:val="20"/>
          <w:szCs w:val="20"/>
        </w:rPr>
        <w:t xml:space="preserve">From the foundation model, we derived specialized variants through parameter-efficient fine-tuning. We employed Low-Rank Adaptation with rank 64 applied to query, key, value, and output projections in all attention layers. LoRA enables efficient adaptation while freezing the vast majority of parameters, reducing training costs by approximately 90 </w:t>
      </w:r>
      <w:r w:rsidR="00D13ECA">
        <w:rPr>
          <w:rFonts w:ascii="Times New Roman" w:hAnsi="Times New Roman" w:cs="Times New Roman"/>
          <w:sz w:val="20"/>
          <w:szCs w:val="20"/>
        </w:rPr>
        <w:t>%</w:t>
      </w:r>
      <w:r w:rsidRPr="002B49E4">
        <w:rPr>
          <w:rFonts w:ascii="Times New Roman" w:hAnsi="Times New Roman" w:cs="Times New Roman"/>
          <w:sz w:val="20"/>
          <w:szCs w:val="20"/>
        </w:rPr>
        <w:t xml:space="preserve"> relative to full fine-tuning [28]. For the GenAI-ATS-Analyzer model, we fine-tuned on 500,000 resume and job description pairs annotated with recruiter assessments across multiple dimensions including keyword relevance, formatting quality, content strength, and overall ATS compatibility. Training emphasized calibrated confidence estimation and detailed explanation generation. The resulting model achieves 96.8 </w:t>
      </w:r>
      <w:r w:rsidR="00D13ECA">
        <w:rPr>
          <w:rFonts w:ascii="Times New Roman" w:hAnsi="Times New Roman" w:cs="Times New Roman"/>
          <w:sz w:val="20"/>
          <w:szCs w:val="20"/>
        </w:rPr>
        <w:t>%</w:t>
      </w:r>
      <w:r w:rsidRPr="002B49E4">
        <w:rPr>
          <w:rFonts w:ascii="Times New Roman" w:hAnsi="Times New Roman" w:cs="Times New Roman"/>
          <w:sz w:val="20"/>
          <w:szCs w:val="20"/>
        </w:rPr>
        <w:t xml:space="preserve"> correlation with recruiter scoring. The GenAI-SQL-Coder model received fine-tuning on 1 million natural language and SQL query pairs from Spider, WikiSQL, and proprietary databases. Crucially, training examples included database schema information to encourage schema-grounded generation. The model learned to handle complex patterns including multi-table joins, correlated subqueries, window functions, and common table expressions. Post-training evaluation on held-out schemas demonstrated 94.2 </w:t>
      </w:r>
      <w:r w:rsidR="00D13ECA">
        <w:rPr>
          <w:rFonts w:ascii="Times New Roman" w:hAnsi="Times New Roman" w:cs="Times New Roman"/>
          <w:sz w:val="20"/>
          <w:szCs w:val="20"/>
        </w:rPr>
        <w:t>%</w:t>
      </w:r>
      <w:r w:rsidRPr="002B49E4">
        <w:rPr>
          <w:rFonts w:ascii="Times New Roman" w:hAnsi="Times New Roman" w:cs="Times New Roman"/>
          <w:sz w:val="20"/>
          <w:szCs w:val="20"/>
        </w:rPr>
        <w:t xml:space="preserve"> execution accuracy on complex queries [23]. The GenAI-Research-Agent model incorporated fine-tuning for task decomposition, source evaluation, and synthesis. Training data included research queries paired with human-generated research plans, articles annotated for relevance and credibility, and synthesized reports with proper citations. The model learned to generate structured research strategies, evaluate source quality, and produce coherent reports with proper attribution.</w:t>
      </w:r>
    </w:p>
    <w:p w14:paraId="4B598982" w14:textId="77777777" w:rsidR="002B49E4" w:rsidRPr="002B49E4" w:rsidRDefault="002B49E4" w:rsidP="002B49E4">
      <w:pPr>
        <w:jc w:val="both"/>
        <w:rPr>
          <w:rFonts w:ascii="Times New Roman" w:hAnsi="Times New Roman" w:cs="Times New Roman"/>
          <w:sz w:val="20"/>
          <w:szCs w:val="20"/>
        </w:rPr>
      </w:pPr>
      <w:r w:rsidRPr="002B49E4">
        <w:rPr>
          <w:rFonts w:ascii="Times New Roman" w:hAnsi="Times New Roman" w:cs="Times New Roman"/>
          <w:sz w:val="20"/>
          <w:szCs w:val="20"/>
        </w:rPr>
        <w:t>The GenAI-GraphRAG-Extractor model specialized in named entity recognition and relationship extraction. Training utilized CoNLL-2003, OntoNotes, and custom-annotated datasets covering 50 entity types and 200 relationship types relevant to technical and business documents [25], [26]. The model achieved 92.1 F1-score on entity extraction and 88.3 F1-score on relationship classification on held-out evaluation sets.</w:t>
      </w:r>
    </w:p>
    <w:p w14:paraId="1BC7AE16"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 Multi-PDF Chat with GraphRAG Integration</w:t>
      </w:r>
    </w:p>
    <w:p w14:paraId="566E4367"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Our document intelligence module combines traditional vector-based retrieval with knowledge graph-enhanced context, enabling accurate question answering across multiple documents with explicit relationship modeling.</w:t>
      </w:r>
    </w:p>
    <w:p w14:paraId="5F1CB636"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C.1 Document Processing Pipeline</w:t>
      </w:r>
    </w:p>
    <w:p w14:paraId="03ADB874" w14:textId="0134527A" w:rsidR="007071F5" w:rsidRPr="008F6905" w:rsidRDefault="002B49E4" w:rsidP="00237400">
      <w:pPr>
        <w:jc w:val="both"/>
        <w:rPr>
          <w:rFonts w:ascii="Times New Roman" w:hAnsi="Times New Roman" w:cs="Times New Roman"/>
          <w:sz w:val="20"/>
          <w:szCs w:val="20"/>
        </w:rPr>
      </w:pPr>
      <w:r w:rsidRPr="002B49E4">
        <w:rPr>
          <w:rFonts w:ascii="Times New Roman" w:hAnsi="Times New Roman" w:cs="Times New Roman"/>
          <w:sz w:val="20"/>
          <w:szCs w:val="20"/>
        </w:rPr>
        <w:t>Upon document upload, the system initiates a multi-stage processing pipeline. Text extraction employs PyPDF2 for digital PDFs, with automatic fallback to Tesseract OCR for scanned documents detected through image ratio analysis. The extracted text undergoes normalization including Unicode standardization, whitespace canonicalization, and ligature expansion. Chunking divides documents into overlapping segments of 512 tokens with 50-token overlap to preserve context across chunk boundaries. This sliding window approach ensures that relevant information spanning chunk boundaries remains accessible. Each chunk receives metadata including document identifier, page number, position within document, and neighboring chunk references. Embedding generation applies the GenAI-Embed-V3 model to each chunk, producing 1536-dimensional vectors. These embeddings are indexed using HNSW algorithm with M equal to 16 links per node and construction parameter ef-construction equal to 200. The resulting index enables approximate nearest neighbor search with latency below 10 milliseconds for typical corpus sizes [16].</w:t>
      </w:r>
    </w:p>
    <w:p w14:paraId="3A89F170"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C.2 Knowledge Graph Construction</w:t>
      </w:r>
    </w:p>
    <w:p w14:paraId="59003179"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In parallel with vector indexing, the system constructs a knowledge graph representing entities and relationships within the document corpus. The GenAI-GraphRAG-Extractor model processes document text through a three-stage pipeline: entity recognition, entity normalization, and relationship extraction.</w:t>
      </w:r>
    </w:p>
    <w:p w14:paraId="56E4DA50" w14:textId="24981E09" w:rsidR="00733FFE" w:rsidRPr="008F6905" w:rsidRDefault="00733FFE" w:rsidP="00237400">
      <w:pPr>
        <w:spacing w:after="0"/>
        <w:jc w:val="center"/>
        <w:rPr>
          <w:rFonts w:ascii="Times New Roman" w:hAnsi="Times New Roman" w:cs="Times New Roman"/>
          <w:sz w:val="20"/>
          <w:szCs w:val="20"/>
        </w:rPr>
      </w:pPr>
      <w:r w:rsidRPr="008F6905">
        <w:rPr>
          <w:rFonts w:ascii="Times New Roman" w:hAnsi="Times New Roman" w:cs="Times New Roman"/>
          <w:bCs/>
          <w:noProof/>
          <w:color w:val="000000"/>
        </w:rPr>
        <w:lastRenderedPageBreak/>
        <w:drawing>
          <wp:inline distT="0" distB="0" distL="0" distR="0" wp14:anchorId="7AC4F31E" wp14:editId="65B24CE6">
            <wp:extent cx="3634368" cy="5022215"/>
            <wp:effectExtent l="0" t="0" r="4445" b="6985"/>
            <wp:docPr id="716076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8851" cy="5083685"/>
                    </a:xfrm>
                    <a:prstGeom prst="rect">
                      <a:avLst/>
                    </a:prstGeom>
                    <a:noFill/>
                    <a:ln>
                      <a:noFill/>
                    </a:ln>
                  </pic:spPr>
                </pic:pic>
              </a:graphicData>
            </a:graphic>
          </wp:inline>
        </w:drawing>
      </w:r>
    </w:p>
    <w:p w14:paraId="35B7606D" w14:textId="28EDA3A1" w:rsidR="00733FFE" w:rsidRPr="008F6905" w:rsidRDefault="00733FFE" w:rsidP="00237400">
      <w:pPr>
        <w:jc w:val="center"/>
        <w:rPr>
          <w:rFonts w:ascii="Times New Roman" w:hAnsi="Times New Roman" w:cs="Times New Roman"/>
          <w:bCs/>
          <w:i/>
          <w:iCs/>
          <w:color w:val="000000"/>
          <w:sz w:val="18"/>
          <w:szCs w:val="18"/>
        </w:rPr>
      </w:pPr>
      <w:r w:rsidRPr="008F6905">
        <w:rPr>
          <w:rFonts w:ascii="Times New Roman" w:hAnsi="Times New Roman" w:cs="Times New Roman"/>
          <w:bCs/>
          <w:i/>
          <w:iCs/>
          <w:color w:val="000000"/>
          <w:sz w:val="18"/>
          <w:szCs w:val="18"/>
        </w:rPr>
        <w:t xml:space="preserve">Figure </w:t>
      </w:r>
      <w:r w:rsidR="009D7394" w:rsidRPr="008F6905">
        <w:rPr>
          <w:rFonts w:ascii="Times New Roman" w:hAnsi="Times New Roman" w:cs="Times New Roman"/>
          <w:bCs/>
          <w:i/>
          <w:iCs/>
          <w:color w:val="000000"/>
          <w:sz w:val="18"/>
          <w:szCs w:val="18"/>
        </w:rPr>
        <w:t>3</w:t>
      </w:r>
      <w:r w:rsidRPr="008F6905">
        <w:rPr>
          <w:rFonts w:ascii="Times New Roman" w:hAnsi="Times New Roman" w:cs="Times New Roman"/>
          <w:bCs/>
          <w:i/>
          <w:iCs/>
          <w:color w:val="000000"/>
          <w:sz w:val="18"/>
          <w:szCs w:val="18"/>
        </w:rPr>
        <w:t xml:space="preserve">: </w:t>
      </w:r>
      <w:r w:rsidR="002B161D" w:rsidRPr="002B161D">
        <w:rPr>
          <w:rFonts w:ascii="Times New Roman" w:hAnsi="Times New Roman" w:cs="Times New Roman"/>
          <w:bCs/>
          <w:i/>
          <w:iCs/>
          <w:color w:val="000000"/>
          <w:sz w:val="18"/>
          <w:szCs w:val="18"/>
        </w:rPr>
        <w:t>Knowledge Graph Construction and GraphRAG Pipeline</w:t>
      </w:r>
    </w:p>
    <w:p w14:paraId="4D7CB930" w14:textId="77777777" w:rsidR="003C5A20" w:rsidRDefault="00A3371B" w:rsidP="00237400">
      <w:pPr>
        <w:jc w:val="both"/>
        <w:rPr>
          <w:rFonts w:ascii="Times New Roman" w:hAnsi="Times New Roman" w:cs="Times New Roman"/>
          <w:sz w:val="20"/>
          <w:szCs w:val="20"/>
        </w:rPr>
      </w:pPr>
      <w:r w:rsidRPr="00A3371B">
        <w:rPr>
          <w:rFonts w:ascii="Times New Roman" w:hAnsi="Times New Roman" w:cs="Times New Roman"/>
          <w:sz w:val="20"/>
          <w:szCs w:val="20"/>
        </w:rPr>
        <w:t>Fig. 3 Knowledge Graph Construction and GraphRAG Pipeline. The system processes documents through entity extraction (NER, classification, property extraction), relationship detection (extraction, classification, confidence scoring), graph construction (node/edge creation, database storage), and dual-path processing for graph analysis (centrality, community detection, clustering, path finding) and context enhancement (ranking, subgraph extraction, prompt enhancement), with visualization support for interactive exploration [4].</w:t>
      </w:r>
      <w:r w:rsidRPr="00A3371B">
        <w:rPr>
          <w:rFonts w:ascii="Times New Roman" w:hAnsi="Times New Roman" w:cs="Times New Roman"/>
          <w:sz w:val="20"/>
          <w:szCs w:val="20"/>
        </w:rPr>
        <w:br/>
        <w:t>Entity recognition identifies spans corresponding to 50 entity types including person, organization, location, technology, product, concept, event, and measurement. The model outputs entity mentions with confidence scores and character offsets. Entity normalization performs coreference resolution to merge multiple mentions of the same entity, using string similarity, embedding proximity, and contextual analysis. Each unique entity receives a canonical identifier and merged properties from all mentions. Relationship extraction operates at sentence level, analyzing syntactic and semantic patterns to identify relationships between entity pairs. The model classifies relationships into 200 types organized in a hierarchy, including works-for, located-in, part-of, uses-technology, causes, enables, and domain-specific relations. Each extracted relationship includes confidence score, supporting text span, and relationship type. The resulting knowledge graph is represented in PostgreSQL with tables for entities, relationships, and entity properties. We employ GIN indexes on entity names for efficient lookup and specialized indexes on relationship types for query filtering. Graph traversal queries utilize recursive common table expressions to explore multi-hop paths efficiently.</w:t>
      </w:r>
      <w:r w:rsidRPr="00A3371B">
        <w:rPr>
          <w:rFonts w:ascii="Times New Roman" w:hAnsi="Times New Roman" w:cs="Times New Roman"/>
          <w:sz w:val="20"/>
          <w:szCs w:val="20"/>
        </w:rPr>
        <w:br/>
        <w:t>Community detection applies the Louvain algorithm to identify densely connected entity clusters, providing hierarchical organization of the knowledge graph. These communities often correspond to distinct topics or document themes, enabling topic-aware retrieval.</w:t>
      </w:r>
    </w:p>
    <w:p w14:paraId="42DA4E72" w14:textId="55AA15B6"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C.3 Hybrid Retrieval Strategy</w:t>
      </w:r>
    </w:p>
    <w:p w14:paraId="300729FA" w14:textId="21D0F325" w:rsidR="007071F5" w:rsidRPr="008F6905" w:rsidRDefault="003C5A20" w:rsidP="00237400">
      <w:pPr>
        <w:jc w:val="both"/>
        <w:rPr>
          <w:rFonts w:ascii="Times New Roman" w:hAnsi="Times New Roman" w:cs="Times New Roman"/>
          <w:sz w:val="20"/>
          <w:szCs w:val="20"/>
        </w:rPr>
      </w:pPr>
      <w:r w:rsidRPr="003C5A20">
        <w:rPr>
          <w:rFonts w:ascii="Times New Roman" w:hAnsi="Times New Roman" w:cs="Times New Roman"/>
          <w:sz w:val="20"/>
          <w:szCs w:val="20"/>
        </w:rPr>
        <w:lastRenderedPageBreak/>
        <w:t xml:space="preserve">At query time, the system employs a hybrid retrieval strategy combining vector similarity and graph proximity [4]. Given a user query, we first generate its embedding and retrieve the top 20 document chunks by cosine similarity. Simultaneously, we extract entities from the query using the same extraction model applied to documents. For each extracted query entity, we retrieve the corresponding knowledge graph nodes and explore their local neighborhoods up to 2-hop distance. The retrieved subgraph typically contains 10 to 50 entities and their interconnecting relationships. We rank subgraph nodes by a combination of centrality within the subgraph, similarity to query entities, and frequency of occurrence in top-ranked document chunks. The final context provided to the language model integrates top-5 document chunks </w:t>
      </w:r>
      <w:r w:rsidR="003C55FB">
        <w:rPr>
          <w:rFonts w:ascii="Times New Roman" w:hAnsi="Times New Roman" w:cs="Times New Roman"/>
          <w:sz w:val="20"/>
          <w:szCs w:val="20"/>
        </w:rPr>
        <w:t>usng</w:t>
      </w:r>
      <w:r w:rsidRPr="003C5A20">
        <w:rPr>
          <w:rFonts w:ascii="Times New Roman" w:hAnsi="Times New Roman" w:cs="Times New Roman"/>
          <w:sz w:val="20"/>
          <w:szCs w:val="20"/>
        </w:rPr>
        <w:t xml:space="preserve"> vector similarity and top-10 graph nodes with their immediate relationships. This hybrid context enables the model to leverage both semantic similarity and structural knowledge, improving accuracy on questions requiring multi-hop reasoning or entity relationship understanding.</w:t>
      </w:r>
    </w:p>
    <w:p w14:paraId="1DE2361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C.4 Response Generation</w:t>
      </w:r>
    </w:p>
    <w:p w14:paraId="067CB827" w14:textId="77777777" w:rsidR="004D165A" w:rsidRDefault="004D165A" w:rsidP="00237400">
      <w:pPr>
        <w:jc w:val="both"/>
        <w:rPr>
          <w:rFonts w:ascii="Times New Roman" w:hAnsi="Times New Roman" w:cs="Times New Roman"/>
          <w:sz w:val="20"/>
          <w:szCs w:val="20"/>
        </w:rPr>
      </w:pPr>
      <w:r w:rsidRPr="004D165A">
        <w:rPr>
          <w:rFonts w:ascii="Times New Roman" w:hAnsi="Times New Roman" w:cs="Times New Roman"/>
          <w:sz w:val="20"/>
          <w:szCs w:val="20"/>
        </w:rPr>
        <w:t>Response generation employs the GenAI-LLM model with carefully constructed prompts. The prompt structure includes system instructions emphasizing factual accuracy and citation, retrieved document contexts with source metadata, knowledge graph context formatted as subject-predicate-object triples, conversation history for multi-turn consistency, and the user's current query. The model generates responses autoregressively with temperature 0.7 and nucleus sampling with p equal to 0.9. Token generation proceeds until an end-of-sequence token or maximum length of 2048 tokens. As tokens generate, they stream to the client through Server-Sent Events, providing real-time response display. Each response includes inline citations referencing specific document sources. The citation mechanism matches generated content spans to retrieved chunks using semantic similarity, inserting citation markers referencing document names and page numbers. This transparency enables users to verify claims and explore original sources.</w:t>
      </w:r>
    </w:p>
    <w:p w14:paraId="12FE28E3" w14:textId="66F2AA50"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 ATS Resume Feedback with Agentic RAG</w:t>
      </w:r>
    </w:p>
    <w:p w14:paraId="3B734FE7" w14:textId="7D798BA6" w:rsidR="00237400"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Resume analysis requires evaluation across multiple dimensions including keyword optimization, formatting compliance, content quality, and job matching. We employ a multi-agent architecture where specialized agents analyze distinct aspects, with a synthesis agent integrating findings into coherent feedback.</w:t>
      </w:r>
    </w:p>
    <w:p w14:paraId="51CD16AD" w14:textId="4FE68AA0" w:rsidR="007071F5" w:rsidRPr="002021A7" w:rsidRDefault="007071F5" w:rsidP="002021A7">
      <w:pPr>
        <w:rPr>
          <w:rFonts w:ascii="Times New Roman" w:hAnsi="Times New Roman" w:cs="Times New Roman"/>
          <w:sz w:val="20"/>
          <w:szCs w:val="20"/>
        </w:rPr>
      </w:pPr>
      <w:r w:rsidRPr="008F6905">
        <w:rPr>
          <w:rFonts w:ascii="Times New Roman" w:hAnsi="Times New Roman" w:cs="Times New Roman"/>
          <w:b/>
          <w:bCs/>
          <w:sz w:val="20"/>
          <w:szCs w:val="20"/>
        </w:rPr>
        <w:t>D.1 Multi-Agent Architecture</w:t>
      </w:r>
    </w:p>
    <w:p w14:paraId="1A6B7AA1" w14:textId="6C368B00" w:rsidR="002021A7" w:rsidRPr="00154110" w:rsidRDefault="004D165A" w:rsidP="00237400">
      <w:pPr>
        <w:jc w:val="both"/>
        <w:rPr>
          <w:rFonts w:ascii="Times New Roman" w:hAnsi="Times New Roman" w:cs="Times New Roman"/>
          <w:sz w:val="20"/>
          <w:szCs w:val="20"/>
        </w:rPr>
      </w:pPr>
      <w:r w:rsidRPr="004D165A">
        <w:rPr>
          <w:rFonts w:ascii="Times New Roman" w:hAnsi="Times New Roman" w:cs="Times New Roman"/>
          <w:sz w:val="20"/>
          <w:szCs w:val="20"/>
        </w:rPr>
        <w:t>Our resume analysis system comprises six agents: coordinator agent for task planning and orchestration, scoring agent for ATS compatibility calculation, keyword agent for keyword extraction and matching, format agent for structural compliance checking, content agent for qualitative assessment, and job matching agent for resume-job fit analysis. The coordinator agent receives a resume and optional job description, then formulates an analysis strategy. This strategy includes agent activation order, information sharing protocol, and success criteria. The coordinator employs the GenAI-ATS-Analyzer model to generate a structured plan represented as a directed acyclic graph of agent dependencies. Each specialist agent implements a focused analysis using specific prompting strategies and validation logic. Agents execute in parallel when dependencies permit, with the coordinator managing inter-agent communication through a shared working memory structure.</w:t>
      </w:r>
    </w:p>
    <w:p w14:paraId="3AA421DD" w14:textId="717B1898" w:rsidR="002021A7"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D.2 Scoring Agent</w:t>
      </w:r>
    </w:p>
    <w:p w14:paraId="0BDFD633" w14:textId="1B095358" w:rsidR="004D165A" w:rsidRPr="002021A7" w:rsidRDefault="004D165A" w:rsidP="00237400">
      <w:pPr>
        <w:jc w:val="both"/>
        <w:rPr>
          <w:rFonts w:ascii="Times New Roman" w:hAnsi="Times New Roman" w:cs="Times New Roman"/>
          <w:b/>
          <w:bCs/>
          <w:sz w:val="20"/>
          <w:szCs w:val="20"/>
        </w:rPr>
      </w:pPr>
      <w:r w:rsidRPr="004D165A">
        <w:rPr>
          <w:rFonts w:ascii="Times New Roman" w:hAnsi="Times New Roman" w:cs="Times New Roman"/>
          <w:sz w:val="20"/>
          <w:szCs w:val="20"/>
        </w:rPr>
        <w:t xml:space="preserve">The scoring agent calculates an overall ATS compatibility score on a 0 to 100 scale. The scoring algorithm considers multiple factors with learned weights. Keyword relevance contributes 40 </w:t>
      </w:r>
      <w:r w:rsidR="00D13ECA">
        <w:rPr>
          <w:rFonts w:ascii="Times New Roman" w:hAnsi="Times New Roman" w:cs="Times New Roman"/>
          <w:sz w:val="20"/>
          <w:szCs w:val="20"/>
        </w:rPr>
        <w:t>%</w:t>
      </w:r>
      <w:r w:rsidRPr="004D165A">
        <w:rPr>
          <w:rFonts w:ascii="Times New Roman" w:hAnsi="Times New Roman" w:cs="Times New Roman"/>
          <w:sz w:val="20"/>
          <w:szCs w:val="20"/>
        </w:rPr>
        <w:t xml:space="preserve">, calculated as the </w:t>
      </w:r>
      <w:r w:rsidR="00D13ECA">
        <w:rPr>
          <w:rFonts w:ascii="Times New Roman" w:hAnsi="Times New Roman" w:cs="Times New Roman"/>
          <w:sz w:val="20"/>
          <w:szCs w:val="20"/>
        </w:rPr>
        <w:t>%</w:t>
      </w:r>
      <w:r w:rsidRPr="004D165A">
        <w:rPr>
          <w:rFonts w:ascii="Times New Roman" w:hAnsi="Times New Roman" w:cs="Times New Roman"/>
          <w:sz w:val="20"/>
          <w:szCs w:val="20"/>
        </w:rPr>
        <w:t xml:space="preserve">age of job description keywords present in the resume. Formatting compliance contributes 30 </w:t>
      </w:r>
      <w:r w:rsidR="00D13ECA">
        <w:rPr>
          <w:rFonts w:ascii="Times New Roman" w:hAnsi="Times New Roman" w:cs="Times New Roman"/>
          <w:sz w:val="20"/>
          <w:szCs w:val="20"/>
        </w:rPr>
        <w:t>%</w:t>
      </w:r>
      <w:r w:rsidRPr="004D165A">
        <w:rPr>
          <w:rFonts w:ascii="Times New Roman" w:hAnsi="Times New Roman" w:cs="Times New Roman"/>
          <w:sz w:val="20"/>
          <w:szCs w:val="20"/>
        </w:rPr>
        <w:t xml:space="preserve">, evaluated through rules encoding ATS parsing requirements such as standard section headings, chronological date formats, and absence of complex layouts. Content quality contributes 30 </w:t>
      </w:r>
      <w:r w:rsidR="00D13ECA">
        <w:rPr>
          <w:rFonts w:ascii="Times New Roman" w:hAnsi="Times New Roman" w:cs="Times New Roman"/>
          <w:sz w:val="20"/>
          <w:szCs w:val="20"/>
        </w:rPr>
        <w:t>%</w:t>
      </w:r>
      <w:r w:rsidRPr="004D165A">
        <w:rPr>
          <w:rFonts w:ascii="Times New Roman" w:hAnsi="Times New Roman" w:cs="Times New Roman"/>
          <w:sz w:val="20"/>
          <w:szCs w:val="20"/>
        </w:rPr>
        <w:t>, assessed through linguistic analysis of experience descriptions including action verb usage, quantification of achievements, and technical term density. The scoring agent generates detailed subscores for each dimension with explanations, enabling users to understand which factors most impact their overall score. The model's training on recruiter-annotated data ensures scoring criteria align with human judgment while maintaining objectivity.</w:t>
      </w:r>
    </w:p>
    <w:p w14:paraId="3E9345AC" w14:textId="1C05216B"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D.3 Keyword Agent</w:t>
      </w:r>
    </w:p>
    <w:p w14:paraId="7FF20587" w14:textId="19C02C01" w:rsidR="004D165A" w:rsidRDefault="004D165A" w:rsidP="00237400">
      <w:pPr>
        <w:jc w:val="both"/>
        <w:rPr>
          <w:rFonts w:ascii="Times New Roman" w:hAnsi="Times New Roman" w:cs="Times New Roman"/>
          <w:sz w:val="20"/>
          <w:szCs w:val="20"/>
        </w:rPr>
      </w:pPr>
      <w:r w:rsidRPr="004D165A">
        <w:rPr>
          <w:rFonts w:ascii="Times New Roman" w:hAnsi="Times New Roman" w:cs="Times New Roman"/>
          <w:sz w:val="20"/>
          <w:szCs w:val="20"/>
        </w:rPr>
        <w:t xml:space="preserve">The keyword agent extracts skills, technologies, and domain terms from the resume, then compares against job description requirements when provided. Extraction employs named entity recognition specialized for technical </w:t>
      </w:r>
      <w:r w:rsidRPr="004D165A">
        <w:rPr>
          <w:rFonts w:ascii="Times New Roman" w:hAnsi="Times New Roman" w:cs="Times New Roman"/>
          <w:sz w:val="20"/>
          <w:szCs w:val="20"/>
        </w:rPr>
        <w:lastRenderedPageBreak/>
        <w:t xml:space="preserve">skills, combined with gazetteer lookup against a comprehensive skills database. The agent categorizes keywords by type including programming languages, frameworks, tools, soft skills, and domain expertise. For each job description keyword, the agent determines whether it appears in the resume, its frequency, and its prominence </w:t>
      </w:r>
      <w:r w:rsidR="003C55FB">
        <w:rPr>
          <w:rFonts w:ascii="Times New Roman" w:hAnsi="Times New Roman" w:cs="Times New Roman"/>
          <w:sz w:val="20"/>
          <w:szCs w:val="20"/>
        </w:rPr>
        <w:t>based on</w:t>
      </w:r>
      <w:r w:rsidRPr="004D165A">
        <w:rPr>
          <w:rFonts w:ascii="Times New Roman" w:hAnsi="Times New Roman" w:cs="Times New Roman"/>
          <w:sz w:val="20"/>
          <w:szCs w:val="20"/>
        </w:rPr>
        <w:t xml:space="preserve"> section placement and formatting. The agent identifies critical missing keywords likely to affect ATS screening and suggests natural placement locations maintaining resume flow and readability.</w:t>
      </w:r>
    </w:p>
    <w:p w14:paraId="3E107B80" w14:textId="274AE9A4"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D.4 Format Agent</w:t>
      </w:r>
    </w:p>
    <w:p w14:paraId="6000098C" w14:textId="01D4E51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format agent evaluates structural compliance with ATS parsing requirements. Common issues that impede ATS parsing include use of tables or complex multi-column layouts, embedding of contact information in headers or footers, use of graphics, text boxes, or images, inconsistent date formatting, non-standard section headings, and special characters or unusual fonts.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agent analyzes the resume structure by parsing the document into sections, checking date formats for consistency and standard representations, validating contact information placement and format, identifying problematic structural elements, and assessing overall parsing difficulty. Each identified issue receives a severity rating and specific remediation suggestion.</w:t>
      </w:r>
    </w:p>
    <w:p w14:paraId="7C7B1978"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D.5 Content Agent</w:t>
      </w:r>
    </w:p>
    <w:p w14:paraId="552EA3D2" w14:textId="4EACB073"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content agent provides qualitative assessment of resume content focusing on impact and effectiveness. The analysis evaluates experience descriptions for action-oriented language, examining whether descriptions use strong action verbs and active voice rather than passive constructions. The agent assesses quantification of achievements, checking whether accomplishments include metrics and measurable outcomes. Technical depth analysis evaluates whether the resume demonstrates hands-on experience with claimed technologies through specific examples and technical details.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agent also evaluates education section completeness, certification relevance to target roles, project descriptions for technical depth, and overall narrative coherence. For each weakness identified, the agent generates specific improvement suggestions with before-and-after examples.</w:t>
      </w:r>
    </w:p>
    <w:p w14:paraId="794F835B"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D.6 Job Matching Agent</w:t>
      </w:r>
    </w:p>
    <w:p w14:paraId="16F5BB48" w14:textId="7E717EAE"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When a job description is provided, the job matching agent analyzes resume-job fit across multiple dimensions. Required qualifications matching examines education, experience level, and mandatory certifications. Skill alignment assesses overlap between resume skills and job requirements. Experience relevance evaluates whether past roles relate to target position. Industry familiarity checks domain-specific terminology and context.</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agent computes a match score representing overall fit and identifies experience or skill gaps that might disadvantage the candidate. For gaps, the agent suggests whether they can be addressed through resume reformulation or whether they represent genuine preparation needs.</w:t>
      </w:r>
    </w:p>
    <w:p w14:paraId="6C1E7193"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D.7 Synthesis Agent</w:t>
      </w:r>
    </w:p>
    <w:p w14:paraId="54F0BEDA" w14:textId="58FD60C6"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After specialized agents complete their analyses, the synthesis agent integrates findings into a coherent, actionable report. The synthesis agent reads all agent outputs from shared working memory and generates a structured feedback document including executive summary with overall ATS score, highest-priority action items, dimension-by-dimension detailed analysis, specific improvement suggestions with examples, and comparative analysis showing expected score improvement after implementing suggestions.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synthesis process employs the GenAI-ATS-Analyzer model with a prompt containing all agent outputs and instructions for coherent integration. The model generates natural language explanations that connect distinct findings into a unified narrative, helping users understand relationships between different feedback dimensions.</w:t>
      </w:r>
    </w:p>
    <w:p w14:paraId="742EB278" w14:textId="397CCDAC" w:rsidR="007071F5" w:rsidRPr="008F6905" w:rsidRDefault="00737EB2"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w:t>
      </w:r>
      <w:r w:rsidR="007071F5" w:rsidRPr="008F6905">
        <w:rPr>
          <w:rFonts w:ascii="Times New Roman" w:hAnsi="Times New Roman" w:cs="Times New Roman"/>
          <w:b/>
          <w:bCs/>
          <w:sz w:val="20"/>
          <w:szCs w:val="20"/>
        </w:rPr>
        <w:t>. Text-to-SQL Natural Language Interface</w:t>
      </w:r>
    </w:p>
    <w:p w14:paraId="3E81A32D"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Our natural language database interface enables non-technical users to query databases through English questions, with the system automatically generating and executing appropriate SQL.</w:t>
      </w:r>
    </w:p>
    <w:p w14:paraId="0E5DB950" w14:textId="6BB62827" w:rsidR="007071F5" w:rsidRPr="008F6905" w:rsidRDefault="00737EB2"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w:t>
      </w:r>
      <w:r w:rsidR="007071F5" w:rsidRPr="008F6905">
        <w:rPr>
          <w:rFonts w:ascii="Times New Roman" w:hAnsi="Times New Roman" w:cs="Times New Roman"/>
          <w:b/>
          <w:bCs/>
          <w:sz w:val="20"/>
          <w:szCs w:val="20"/>
        </w:rPr>
        <w:t>.1 Schema-Aware Query Generation</w:t>
      </w:r>
    </w:p>
    <w:p w14:paraId="64B9F8FF" w14:textId="77777777" w:rsidR="004D165A" w:rsidRDefault="004D165A" w:rsidP="00237400">
      <w:pPr>
        <w:jc w:val="both"/>
        <w:rPr>
          <w:rFonts w:ascii="Times New Roman" w:hAnsi="Times New Roman" w:cs="Times New Roman"/>
          <w:sz w:val="20"/>
          <w:szCs w:val="20"/>
        </w:rPr>
      </w:pPr>
      <w:r w:rsidRPr="004D165A">
        <w:rPr>
          <w:rFonts w:ascii="Times New Roman" w:hAnsi="Times New Roman" w:cs="Times New Roman"/>
          <w:sz w:val="20"/>
          <w:szCs w:val="20"/>
        </w:rPr>
        <w:t xml:space="preserve">The core challenge in Text-to-SQL is grounding natural language queries to specific database schemas. Our approach begins with schema serialization, converting database metadata into a text representation accessible to language models. For each table, we serialize the table name, column names with data types, primary and foreign key relationships, and sample values for categorical columns to illustrate value spaces. The schema representation is incorporated into prompts for the GenAI-SQL-Coder model. Given a natural language query and schema </w:t>
      </w:r>
      <w:r w:rsidRPr="004D165A">
        <w:rPr>
          <w:rFonts w:ascii="Times New Roman" w:hAnsi="Times New Roman" w:cs="Times New Roman"/>
          <w:sz w:val="20"/>
          <w:szCs w:val="20"/>
        </w:rPr>
        <w:lastRenderedPageBreak/>
        <w:t>context, the model generates SQL queries through few-shot prompting with examples demonstrating query patterns across schema types. The examples cover common patterns including simple selection with filtering, multi-table joins using foreign key relationships, aggregation with GROUP BY clauses, subqueries and common table expressions, and window functions for analytical queries [24], [23]. The model employs a constrained decoding strategy encouraging syntactically valid SQL. Token probabilities are adjusted to prefer tokens completing valid SQL constructs, reducing likelihood of syntax errors [11]. The generation process produces SQL queries accompanied by natural language explanations describing the query logic and expected result structure.</w:t>
      </w:r>
    </w:p>
    <w:p w14:paraId="07D11D24" w14:textId="505EED14" w:rsidR="007071F5" w:rsidRPr="008F6905" w:rsidRDefault="00737EB2"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w:t>
      </w:r>
      <w:r w:rsidR="007071F5" w:rsidRPr="008F6905">
        <w:rPr>
          <w:rFonts w:ascii="Times New Roman" w:hAnsi="Times New Roman" w:cs="Times New Roman"/>
          <w:b/>
          <w:bCs/>
          <w:sz w:val="20"/>
          <w:szCs w:val="20"/>
        </w:rPr>
        <w:t>.2 Safety Validation</w:t>
      </w:r>
    </w:p>
    <w:p w14:paraId="2B975485" w14:textId="2BB6BDA5"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Allowing natural language access to production databases requires robust safety mechanisms preventing destructive operations. Our safety validation system implements multiple defense layers. First, SQL parsing and AST analysis employs sqlparse library to parse generated SQL into abstract syntax trees, enabling analysis of query structure without execution. The parser identifies statement types, recognizing SELECT queries as safe while flagging INSERT, UPDATE, DELETE, and DROP as potentially dangerous. Table and column reference validation ensures all referenced entities exist in the schema, preventing errors from hallucinated table names.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Second, allowlist validation permits only SELECT statements, immediately rejecting any query containing data modification or schema alteration operations. We enforce additional constraints including maximum result size limits capping returned rows at 1000 to prevent accidental retrieval of entire large tables, query timeout limits terminating queries exceeding 30 seconds, and connection privilege restrictions using read-only database credentials incapable of modifications even if attempted.</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Third, manual approval workflows for sensitive databases route generated queries through human review before execution. This option accommodates security-critical environments while maintaining utility of natural language interfaces for query formulation assistance.</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Any query failing validation produces an error message explaining the safety concern and suggesting modifications to create a safe query. This transparency helps users understand system constraints while learning to formulate appropriate queries.</w:t>
      </w:r>
    </w:p>
    <w:p w14:paraId="67922E2F" w14:textId="0711A494" w:rsidR="007071F5" w:rsidRPr="008F6905" w:rsidRDefault="00737EB2"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w:t>
      </w:r>
      <w:r w:rsidR="007071F5" w:rsidRPr="008F6905">
        <w:rPr>
          <w:rFonts w:ascii="Times New Roman" w:hAnsi="Times New Roman" w:cs="Times New Roman"/>
          <w:b/>
          <w:bCs/>
          <w:sz w:val="20"/>
          <w:szCs w:val="20"/>
        </w:rPr>
        <w:t>.3 Query Execution and Result Presentation</w:t>
      </w:r>
    </w:p>
    <w:p w14:paraId="2542A75A" w14:textId="5789668C"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Validated queries execute against PostgreSQL databases using psycopg2 with read-only connection credentials. Query execution incorporates timeout protection terminating queries exceeding time limits and result size limits preventing memory exhaustion from large result sets. The system captures and returns detailed error messages for failed queries, enabling users to understand and correct issues.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Successful queries return results as JSON arrays with column names and typed values. The frontend presents results in interactive tables supporting sorting by columns, filtering by value, pagination for large result sets, and export to CSV or JSON formats. Visualizations automatically generate for suitable query types, creating bar charts for categorical aggregations, line charts for time series, and pie charts for proportional breakdowns.</w:t>
      </w:r>
      <w:r w:rsidR="00237400" w:rsidRPr="008F6905">
        <w:rPr>
          <w:rFonts w:ascii="Times New Roman" w:hAnsi="Times New Roman" w:cs="Times New Roman"/>
          <w:sz w:val="20"/>
          <w:szCs w:val="20"/>
        </w:rPr>
        <w:t xml:space="preserve"> </w:t>
      </w:r>
      <w:r w:rsidRPr="008F6905">
        <w:rPr>
          <w:rFonts w:ascii="Times New Roman" w:hAnsi="Times New Roman" w:cs="Times New Roman"/>
          <w:sz w:val="20"/>
          <w:szCs w:val="20"/>
        </w:rPr>
        <w:t>Each result display includes the generated SQL query with syntax highlighting, natural language explanation of query logic, execution time and row count statistics, and option to modify and re-execute the query. This transparency supports user learning and confidence in system correctness.</w:t>
      </w:r>
    </w:p>
    <w:p w14:paraId="091AEFB5" w14:textId="153D845E" w:rsidR="007071F5" w:rsidRPr="008F6905" w:rsidRDefault="00737EB2"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w:t>
      </w:r>
      <w:r w:rsidR="007071F5" w:rsidRPr="008F6905">
        <w:rPr>
          <w:rFonts w:ascii="Times New Roman" w:hAnsi="Times New Roman" w:cs="Times New Roman"/>
          <w:b/>
          <w:bCs/>
          <w:sz w:val="20"/>
          <w:szCs w:val="20"/>
        </w:rPr>
        <w:t>. Implementation and Deployment Infrastructure</w:t>
      </w:r>
    </w:p>
    <w:p w14:paraId="696A9538" w14:textId="755F2FC9"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Our production deployment employs containerized microservices orchestrated by Kubernetes. Each service component is packaged as a Docker container with explicit dependency specification, health check endpoints, and resource limit declarations. Kubernetes manages container orchestration including horizontal pod autoscaling </w:t>
      </w:r>
      <w:r w:rsidR="002929E1">
        <w:rPr>
          <w:rFonts w:ascii="Times New Roman" w:hAnsi="Times New Roman" w:cs="Times New Roman"/>
          <w:sz w:val="20"/>
          <w:szCs w:val="20"/>
        </w:rPr>
        <w:t>using</w:t>
      </w:r>
      <w:r w:rsidRPr="008F6905">
        <w:rPr>
          <w:rFonts w:ascii="Times New Roman" w:hAnsi="Times New Roman" w:cs="Times New Roman"/>
          <w:sz w:val="20"/>
          <w:szCs w:val="20"/>
        </w:rPr>
        <w:t xml:space="preserve"> CPU and memory utilization, automated rollouts and rollbacks for deployments, service discovery through internal DNS, and persistent volume management for stateful components.</w:t>
      </w:r>
    </w:p>
    <w:p w14:paraId="5EFF4D63" w14:textId="0348C761" w:rsidR="003C6AE1" w:rsidRPr="008F6905" w:rsidRDefault="003C6AE1" w:rsidP="00237400">
      <w:pPr>
        <w:spacing w:after="0"/>
        <w:jc w:val="center"/>
        <w:rPr>
          <w:rFonts w:ascii="Times New Roman" w:hAnsi="Times New Roman" w:cs="Times New Roman"/>
          <w:sz w:val="20"/>
          <w:szCs w:val="20"/>
        </w:rPr>
      </w:pPr>
      <w:r w:rsidRPr="008F6905">
        <w:rPr>
          <w:rFonts w:ascii="Times New Roman" w:hAnsi="Times New Roman" w:cs="Times New Roman"/>
          <w:bCs/>
          <w:i/>
          <w:iCs/>
          <w:noProof/>
          <w:color w:val="000000"/>
        </w:rPr>
        <w:lastRenderedPageBreak/>
        <w:drawing>
          <wp:inline distT="0" distB="0" distL="0" distR="0" wp14:anchorId="1A1583BF" wp14:editId="53898A06">
            <wp:extent cx="4569103" cy="5895975"/>
            <wp:effectExtent l="0" t="0" r="3175" b="0"/>
            <wp:docPr id="1826749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2246" cy="5925839"/>
                    </a:xfrm>
                    <a:prstGeom prst="rect">
                      <a:avLst/>
                    </a:prstGeom>
                    <a:noFill/>
                    <a:ln>
                      <a:noFill/>
                    </a:ln>
                  </pic:spPr>
                </pic:pic>
              </a:graphicData>
            </a:graphic>
          </wp:inline>
        </w:drawing>
      </w:r>
    </w:p>
    <w:p w14:paraId="649E5488" w14:textId="5A353A85" w:rsidR="003C6AE1" w:rsidRPr="008F6905" w:rsidRDefault="003C6AE1" w:rsidP="00237400">
      <w:pPr>
        <w:jc w:val="center"/>
        <w:rPr>
          <w:rFonts w:ascii="Times New Roman" w:hAnsi="Times New Roman" w:cs="Times New Roman"/>
          <w:bCs/>
          <w:color w:val="000000"/>
        </w:rPr>
      </w:pPr>
      <w:r w:rsidRPr="008F6905">
        <w:rPr>
          <w:rFonts w:ascii="Times New Roman" w:hAnsi="Times New Roman" w:cs="Times New Roman"/>
          <w:bCs/>
          <w:i/>
          <w:iCs/>
          <w:color w:val="000000"/>
          <w:sz w:val="18"/>
          <w:szCs w:val="18"/>
        </w:rPr>
        <w:t xml:space="preserve">Figure </w:t>
      </w:r>
      <w:r w:rsidR="00BE1907" w:rsidRPr="008F6905">
        <w:rPr>
          <w:rFonts w:ascii="Times New Roman" w:hAnsi="Times New Roman" w:cs="Times New Roman"/>
          <w:bCs/>
          <w:i/>
          <w:iCs/>
          <w:color w:val="000000"/>
          <w:sz w:val="18"/>
          <w:szCs w:val="18"/>
        </w:rPr>
        <w:t>4</w:t>
      </w:r>
      <w:r w:rsidRPr="008F6905">
        <w:rPr>
          <w:rFonts w:ascii="Times New Roman" w:hAnsi="Times New Roman" w:cs="Times New Roman"/>
          <w:bCs/>
          <w:i/>
          <w:iCs/>
          <w:color w:val="000000"/>
          <w:sz w:val="18"/>
          <w:szCs w:val="18"/>
        </w:rPr>
        <w:t>: High-Level Software Stack Diagram</w:t>
      </w:r>
    </w:p>
    <w:p w14:paraId="39A9BDCF" w14:textId="582D4A9E" w:rsidR="00BE1907" w:rsidRPr="008F6905" w:rsidRDefault="00BE1907" w:rsidP="00237400">
      <w:pPr>
        <w:jc w:val="both"/>
        <w:rPr>
          <w:rFonts w:ascii="Times New Roman" w:hAnsi="Times New Roman" w:cs="Times New Roman"/>
          <w:sz w:val="20"/>
          <w:szCs w:val="20"/>
        </w:rPr>
      </w:pPr>
      <w:r w:rsidRPr="008F6905">
        <w:rPr>
          <w:rFonts w:ascii="Times New Roman" w:hAnsi="Times New Roman" w:cs="Times New Roman"/>
          <w:sz w:val="20"/>
          <w:szCs w:val="20"/>
        </w:rPr>
        <w:t>Fig. 4. High-Level Software Stack and Technology Layers. The platform technology stack organizes into five logical layers: Frontend Layer built with React UI framework providing user-facing interfaces (SQL Query UI, PDF Chat UI, ATS UI, Research UI, Auth Pages) coordinated through a central Dashboard; API Layer implementing Express API Gateway for request routing, authentication, and rate limiting; Service Layer comprising six independent microservices (File Service, PDF Service, ATS Service, SQL Service, Research Service, Auth Service) each exposing RESTful APIs; Business Logic Layer containing specialized AI engines (PDF Processor, GraphRAG Engine, Agentic RAG System, NL-to-SQL Processor, Research Agents) and Vector Search Engine; and foundational Data and AI Services Layer providing Custom File Storage, Custom PostgreSQL databases, Custom Redis Cache (8GB), Custom Vector Store for embeddings, Custom Embedding Model, Custom LLM Model, and Fine-Tuned Domain Models. This stack enables independent technology choices per component while maintaining system coherence.</w:t>
      </w:r>
    </w:p>
    <w:p w14:paraId="38EB7477" w14:textId="4712DCB4"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PostgreSQL database runs in a high-availability configuration with one primary and two synchronous replicas. Automatic failover using Patroni ensures continued availability during primary failures. Connection pooling through PgBouncer reduces connection overhead and manages connection limits. Database backups run continuously through write-ahead log archiving to object storage, with point-in-time recovery capability.</w:t>
      </w:r>
    </w:p>
    <w:p w14:paraId="400CDB67" w14:textId="4849C59A" w:rsidR="005213E3" w:rsidRPr="008F6905" w:rsidRDefault="005213E3" w:rsidP="00237400">
      <w:pPr>
        <w:spacing w:after="0"/>
        <w:jc w:val="center"/>
        <w:rPr>
          <w:rFonts w:ascii="Times New Roman" w:hAnsi="Times New Roman" w:cs="Times New Roman"/>
          <w:sz w:val="20"/>
          <w:szCs w:val="20"/>
        </w:rPr>
      </w:pPr>
      <w:r w:rsidRPr="008F6905">
        <w:rPr>
          <w:rFonts w:ascii="Times New Roman" w:hAnsi="Times New Roman" w:cs="Times New Roman"/>
          <w:bCs/>
          <w:noProof/>
          <w:color w:val="000000"/>
        </w:rPr>
        <w:lastRenderedPageBreak/>
        <w:drawing>
          <wp:inline distT="0" distB="0" distL="0" distR="0" wp14:anchorId="512E6DDA" wp14:editId="10D73E10">
            <wp:extent cx="4371975" cy="3497580"/>
            <wp:effectExtent l="0" t="0" r="9525" b="7620"/>
            <wp:docPr id="1776928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71975" cy="3497580"/>
                    </a:xfrm>
                    <a:prstGeom prst="rect">
                      <a:avLst/>
                    </a:prstGeom>
                    <a:noFill/>
                    <a:ln>
                      <a:noFill/>
                    </a:ln>
                  </pic:spPr>
                </pic:pic>
              </a:graphicData>
            </a:graphic>
          </wp:inline>
        </w:drawing>
      </w:r>
    </w:p>
    <w:p w14:paraId="78B75B70" w14:textId="2B38B5C6" w:rsidR="005213E3" w:rsidRPr="008F6905" w:rsidRDefault="005213E3" w:rsidP="00237400">
      <w:pPr>
        <w:spacing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Figure </w:t>
      </w:r>
      <w:r w:rsidR="00951192" w:rsidRPr="008F6905">
        <w:rPr>
          <w:rFonts w:ascii="Times New Roman" w:hAnsi="Times New Roman" w:cs="Times New Roman"/>
          <w:bCs/>
          <w:i/>
          <w:iCs/>
          <w:color w:val="000000"/>
          <w:sz w:val="18"/>
          <w:szCs w:val="18"/>
        </w:rPr>
        <w:t>5</w:t>
      </w:r>
      <w:r w:rsidRPr="008F6905">
        <w:rPr>
          <w:rFonts w:ascii="Times New Roman" w:hAnsi="Times New Roman" w:cs="Times New Roman"/>
          <w:bCs/>
          <w:i/>
          <w:iCs/>
          <w:color w:val="000000"/>
          <w:sz w:val="18"/>
          <w:szCs w:val="18"/>
        </w:rPr>
        <w:t>: System Architecture Block Diagram</w:t>
      </w:r>
    </w:p>
    <w:p w14:paraId="1F9BFB19" w14:textId="27F2CD5C" w:rsidR="00951192" w:rsidRPr="008F6905" w:rsidRDefault="00951192" w:rsidP="00237400">
      <w:pPr>
        <w:jc w:val="both"/>
        <w:rPr>
          <w:rFonts w:ascii="Times New Roman" w:hAnsi="Times New Roman" w:cs="Times New Roman"/>
          <w:sz w:val="20"/>
          <w:szCs w:val="20"/>
        </w:rPr>
      </w:pPr>
      <w:r w:rsidRPr="008F6905">
        <w:rPr>
          <w:rFonts w:ascii="Times New Roman" w:hAnsi="Times New Roman" w:cs="Times New Roman"/>
          <w:sz w:val="20"/>
          <w:szCs w:val="20"/>
        </w:rPr>
        <w:t>Fig. 5. Production Deployment Architecture. The system deploys across seven layers from client access through CDN/edge caching, load-balanced application servers, comprehensive monitoring infrastructure, independent microservices, distributed data tier with replication and caching, to persistent storage with backup capabilities. This architecture achieves 99.7% uptime through redundancy at every layer.</w:t>
      </w:r>
    </w:p>
    <w:p w14:paraId="57E39F7E" w14:textId="569F5443" w:rsidR="000D4A38" w:rsidRPr="008F6905" w:rsidRDefault="007071F5" w:rsidP="008F6905">
      <w:pPr>
        <w:jc w:val="both"/>
        <w:rPr>
          <w:rFonts w:ascii="Times New Roman" w:hAnsi="Times New Roman" w:cs="Times New Roman"/>
          <w:sz w:val="20"/>
          <w:szCs w:val="20"/>
        </w:rPr>
      </w:pPr>
      <w:r w:rsidRPr="008F6905">
        <w:rPr>
          <w:rFonts w:ascii="Times New Roman" w:hAnsi="Times New Roman" w:cs="Times New Roman"/>
          <w:sz w:val="20"/>
          <w:szCs w:val="20"/>
        </w:rPr>
        <w:t>The custom vector database distributes across multiple nodes for horizontal scalability. Index sharding partitions embeddings across shards by document collection, enabling parallel search across shards with result merging. Each shard replicates to two secondary nodes for fault tolerance. Index updates employ write-ahead logging ensuring consistency during concurrent modifications.</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Model serving utilizes NVIDIA Triton Inference Server with TensorRT-optimized models. Dynamic batching aggregates concurrent requests for improved GPU utilization. Model instances scale based on request load, with autoscaling policies adding GPU pods during high demand. A/B testing infrastructure routes configurable traffic </w:t>
      </w:r>
      <w:r w:rsidR="00D13ECA">
        <w:rPr>
          <w:rFonts w:ascii="Times New Roman" w:hAnsi="Times New Roman" w:cs="Times New Roman"/>
          <w:sz w:val="20"/>
          <w:szCs w:val="20"/>
        </w:rPr>
        <w:t>%</w:t>
      </w:r>
      <w:r w:rsidRPr="008F6905">
        <w:rPr>
          <w:rFonts w:ascii="Times New Roman" w:hAnsi="Times New Roman" w:cs="Times New Roman"/>
          <w:sz w:val="20"/>
          <w:szCs w:val="20"/>
        </w:rPr>
        <w:t>ages to different model versions, enabling careful validation of updates.</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Monitoring and observability employ Prometheus for metrics collection, Grafana for visualization and dashboards, the ELK stack for log aggregation and analysis, and Jaeger for distributed tracing across services. Alerting rules notify operators of anomalies including elevated error rates, increased latencies, resource exhaustion, and model accuracy degradation.</w:t>
      </w:r>
    </w:p>
    <w:p w14:paraId="5B8DD0F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IV. EXPERIMENTAL RESULTS</w:t>
      </w:r>
    </w:p>
    <w:p w14:paraId="2BC717CA" w14:textId="5BCA1039" w:rsidR="007071F5" w:rsidRPr="008F6905" w:rsidRDefault="007071F5" w:rsidP="000D4A38">
      <w:pPr>
        <w:jc w:val="both"/>
        <w:rPr>
          <w:rFonts w:ascii="Times New Roman" w:hAnsi="Times New Roman" w:cs="Times New Roman"/>
          <w:sz w:val="20"/>
          <w:szCs w:val="20"/>
        </w:rPr>
      </w:pPr>
      <w:r w:rsidRPr="008F6905">
        <w:rPr>
          <w:rFonts w:ascii="Times New Roman" w:hAnsi="Times New Roman" w:cs="Times New Roman"/>
          <w:sz w:val="20"/>
          <w:szCs w:val="20"/>
        </w:rPr>
        <w:t>We evaluate our GenAI platform across multiple dimensions including model performance on specialized tasks, system performance characteristics, and user study findings from alpha testing.</w:t>
      </w:r>
    </w:p>
    <w:p w14:paraId="3353A656" w14:textId="3B62ED35" w:rsidR="000D4A38" w:rsidRPr="008F6905" w:rsidRDefault="000D4A38" w:rsidP="000D4A38">
      <w:pPr>
        <w:spacing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III</w:t>
      </w:r>
      <w:r w:rsidRPr="008F6905">
        <w:rPr>
          <w:rFonts w:ascii="Times New Roman" w:hAnsi="Times New Roman" w:cs="Times New Roman"/>
          <w:bCs/>
          <w:i/>
          <w:iCs/>
          <w:color w:val="000000"/>
          <w:sz w:val="18"/>
          <w:szCs w:val="18"/>
        </w:rPr>
        <w:t>: Benchmark Accuracy Across Tasks</w:t>
      </w:r>
    </w:p>
    <w:tbl>
      <w:tblPr>
        <w:tblStyle w:val="TableGrid"/>
        <w:tblW w:w="5000" w:type="pct"/>
        <w:tblLook w:val="04A0" w:firstRow="1" w:lastRow="0" w:firstColumn="1" w:lastColumn="0" w:noHBand="0" w:noVBand="1"/>
      </w:tblPr>
      <w:tblGrid>
        <w:gridCol w:w="2497"/>
        <w:gridCol w:w="2026"/>
        <w:gridCol w:w="1173"/>
        <w:gridCol w:w="1152"/>
        <w:gridCol w:w="2168"/>
      </w:tblGrid>
      <w:tr w:rsidR="000D4A38" w:rsidRPr="000D4A38" w14:paraId="41895C28" w14:textId="77777777" w:rsidTr="000D4A38">
        <w:tc>
          <w:tcPr>
            <w:tcW w:w="0" w:type="auto"/>
            <w:hideMark/>
          </w:tcPr>
          <w:p w14:paraId="5A766787"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Task</w:t>
            </w:r>
          </w:p>
        </w:tc>
        <w:tc>
          <w:tcPr>
            <w:tcW w:w="0" w:type="auto"/>
            <w:hideMark/>
          </w:tcPr>
          <w:p w14:paraId="0B6E94CA"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Dataset</w:t>
            </w:r>
          </w:p>
        </w:tc>
        <w:tc>
          <w:tcPr>
            <w:tcW w:w="0" w:type="auto"/>
            <w:hideMark/>
          </w:tcPr>
          <w:p w14:paraId="2C4ECEB1"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SOTA</w:t>
            </w:r>
          </w:p>
        </w:tc>
        <w:tc>
          <w:tcPr>
            <w:tcW w:w="0" w:type="auto"/>
            <w:hideMark/>
          </w:tcPr>
          <w:p w14:paraId="665C36D0"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Ours</w:t>
            </w:r>
          </w:p>
        </w:tc>
        <w:tc>
          <w:tcPr>
            <w:tcW w:w="0" w:type="auto"/>
            <w:hideMark/>
          </w:tcPr>
          <w:p w14:paraId="7AAFB395"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Improvement</w:t>
            </w:r>
          </w:p>
        </w:tc>
      </w:tr>
      <w:tr w:rsidR="000D4A38" w:rsidRPr="000D4A38" w14:paraId="364BCB0F" w14:textId="77777777" w:rsidTr="000D4A38">
        <w:tc>
          <w:tcPr>
            <w:tcW w:w="0" w:type="auto"/>
            <w:hideMark/>
          </w:tcPr>
          <w:p w14:paraId="4DA13C47"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QA Retrieval</w:t>
            </w:r>
          </w:p>
        </w:tc>
        <w:tc>
          <w:tcPr>
            <w:tcW w:w="0" w:type="auto"/>
            <w:hideMark/>
          </w:tcPr>
          <w:p w14:paraId="3D925027"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MS MARCO</w:t>
            </w:r>
          </w:p>
        </w:tc>
        <w:tc>
          <w:tcPr>
            <w:tcW w:w="0" w:type="auto"/>
            <w:hideMark/>
          </w:tcPr>
          <w:p w14:paraId="3119B246"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76.2%</w:t>
            </w:r>
          </w:p>
        </w:tc>
        <w:tc>
          <w:tcPr>
            <w:tcW w:w="0" w:type="auto"/>
            <w:hideMark/>
          </w:tcPr>
          <w:p w14:paraId="41D8F38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84.7%</w:t>
            </w:r>
          </w:p>
        </w:tc>
        <w:tc>
          <w:tcPr>
            <w:tcW w:w="0" w:type="auto"/>
            <w:hideMark/>
          </w:tcPr>
          <w:p w14:paraId="3B047D6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+11.2%</w:t>
            </w:r>
            <w:r w:rsidRPr="000D4A38">
              <w:rPr>
                <w:rFonts w:ascii="Segoe UI Symbol" w:hAnsi="Segoe UI Symbol" w:cs="Segoe UI Symbol"/>
                <w:sz w:val="20"/>
                <w:szCs w:val="20"/>
              </w:rPr>
              <w:t>✓</w:t>
            </w:r>
          </w:p>
        </w:tc>
      </w:tr>
      <w:tr w:rsidR="000D4A38" w:rsidRPr="000D4A38" w14:paraId="522B83D1" w14:textId="77777777" w:rsidTr="000D4A38">
        <w:tc>
          <w:tcPr>
            <w:tcW w:w="0" w:type="auto"/>
            <w:hideMark/>
          </w:tcPr>
          <w:p w14:paraId="14B9D4D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Entity Extraction</w:t>
            </w:r>
          </w:p>
        </w:tc>
        <w:tc>
          <w:tcPr>
            <w:tcW w:w="0" w:type="auto"/>
            <w:hideMark/>
          </w:tcPr>
          <w:p w14:paraId="3827268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CoNLL 2003</w:t>
            </w:r>
          </w:p>
        </w:tc>
        <w:tc>
          <w:tcPr>
            <w:tcW w:w="0" w:type="auto"/>
            <w:hideMark/>
          </w:tcPr>
          <w:p w14:paraId="50FCFA0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89.1%</w:t>
            </w:r>
          </w:p>
        </w:tc>
        <w:tc>
          <w:tcPr>
            <w:tcW w:w="0" w:type="auto"/>
            <w:hideMark/>
          </w:tcPr>
          <w:p w14:paraId="140FDBB9"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91.3%</w:t>
            </w:r>
          </w:p>
        </w:tc>
        <w:tc>
          <w:tcPr>
            <w:tcW w:w="0" w:type="auto"/>
            <w:hideMark/>
          </w:tcPr>
          <w:p w14:paraId="3F6CF623"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+2.5%</w:t>
            </w:r>
            <w:r w:rsidRPr="000D4A38">
              <w:rPr>
                <w:rFonts w:ascii="Segoe UI Symbol" w:hAnsi="Segoe UI Symbol" w:cs="Segoe UI Symbol"/>
                <w:sz w:val="20"/>
                <w:szCs w:val="20"/>
              </w:rPr>
              <w:t>✓</w:t>
            </w:r>
          </w:p>
        </w:tc>
      </w:tr>
      <w:tr w:rsidR="000D4A38" w:rsidRPr="000D4A38" w14:paraId="5B83D773" w14:textId="77777777" w:rsidTr="000D4A38">
        <w:tc>
          <w:tcPr>
            <w:tcW w:w="0" w:type="auto"/>
            <w:hideMark/>
          </w:tcPr>
          <w:p w14:paraId="6A6CC05D"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Text-to-SQL</w:t>
            </w:r>
          </w:p>
        </w:tc>
        <w:tc>
          <w:tcPr>
            <w:tcW w:w="0" w:type="auto"/>
            <w:hideMark/>
          </w:tcPr>
          <w:p w14:paraId="691CAF03"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Spider</w:t>
            </w:r>
          </w:p>
        </w:tc>
        <w:tc>
          <w:tcPr>
            <w:tcW w:w="0" w:type="auto"/>
            <w:hideMark/>
          </w:tcPr>
          <w:p w14:paraId="0C72F044"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89.7%</w:t>
            </w:r>
          </w:p>
        </w:tc>
        <w:tc>
          <w:tcPr>
            <w:tcW w:w="0" w:type="auto"/>
            <w:hideMark/>
          </w:tcPr>
          <w:p w14:paraId="307822F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94.2%</w:t>
            </w:r>
          </w:p>
        </w:tc>
        <w:tc>
          <w:tcPr>
            <w:tcW w:w="0" w:type="auto"/>
            <w:hideMark/>
          </w:tcPr>
          <w:p w14:paraId="0BE140E9"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+5.0%</w:t>
            </w:r>
            <w:r w:rsidRPr="000D4A38">
              <w:rPr>
                <w:rFonts w:ascii="Segoe UI Symbol" w:hAnsi="Segoe UI Symbol" w:cs="Segoe UI Symbol"/>
                <w:sz w:val="20"/>
                <w:szCs w:val="20"/>
              </w:rPr>
              <w:t>✓</w:t>
            </w:r>
          </w:p>
        </w:tc>
      </w:tr>
      <w:tr w:rsidR="000D4A38" w:rsidRPr="000D4A38" w14:paraId="10111B88" w14:textId="77777777" w:rsidTr="000D4A38">
        <w:tc>
          <w:tcPr>
            <w:tcW w:w="0" w:type="auto"/>
            <w:hideMark/>
          </w:tcPr>
          <w:p w14:paraId="6BED487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Fact Verification</w:t>
            </w:r>
          </w:p>
        </w:tc>
        <w:tc>
          <w:tcPr>
            <w:tcW w:w="0" w:type="auto"/>
            <w:hideMark/>
          </w:tcPr>
          <w:p w14:paraId="090105F3"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FEVER</w:t>
            </w:r>
          </w:p>
        </w:tc>
        <w:tc>
          <w:tcPr>
            <w:tcW w:w="0" w:type="auto"/>
            <w:hideMark/>
          </w:tcPr>
          <w:p w14:paraId="074DE82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92.3%</w:t>
            </w:r>
          </w:p>
        </w:tc>
        <w:tc>
          <w:tcPr>
            <w:tcW w:w="0" w:type="auto"/>
            <w:hideMark/>
          </w:tcPr>
          <w:p w14:paraId="52D03F2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97.8%</w:t>
            </w:r>
          </w:p>
        </w:tc>
        <w:tc>
          <w:tcPr>
            <w:tcW w:w="0" w:type="auto"/>
            <w:hideMark/>
          </w:tcPr>
          <w:p w14:paraId="1A141909"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+6.0%</w:t>
            </w:r>
            <w:r w:rsidRPr="000D4A38">
              <w:rPr>
                <w:rFonts w:ascii="Segoe UI Symbol" w:hAnsi="Segoe UI Symbol" w:cs="Segoe UI Symbol"/>
                <w:sz w:val="20"/>
                <w:szCs w:val="20"/>
              </w:rPr>
              <w:t>✓</w:t>
            </w:r>
          </w:p>
        </w:tc>
      </w:tr>
    </w:tbl>
    <w:p w14:paraId="56A32122" w14:textId="77777777" w:rsidR="000D4A38" w:rsidRPr="008F6905" w:rsidRDefault="000D4A38" w:rsidP="000D4A38">
      <w:pPr>
        <w:jc w:val="both"/>
        <w:rPr>
          <w:rFonts w:ascii="Times New Roman" w:hAnsi="Times New Roman" w:cs="Times New Roman"/>
          <w:sz w:val="20"/>
          <w:szCs w:val="20"/>
        </w:rPr>
      </w:pPr>
    </w:p>
    <w:p w14:paraId="0B82536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lastRenderedPageBreak/>
        <w:t>A. Multi-PDF Chat Evaluation</w:t>
      </w:r>
    </w:p>
    <w:p w14:paraId="21C7379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A.1 Dataset and Metrics</w:t>
      </w:r>
    </w:p>
    <w:p w14:paraId="72AB8DA4"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We evaluate document question answering on two datasets. First, MultiDoc QA comprises 500 questions over collections of 5 to 20 related technical documents spanning topics in machine learning, software engineering, and business. Questions require information synthesis across multiple documents. Ground truth answers were authored by domain experts with access to the full document set. Second, GraphQA contains 300 questions specifically designed to require multi-hop reasoning through entity relationships, such as "What methodology did the author of Paper A, who works at Institution B, propose for problem C?" These questions explicitly test knowledge graph utilization.</w:t>
      </w:r>
    </w:p>
    <w:p w14:paraId="3A65AFDC"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We assess performance using exact match accuracy comparing predicted answers to ground truth, F1 score measuring token-level overlap between predictions and references, BLEU score assessing n-gram overlap, and human evaluation by domain experts rating answer quality on a 1 to 5 scale across dimensions of factual accuracy, completeness, and relevance.</w:t>
      </w:r>
    </w:p>
    <w:p w14:paraId="6A18585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A.2 Results</w:t>
      </w:r>
    </w:p>
    <w:p w14:paraId="226AD213" w14:textId="1317E900" w:rsidR="00196AFE" w:rsidRPr="008F6905" w:rsidRDefault="00196AFE" w:rsidP="00196AFE">
      <w:pPr>
        <w:spacing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IV</w:t>
      </w:r>
      <w:r w:rsidRPr="008F6905">
        <w:rPr>
          <w:rFonts w:ascii="Times New Roman" w:hAnsi="Times New Roman" w:cs="Times New Roman"/>
          <w:bCs/>
          <w:i/>
          <w:iCs/>
          <w:color w:val="000000"/>
          <w:sz w:val="18"/>
          <w:szCs w:val="18"/>
        </w:rPr>
        <w:t xml:space="preserve">: </w:t>
      </w:r>
      <w:r w:rsidR="000D4A38" w:rsidRPr="008F6905">
        <w:rPr>
          <w:rFonts w:ascii="Times New Roman" w:hAnsi="Times New Roman" w:cs="Times New Roman"/>
          <w:bCs/>
          <w:i/>
          <w:iCs/>
          <w:color w:val="000000"/>
          <w:sz w:val="18"/>
          <w:szCs w:val="18"/>
        </w:rPr>
        <w:t>Ablation Study for GraphRAG</w:t>
      </w:r>
    </w:p>
    <w:tbl>
      <w:tblPr>
        <w:tblStyle w:val="TableGrid"/>
        <w:tblW w:w="5000" w:type="pct"/>
        <w:tblLook w:val="04A0" w:firstRow="1" w:lastRow="0" w:firstColumn="1" w:lastColumn="0" w:noHBand="0" w:noVBand="1"/>
      </w:tblPr>
      <w:tblGrid>
        <w:gridCol w:w="3772"/>
        <w:gridCol w:w="1973"/>
        <w:gridCol w:w="1614"/>
        <w:gridCol w:w="1657"/>
      </w:tblGrid>
      <w:tr w:rsidR="00196AFE" w:rsidRPr="00196AFE" w14:paraId="657879FE" w14:textId="77777777" w:rsidTr="00196AFE">
        <w:tc>
          <w:tcPr>
            <w:tcW w:w="0" w:type="auto"/>
            <w:hideMark/>
          </w:tcPr>
          <w:p w14:paraId="2F233E0A"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Configuration</w:t>
            </w:r>
          </w:p>
        </w:tc>
        <w:tc>
          <w:tcPr>
            <w:tcW w:w="0" w:type="auto"/>
            <w:hideMark/>
          </w:tcPr>
          <w:p w14:paraId="760FC53E"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Precision@10</w:t>
            </w:r>
          </w:p>
        </w:tc>
        <w:tc>
          <w:tcPr>
            <w:tcW w:w="0" w:type="auto"/>
            <w:hideMark/>
          </w:tcPr>
          <w:p w14:paraId="560EE3E4"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Recall@10</w:t>
            </w:r>
          </w:p>
        </w:tc>
        <w:tc>
          <w:tcPr>
            <w:tcW w:w="0" w:type="auto"/>
            <w:hideMark/>
          </w:tcPr>
          <w:p w14:paraId="14499226"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Latency (s)</w:t>
            </w:r>
          </w:p>
        </w:tc>
      </w:tr>
      <w:tr w:rsidR="00196AFE" w:rsidRPr="00196AFE" w14:paraId="1BA61A28" w14:textId="77777777" w:rsidTr="00196AFE">
        <w:tc>
          <w:tcPr>
            <w:tcW w:w="0" w:type="auto"/>
            <w:hideMark/>
          </w:tcPr>
          <w:p w14:paraId="59ECFC55"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Full System (Ours)</w:t>
            </w:r>
          </w:p>
        </w:tc>
        <w:tc>
          <w:tcPr>
            <w:tcW w:w="0" w:type="auto"/>
            <w:hideMark/>
          </w:tcPr>
          <w:p w14:paraId="73993AC4"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84.7%</w:t>
            </w:r>
          </w:p>
        </w:tc>
        <w:tc>
          <w:tcPr>
            <w:tcW w:w="0" w:type="auto"/>
            <w:hideMark/>
          </w:tcPr>
          <w:p w14:paraId="58707500"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78.3%</w:t>
            </w:r>
          </w:p>
        </w:tc>
        <w:tc>
          <w:tcPr>
            <w:tcW w:w="0" w:type="auto"/>
            <w:hideMark/>
          </w:tcPr>
          <w:p w14:paraId="6D456E51"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1.84</w:t>
            </w:r>
          </w:p>
        </w:tc>
      </w:tr>
      <w:tr w:rsidR="00196AFE" w:rsidRPr="00196AFE" w14:paraId="45724E02" w14:textId="77777777" w:rsidTr="00196AFE">
        <w:tc>
          <w:tcPr>
            <w:tcW w:w="0" w:type="auto"/>
            <w:hideMark/>
          </w:tcPr>
          <w:p w14:paraId="4E462667"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w/o Knowledge Graph</w:t>
            </w:r>
          </w:p>
        </w:tc>
        <w:tc>
          <w:tcPr>
            <w:tcW w:w="0" w:type="auto"/>
            <w:hideMark/>
          </w:tcPr>
          <w:p w14:paraId="743C2E42"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72.3%</w:t>
            </w:r>
          </w:p>
        </w:tc>
        <w:tc>
          <w:tcPr>
            <w:tcW w:w="0" w:type="auto"/>
            <w:hideMark/>
          </w:tcPr>
          <w:p w14:paraId="43C788F2"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68.1%</w:t>
            </w:r>
          </w:p>
        </w:tc>
        <w:tc>
          <w:tcPr>
            <w:tcW w:w="0" w:type="auto"/>
            <w:hideMark/>
          </w:tcPr>
          <w:p w14:paraId="58DD8634"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1.12</w:t>
            </w:r>
          </w:p>
        </w:tc>
      </w:tr>
      <w:tr w:rsidR="00196AFE" w:rsidRPr="00196AFE" w14:paraId="01E37487" w14:textId="77777777" w:rsidTr="00196AFE">
        <w:tc>
          <w:tcPr>
            <w:tcW w:w="0" w:type="auto"/>
            <w:hideMark/>
          </w:tcPr>
          <w:p w14:paraId="4D2789C1"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w/o Entity Extraction</w:t>
            </w:r>
          </w:p>
        </w:tc>
        <w:tc>
          <w:tcPr>
            <w:tcW w:w="0" w:type="auto"/>
            <w:hideMark/>
          </w:tcPr>
          <w:p w14:paraId="00DC8197"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68.9%</w:t>
            </w:r>
          </w:p>
        </w:tc>
        <w:tc>
          <w:tcPr>
            <w:tcW w:w="0" w:type="auto"/>
            <w:hideMark/>
          </w:tcPr>
          <w:p w14:paraId="2664347B"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64.7%</w:t>
            </w:r>
          </w:p>
        </w:tc>
        <w:tc>
          <w:tcPr>
            <w:tcW w:w="0" w:type="auto"/>
            <w:hideMark/>
          </w:tcPr>
          <w:p w14:paraId="6D3E161E"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1.34</w:t>
            </w:r>
          </w:p>
        </w:tc>
      </w:tr>
      <w:tr w:rsidR="00196AFE" w:rsidRPr="00196AFE" w14:paraId="352730C7" w14:textId="77777777" w:rsidTr="00196AFE">
        <w:tc>
          <w:tcPr>
            <w:tcW w:w="0" w:type="auto"/>
            <w:hideMark/>
          </w:tcPr>
          <w:p w14:paraId="0DF9FF0A"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w/o Relationship Extraction</w:t>
            </w:r>
          </w:p>
        </w:tc>
        <w:tc>
          <w:tcPr>
            <w:tcW w:w="0" w:type="auto"/>
            <w:hideMark/>
          </w:tcPr>
          <w:p w14:paraId="4AB9EB9D"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75.1%</w:t>
            </w:r>
          </w:p>
        </w:tc>
        <w:tc>
          <w:tcPr>
            <w:tcW w:w="0" w:type="auto"/>
            <w:hideMark/>
          </w:tcPr>
          <w:p w14:paraId="5990D3BB"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70.2%</w:t>
            </w:r>
          </w:p>
        </w:tc>
        <w:tc>
          <w:tcPr>
            <w:tcW w:w="0" w:type="auto"/>
            <w:hideMark/>
          </w:tcPr>
          <w:p w14:paraId="241783C7"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1.45</w:t>
            </w:r>
          </w:p>
        </w:tc>
      </w:tr>
      <w:tr w:rsidR="00196AFE" w:rsidRPr="00196AFE" w14:paraId="61400B67" w14:textId="77777777" w:rsidTr="00196AFE">
        <w:tc>
          <w:tcPr>
            <w:tcW w:w="0" w:type="auto"/>
            <w:hideMark/>
          </w:tcPr>
          <w:p w14:paraId="3B8700B5"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w/o Graph-based Re-ranking</w:t>
            </w:r>
          </w:p>
        </w:tc>
        <w:tc>
          <w:tcPr>
            <w:tcW w:w="0" w:type="auto"/>
            <w:hideMark/>
          </w:tcPr>
          <w:p w14:paraId="4533055B"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79.2%</w:t>
            </w:r>
          </w:p>
        </w:tc>
        <w:tc>
          <w:tcPr>
            <w:tcW w:w="0" w:type="auto"/>
            <w:hideMark/>
          </w:tcPr>
          <w:p w14:paraId="51615996"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74.6%</w:t>
            </w:r>
          </w:p>
        </w:tc>
        <w:tc>
          <w:tcPr>
            <w:tcW w:w="0" w:type="auto"/>
            <w:hideMark/>
          </w:tcPr>
          <w:p w14:paraId="1EB6AE0E"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1.67</w:t>
            </w:r>
          </w:p>
        </w:tc>
      </w:tr>
      <w:tr w:rsidR="00196AFE" w:rsidRPr="00196AFE" w14:paraId="02C960AC" w14:textId="77777777" w:rsidTr="00196AFE">
        <w:tc>
          <w:tcPr>
            <w:tcW w:w="0" w:type="auto"/>
            <w:hideMark/>
          </w:tcPr>
          <w:p w14:paraId="710250B9"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Vector Search Only (Baseline)</w:t>
            </w:r>
          </w:p>
        </w:tc>
        <w:tc>
          <w:tcPr>
            <w:tcW w:w="0" w:type="auto"/>
            <w:hideMark/>
          </w:tcPr>
          <w:p w14:paraId="00DFAF0A"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61.2%</w:t>
            </w:r>
          </w:p>
        </w:tc>
        <w:tc>
          <w:tcPr>
            <w:tcW w:w="0" w:type="auto"/>
            <w:hideMark/>
          </w:tcPr>
          <w:p w14:paraId="204AC06B"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59.1%</w:t>
            </w:r>
          </w:p>
        </w:tc>
        <w:tc>
          <w:tcPr>
            <w:tcW w:w="0" w:type="auto"/>
            <w:hideMark/>
          </w:tcPr>
          <w:p w14:paraId="6EC47BAC"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1.12</w:t>
            </w:r>
          </w:p>
        </w:tc>
      </w:tr>
      <w:tr w:rsidR="00196AFE" w:rsidRPr="00196AFE" w14:paraId="7F5C2893" w14:textId="77777777" w:rsidTr="00196AFE">
        <w:tc>
          <w:tcPr>
            <w:tcW w:w="0" w:type="auto"/>
            <w:hideMark/>
          </w:tcPr>
          <w:p w14:paraId="028E6700"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Graph Traversal Only</w:t>
            </w:r>
          </w:p>
        </w:tc>
        <w:tc>
          <w:tcPr>
            <w:tcW w:w="0" w:type="auto"/>
            <w:hideMark/>
          </w:tcPr>
          <w:p w14:paraId="2C122D8A"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58.7%</w:t>
            </w:r>
          </w:p>
        </w:tc>
        <w:tc>
          <w:tcPr>
            <w:tcW w:w="0" w:type="auto"/>
            <w:hideMark/>
          </w:tcPr>
          <w:p w14:paraId="5069DCFF"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72.4%</w:t>
            </w:r>
          </w:p>
        </w:tc>
        <w:tc>
          <w:tcPr>
            <w:tcW w:w="0" w:type="auto"/>
            <w:hideMark/>
          </w:tcPr>
          <w:p w14:paraId="084FFAFB" w14:textId="77777777" w:rsidR="00196AFE" w:rsidRPr="002957C9" w:rsidRDefault="00196AFE" w:rsidP="00196AFE">
            <w:pPr>
              <w:spacing w:after="160" w:line="259" w:lineRule="auto"/>
              <w:jc w:val="both"/>
              <w:rPr>
                <w:rFonts w:ascii="Times New Roman" w:hAnsi="Times New Roman" w:cs="Times New Roman"/>
                <w:sz w:val="20"/>
                <w:szCs w:val="20"/>
              </w:rPr>
            </w:pPr>
            <w:r w:rsidRPr="002957C9">
              <w:rPr>
                <w:rFonts w:ascii="Times New Roman" w:hAnsi="Times New Roman" w:cs="Times New Roman"/>
                <w:sz w:val="20"/>
                <w:szCs w:val="20"/>
              </w:rPr>
              <w:t>2.34</w:t>
            </w:r>
          </w:p>
        </w:tc>
      </w:tr>
    </w:tbl>
    <w:p w14:paraId="2E072730" w14:textId="77777777" w:rsidR="00196AFE" w:rsidRPr="008F6905" w:rsidRDefault="00196AFE" w:rsidP="00237400">
      <w:pPr>
        <w:jc w:val="both"/>
        <w:rPr>
          <w:rFonts w:ascii="Times New Roman" w:hAnsi="Times New Roman" w:cs="Times New Roman"/>
          <w:b/>
          <w:bCs/>
          <w:sz w:val="20"/>
          <w:szCs w:val="20"/>
        </w:rPr>
      </w:pPr>
    </w:p>
    <w:p w14:paraId="4552C374" w14:textId="4F580728" w:rsidR="00AF6B6E" w:rsidRPr="008F6905" w:rsidRDefault="00AF6B6E"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On MultiDoc QA, our GraphRAG-enhanced system achieves 78.2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exact match accuracy, 86.4 F1 score, 72.1 BLEU score, and 4.3 out of 5 human rating. Compared to a vector-only baseline using the same language model but without knowledge graph context, we observe relative improvements of 23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exact match, 18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F1, 28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BLEU, and 0.8 points on human rating. These results demonstrate substantial benefits from knowledge graph integration</w:t>
      </w:r>
      <w:r w:rsidR="002D684F">
        <w:rPr>
          <w:rFonts w:ascii="Times New Roman" w:hAnsi="Times New Roman" w:cs="Times New Roman"/>
          <w:sz w:val="20"/>
          <w:szCs w:val="20"/>
        </w:rPr>
        <w:t>[4]</w:t>
      </w:r>
      <w:r w:rsidRPr="008F6905">
        <w:rPr>
          <w:rFonts w:ascii="Times New Roman" w:hAnsi="Times New Roman" w:cs="Times New Roman"/>
          <w:sz w:val="20"/>
          <w:szCs w:val="20"/>
        </w:rPr>
        <w:t>.</w:t>
      </w:r>
    </w:p>
    <w:p w14:paraId="752DD82E" w14:textId="5FC0C117" w:rsidR="00237400" w:rsidRPr="008F6905" w:rsidRDefault="00237400" w:rsidP="00AF6B6E">
      <w:pPr>
        <w:spacing w:after="0"/>
        <w:jc w:val="center"/>
        <w:rPr>
          <w:rFonts w:ascii="Times New Roman" w:hAnsi="Times New Roman" w:cs="Times New Roman"/>
          <w:b/>
          <w:bCs/>
          <w:sz w:val="20"/>
          <w:szCs w:val="20"/>
        </w:rPr>
      </w:pPr>
      <w:r w:rsidRPr="008F6905">
        <w:rPr>
          <w:rFonts w:ascii="Times New Roman" w:hAnsi="Times New Roman" w:cs="Times New Roman"/>
          <w:b/>
          <w:bCs/>
          <w:noProof/>
          <w:sz w:val="20"/>
          <w:szCs w:val="20"/>
        </w:rPr>
        <w:lastRenderedPageBreak/>
        <w:drawing>
          <wp:inline distT="0" distB="0" distL="0" distR="0" wp14:anchorId="52DBC466" wp14:editId="274267BE">
            <wp:extent cx="5050336" cy="4195637"/>
            <wp:effectExtent l="0" t="0" r="0" b="0"/>
            <wp:docPr id="171023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8311" cy="4202262"/>
                    </a:xfrm>
                    <a:prstGeom prst="rect">
                      <a:avLst/>
                    </a:prstGeom>
                    <a:noFill/>
                    <a:ln>
                      <a:noFill/>
                    </a:ln>
                  </pic:spPr>
                </pic:pic>
              </a:graphicData>
            </a:graphic>
          </wp:inline>
        </w:drawing>
      </w:r>
    </w:p>
    <w:p w14:paraId="77018C6E" w14:textId="1D70A389" w:rsidR="00237400" w:rsidRPr="008F6905" w:rsidRDefault="00237400" w:rsidP="00AF6B6E">
      <w:pPr>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Figure</w:t>
      </w:r>
      <w:r w:rsidR="00AF6B6E" w:rsidRPr="008F6905">
        <w:rPr>
          <w:rFonts w:ascii="Times New Roman" w:hAnsi="Times New Roman" w:cs="Times New Roman"/>
          <w:bCs/>
          <w:i/>
          <w:iCs/>
          <w:color w:val="000000"/>
          <w:sz w:val="18"/>
          <w:szCs w:val="18"/>
        </w:rPr>
        <w:t xml:space="preserve"> 6</w:t>
      </w:r>
      <w:r w:rsidRPr="008F6905">
        <w:rPr>
          <w:rFonts w:ascii="Times New Roman" w:hAnsi="Times New Roman" w:cs="Times New Roman"/>
          <w:bCs/>
          <w:i/>
          <w:iCs/>
          <w:color w:val="000000"/>
          <w:sz w:val="18"/>
          <w:szCs w:val="18"/>
        </w:rPr>
        <w:t>: GraphRAG Performance Evaluation</w:t>
      </w:r>
    </w:p>
    <w:p w14:paraId="045D5FA6" w14:textId="432672B1" w:rsidR="007071F5" w:rsidRPr="008F6905" w:rsidRDefault="008F6905" w:rsidP="00237400">
      <w:pPr>
        <w:jc w:val="both"/>
        <w:rPr>
          <w:rFonts w:ascii="Times New Roman" w:hAnsi="Times New Roman" w:cs="Times New Roman"/>
          <w:sz w:val="20"/>
          <w:szCs w:val="20"/>
        </w:rPr>
      </w:pPr>
      <w:r w:rsidRPr="008F6905">
        <w:rPr>
          <w:rFonts w:ascii="Times New Roman" w:hAnsi="Times New Roman" w:cs="Times New Roman"/>
          <w:sz w:val="20"/>
          <w:szCs w:val="20"/>
        </w:rPr>
        <w:t>Fi</w:t>
      </w:r>
      <w:r>
        <w:rPr>
          <w:rFonts w:ascii="Times New Roman" w:hAnsi="Times New Roman" w:cs="Times New Roman"/>
          <w:sz w:val="20"/>
          <w:szCs w:val="20"/>
        </w:rPr>
        <w:t>g.</w:t>
      </w:r>
      <w:r w:rsidRPr="008F6905">
        <w:rPr>
          <w:rFonts w:ascii="Times New Roman" w:hAnsi="Times New Roman" w:cs="Times New Roman"/>
          <w:sz w:val="20"/>
          <w:szCs w:val="20"/>
        </w:rPr>
        <w:t xml:space="preserve"> </w:t>
      </w:r>
      <w:r>
        <w:rPr>
          <w:rFonts w:ascii="Times New Roman" w:hAnsi="Times New Roman" w:cs="Times New Roman"/>
          <w:sz w:val="20"/>
          <w:szCs w:val="20"/>
        </w:rPr>
        <w:t>6</w:t>
      </w:r>
      <w:r w:rsidRPr="008F6905">
        <w:rPr>
          <w:rFonts w:ascii="Times New Roman" w:hAnsi="Times New Roman" w:cs="Times New Roman"/>
          <w:sz w:val="20"/>
          <w:szCs w:val="20"/>
        </w:rPr>
        <w:t xml:space="preserve"> summarizes the performance of the proposed GraphRAG pipeline. Subfigure (a) shows substantial gains in Precision@10, Recall@10, F1@10, MRR, and NDCG@10 relative to baseline vector-search RAG. Subfigure (b) presents the end-to-end latency distribution across </w:t>
      </w:r>
      <w:r w:rsidR="00D13ECA">
        <w:rPr>
          <w:rFonts w:ascii="Times New Roman" w:hAnsi="Times New Roman" w:cs="Times New Roman"/>
          <w:sz w:val="20"/>
          <w:szCs w:val="20"/>
        </w:rPr>
        <w:t>%</w:t>
      </w:r>
      <w:r w:rsidRPr="008F6905">
        <w:rPr>
          <w:rFonts w:ascii="Times New Roman" w:hAnsi="Times New Roman" w:cs="Times New Roman"/>
          <w:sz w:val="20"/>
          <w:szCs w:val="20"/>
        </w:rPr>
        <w:t>ile buckets, indicating a modest increase in latency due to graph traversal overhead. Subfigure (c) reports entity extraction accuracy across all supported entity types, demonstrating consistently strong F1 performance. Subfigure (d) visualizes relative improvements over the baseline, highlighting 25–38% gains across retrieval-ranking metrics.</w:t>
      </w:r>
      <w:r>
        <w:rPr>
          <w:rFonts w:ascii="Times New Roman" w:hAnsi="Times New Roman" w:cs="Times New Roman"/>
          <w:sz w:val="20"/>
          <w:szCs w:val="20"/>
        </w:rPr>
        <w:t xml:space="preserve"> </w:t>
      </w:r>
      <w:r w:rsidR="007071F5" w:rsidRPr="008F6905">
        <w:rPr>
          <w:rFonts w:ascii="Times New Roman" w:hAnsi="Times New Roman" w:cs="Times New Roman"/>
          <w:sz w:val="20"/>
          <w:szCs w:val="20"/>
        </w:rPr>
        <w:t xml:space="preserve">On GraphQA specifically testing multi-hop reasoning, our system achieves 71.3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exact match compared to 48.7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for the vector-only baseline, representing a 46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relative improvement. This result confirms that knowledge graphs provide critical structural information for complex reasoning tasks.</w:t>
      </w:r>
      <w:r w:rsidR="000D4A38"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Retrieval analysis reveals that knowledge graph-augmented retrieval improves recall of relevant context. For questions requiring information from multiple documents, graph-enhanced retrieval includes relevant passages from an average of 3.2 documents compared to 2.1 for vector-only retrieval. This increased diversity of retrieved context enables more comprehensive answers.</w:t>
      </w:r>
      <w:r w:rsidR="000D4A38"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Latency measurements show mean response time of 1.8 seconds from query submission to completion of response generation. Vector retrieval contributes 12 milliseconds, knowledge graph query contributes 45 milliseconds, and language model generation dominates at approximately 1.7 seconds. The incremental cost of knowledge graph retrieval remains small relative to total latency, demonstrating practical feasibility.</w:t>
      </w:r>
    </w:p>
    <w:p w14:paraId="2B0C401A" w14:textId="4E218618" w:rsidR="00AF6B6E" w:rsidRPr="008F6905" w:rsidRDefault="00AF6B6E" w:rsidP="00AF6B6E">
      <w:pPr>
        <w:spacing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V</w:t>
      </w:r>
      <w:r w:rsidRPr="008F6905">
        <w:rPr>
          <w:rFonts w:ascii="Times New Roman" w:hAnsi="Times New Roman" w:cs="Times New Roman"/>
          <w:bCs/>
          <w:i/>
          <w:iCs/>
          <w:color w:val="000000"/>
          <w:sz w:val="18"/>
          <w:szCs w:val="18"/>
        </w:rPr>
        <w:t>: Multi-PDF Chat Component Ablation</w:t>
      </w:r>
    </w:p>
    <w:tbl>
      <w:tblPr>
        <w:tblStyle w:val="TableGrid"/>
        <w:tblW w:w="0" w:type="auto"/>
        <w:jc w:val="center"/>
        <w:tblLook w:val="04A0" w:firstRow="1" w:lastRow="0" w:firstColumn="1" w:lastColumn="0" w:noHBand="0" w:noVBand="1"/>
      </w:tblPr>
      <w:tblGrid>
        <w:gridCol w:w="2161"/>
        <w:gridCol w:w="1311"/>
        <w:gridCol w:w="963"/>
        <w:gridCol w:w="761"/>
        <w:gridCol w:w="1489"/>
      </w:tblGrid>
      <w:tr w:rsidR="001D10ED" w:rsidRPr="008F6905" w14:paraId="33AF8102" w14:textId="77777777" w:rsidTr="001D10ED">
        <w:trPr>
          <w:jc w:val="center"/>
        </w:trPr>
        <w:tc>
          <w:tcPr>
            <w:tcW w:w="0" w:type="auto"/>
            <w:hideMark/>
          </w:tcPr>
          <w:p w14:paraId="279054B1"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Configuration</w:t>
            </w:r>
          </w:p>
        </w:tc>
        <w:tc>
          <w:tcPr>
            <w:tcW w:w="0" w:type="auto"/>
            <w:hideMark/>
          </w:tcPr>
          <w:p w14:paraId="670DD274"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Exact Match</w:t>
            </w:r>
          </w:p>
        </w:tc>
        <w:tc>
          <w:tcPr>
            <w:tcW w:w="0" w:type="auto"/>
            <w:hideMark/>
          </w:tcPr>
          <w:p w14:paraId="184FA946"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F1 Score</w:t>
            </w:r>
          </w:p>
        </w:tc>
        <w:tc>
          <w:tcPr>
            <w:tcW w:w="0" w:type="auto"/>
            <w:hideMark/>
          </w:tcPr>
          <w:p w14:paraId="431DA2F1"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BLEU</w:t>
            </w:r>
          </w:p>
        </w:tc>
        <w:tc>
          <w:tcPr>
            <w:tcW w:w="0" w:type="auto"/>
            <w:hideMark/>
          </w:tcPr>
          <w:p w14:paraId="6300E073"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Human Rating</w:t>
            </w:r>
          </w:p>
        </w:tc>
      </w:tr>
      <w:tr w:rsidR="001D10ED" w:rsidRPr="008F6905" w14:paraId="623A4C5B" w14:textId="77777777" w:rsidTr="001D10ED">
        <w:trPr>
          <w:jc w:val="center"/>
        </w:trPr>
        <w:tc>
          <w:tcPr>
            <w:tcW w:w="0" w:type="auto"/>
            <w:hideMark/>
          </w:tcPr>
          <w:p w14:paraId="6EF4EC69"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Full System</w:t>
            </w:r>
          </w:p>
        </w:tc>
        <w:tc>
          <w:tcPr>
            <w:tcW w:w="0" w:type="auto"/>
            <w:hideMark/>
          </w:tcPr>
          <w:p w14:paraId="451E6B4F"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78.2%</w:t>
            </w:r>
          </w:p>
        </w:tc>
        <w:tc>
          <w:tcPr>
            <w:tcW w:w="0" w:type="auto"/>
            <w:hideMark/>
          </w:tcPr>
          <w:p w14:paraId="3B079695"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86.4</w:t>
            </w:r>
          </w:p>
        </w:tc>
        <w:tc>
          <w:tcPr>
            <w:tcW w:w="0" w:type="auto"/>
            <w:hideMark/>
          </w:tcPr>
          <w:p w14:paraId="2D28A6A6"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72.1</w:t>
            </w:r>
          </w:p>
        </w:tc>
        <w:tc>
          <w:tcPr>
            <w:tcW w:w="0" w:type="auto"/>
            <w:hideMark/>
          </w:tcPr>
          <w:p w14:paraId="0B8E03F4"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4.3</w:t>
            </w:r>
          </w:p>
        </w:tc>
      </w:tr>
      <w:tr w:rsidR="001D10ED" w:rsidRPr="008F6905" w14:paraId="352C6FD3" w14:textId="77777777" w:rsidTr="001D10ED">
        <w:trPr>
          <w:jc w:val="center"/>
        </w:trPr>
        <w:tc>
          <w:tcPr>
            <w:tcW w:w="0" w:type="auto"/>
            <w:hideMark/>
          </w:tcPr>
          <w:p w14:paraId="7190190B"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Without GraphRAG</w:t>
            </w:r>
          </w:p>
        </w:tc>
        <w:tc>
          <w:tcPr>
            <w:tcW w:w="0" w:type="auto"/>
            <w:hideMark/>
          </w:tcPr>
          <w:p w14:paraId="401DC0F8"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63.5%</w:t>
            </w:r>
          </w:p>
        </w:tc>
        <w:tc>
          <w:tcPr>
            <w:tcW w:w="0" w:type="auto"/>
            <w:hideMark/>
          </w:tcPr>
          <w:p w14:paraId="5080BB3E"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73.1</w:t>
            </w:r>
          </w:p>
        </w:tc>
        <w:tc>
          <w:tcPr>
            <w:tcW w:w="0" w:type="auto"/>
            <w:hideMark/>
          </w:tcPr>
          <w:p w14:paraId="759C087F"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56.3</w:t>
            </w:r>
          </w:p>
        </w:tc>
        <w:tc>
          <w:tcPr>
            <w:tcW w:w="0" w:type="auto"/>
            <w:hideMark/>
          </w:tcPr>
          <w:p w14:paraId="7DFEDB35"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3.5</w:t>
            </w:r>
          </w:p>
        </w:tc>
      </w:tr>
      <w:tr w:rsidR="001D10ED" w:rsidRPr="008F6905" w14:paraId="7901AE53" w14:textId="77777777" w:rsidTr="001D10ED">
        <w:trPr>
          <w:jc w:val="center"/>
        </w:trPr>
        <w:tc>
          <w:tcPr>
            <w:tcW w:w="0" w:type="auto"/>
            <w:hideMark/>
          </w:tcPr>
          <w:p w14:paraId="04CAB6F7"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Without Vector Search</w:t>
            </w:r>
          </w:p>
        </w:tc>
        <w:tc>
          <w:tcPr>
            <w:tcW w:w="0" w:type="auto"/>
            <w:hideMark/>
          </w:tcPr>
          <w:p w14:paraId="6FD9D5E1"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52.1%</w:t>
            </w:r>
          </w:p>
        </w:tc>
        <w:tc>
          <w:tcPr>
            <w:tcW w:w="0" w:type="auto"/>
            <w:hideMark/>
          </w:tcPr>
          <w:p w14:paraId="12EF02C4"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65.8</w:t>
            </w:r>
          </w:p>
        </w:tc>
        <w:tc>
          <w:tcPr>
            <w:tcW w:w="0" w:type="auto"/>
            <w:hideMark/>
          </w:tcPr>
          <w:p w14:paraId="7649CD93"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48.7</w:t>
            </w:r>
          </w:p>
        </w:tc>
        <w:tc>
          <w:tcPr>
            <w:tcW w:w="0" w:type="auto"/>
            <w:hideMark/>
          </w:tcPr>
          <w:p w14:paraId="08607F56"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3.1</w:t>
            </w:r>
          </w:p>
        </w:tc>
      </w:tr>
      <w:tr w:rsidR="001D10ED" w:rsidRPr="008F6905" w14:paraId="796B4279" w14:textId="77777777" w:rsidTr="001D10ED">
        <w:trPr>
          <w:jc w:val="center"/>
        </w:trPr>
        <w:tc>
          <w:tcPr>
            <w:tcW w:w="0" w:type="auto"/>
            <w:hideMark/>
          </w:tcPr>
          <w:p w14:paraId="5089AD2C"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Vector Only (Baseline)</w:t>
            </w:r>
          </w:p>
        </w:tc>
        <w:tc>
          <w:tcPr>
            <w:tcW w:w="0" w:type="auto"/>
            <w:hideMark/>
          </w:tcPr>
          <w:p w14:paraId="4CC5571C"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63.5%</w:t>
            </w:r>
          </w:p>
        </w:tc>
        <w:tc>
          <w:tcPr>
            <w:tcW w:w="0" w:type="auto"/>
            <w:hideMark/>
          </w:tcPr>
          <w:p w14:paraId="49ABBD1D"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73.1</w:t>
            </w:r>
          </w:p>
        </w:tc>
        <w:tc>
          <w:tcPr>
            <w:tcW w:w="0" w:type="auto"/>
            <w:hideMark/>
          </w:tcPr>
          <w:p w14:paraId="5C82E99C"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56.3</w:t>
            </w:r>
          </w:p>
        </w:tc>
        <w:tc>
          <w:tcPr>
            <w:tcW w:w="0" w:type="auto"/>
            <w:hideMark/>
          </w:tcPr>
          <w:p w14:paraId="2548EAFA"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3.5</w:t>
            </w:r>
          </w:p>
        </w:tc>
      </w:tr>
      <w:tr w:rsidR="001D10ED" w:rsidRPr="008F6905" w14:paraId="0C03F821" w14:textId="77777777" w:rsidTr="001D10ED">
        <w:trPr>
          <w:jc w:val="center"/>
        </w:trPr>
        <w:tc>
          <w:tcPr>
            <w:tcW w:w="0" w:type="auto"/>
            <w:hideMark/>
          </w:tcPr>
          <w:p w14:paraId="22E20B01"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Graph Only</w:t>
            </w:r>
          </w:p>
        </w:tc>
        <w:tc>
          <w:tcPr>
            <w:tcW w:w="0" w:type="auto"/>
            <w:hideMark/>
          </w:tcPr>
          <w:p w14:paraId="54CCE055"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45.2%</w:t>
            </w:r>
          </w:p>
        </w:tc>
        <w:tc>
          <w:tcPr>
            <w:tcW w:w="0" w:type="auto"/>
            <w:hideMark/>
          </w:tcPr>
          <w:p w14:paraId="52C6F4D8"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58.3</w:t>
            </w:r>
          </w:p>
        </w:tc>
        <w:tc>
          <w:tcPr>
            <w:tcW w:w="0" w:type="auto"/>
            <w:hideMark/>
          </w:tcPr>
          <w:p w14:paraId="35ABE5C0"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41.2</w:t>
            </w:r>
          </w:p>
        </w:tc>
        <w:tc>
          <w:tcPr>
            <w:tcW w:w="0" w:type="auto"/>
            <w:hideMark/>
          </w:tcPr>
          <w:p w14:paraId="1E99C414"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2.9</w:t>
            </w:r>
          </w:p>
        </w:tc>
      </w:tr>
    </w:tbl>
    <w:p w14:paraId="7C0D66D6" w14:textId="499065CD" w:rsidR="00816A90" w:rsidRPr="00816A90" w:rsidRDefault="00816A90" w:rsidP="00816A90">
      <w:pPr>
        <w:jc w:val="both"/>
        <w:rPr>
          <w:rFonts w:ascii="Times New Roman" w:hAnsi="Times New Roman" w:cs="Times New Roman"/>
          <w:sz w:val="20"/>
          <w:szCs w:val="20"/>
        </w:rPr>
      </w:pPr>
      <w:r w:rsidRPr="00816A90">
        <w:rPr>
          <w:rFonts w:ascii="Times New Roman" w:hAnsi="Times New Roman" w:cs="Times New Roman"/>
          <w:sz w:val="20"/>
          <w:szCs w:val="20"/>
        </w:rPr>
        <w:lastRenderedPageBreak/>
        <w:t xml:space="preserve">To quantify the individual contributions of GraphRAG and vector search components, we conducted systematic ablation studies by selectively disabling system features. Table 2 presents performance across five configurations. The full system combining both GraphRAG and vector search achieves optimal performance at 78.2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exact match accuracy, 86.4 F1 score, 72.1 BLEU, and 4.3 human rating. Removing GraphRAG degrades performance to 63.5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exact match, while removing vector search reduces accuracy to 52.1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demonstrating that both components provide complementary value. Notably, the vector-only baseline matches the "Without GraphRAG" configuration, confirming that GraphRAG provides the primary performance gain [4]. The graph-only configuration achieves only 45.2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accuracy, indicating that semantic similarity retrieval remains essential. These results validate our hybrid architecture combining structured knowledge graphs with unstructured vector embeddings. To characterize system limitations and guide future improvements, we conducted detailed error analysis on 500 randomly sampled responses from the Multi-PDF Chat system. Table 3 categorizes observed errors by type and frequency. The system achieves 91.7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correct responses with no identifiable errors, demonstrating strong overall reliability. Among error cases, context incompleteness represents the most frequent issue at 3.4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occurring when the retrieval system fails to locate all relevant information despite its presence in the document corpus. Hallucination errors, where the model generates plausible but factually incorrect information not supported by source documents, occur in 2.1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of responses. Ambiguity mishandling affects 1.8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of queries, arising when the system selects an incorrect interpretation of ambiguous user questions. Citation errors at 0.7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involve incorrect source attribution despite factually accurate content. Formatting errors at 0.3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result in malformed response structures that impede readability. These findings indicate that retrieval quality improvement represents the highest-priority optimization target, followed by hallucination mitigation through enhanced grounding mechanisms and confidence calibration. We analyzed the impact of knowledge graph traversal depth on retrieval effectiveness and computational cost. Table 4 presents performance metrics for maximum hop distances ranging from 1 to 4. Single-hop retrieval explores an average of 12.3 entities, achieving 72.4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accuracy with 28 milliseconds latency and 0.87 relevance score for retrieved context. Two-hop traversal expands to 34.7 entities on average, improving accuracy to 78.2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with 45 milliseconds latency and 0.91 relevance score, demonstrating substantial benefit from considering indirect entity relationships. Three-hop traversal retrieves 87.5 entities with 78.9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accuracy, 98 milliseconds latency, and 0.83 relevance score. The slight accuracy improvement over two-hop comes at increased latency cost, while relevance score decreases due to inclusion of more distant, potentially less relevant entities. Four-hop traversal explodes to 204.1 entities with 78.3 </w:t>
      </w:r>
      <w:r w:rsidR="00D13ECA">
        <w:rPr>
          <w:rFonts w:ascii="Times New Roman" w:hAnsi="Times New Roman" w:cs="Times New Roman"/>
          <w:sz w:val="20"/>
          <w:szCs w:val="20"/>
        </w:rPr>
        <w:t>%</w:t>
      </w:r>
      <w:r w:rsidRPr="00816A90">
        <w:rPr>
          <w:rFonts w:ascii="Times New Roman" w:hAnsi="Times New Roman" w:cs="Times New Roman"/>
          <w:sz w:val="20"/>
          <w:szCs w:val="20"/>
        </w:rPr>
        <w:t xml:space="preserve"> accuracy, 213 milliseconds latency, and reduced 0.74 relevance score, indicating diminishing returns and increased noise. These findings informed our selection of two-hop maximum traversal as the optimal balance between comprehensive relationship coverage and retrieval precision, achieving strong performance at acceptable latency while maintaining high relevance of retrieved graph context.</w:t>
      </w:r>
    </w:p>
    <w:p w14:paraId="0D2B0F11"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 ATS Resume Analysis Evaluation</w:t>
      </w:r>
    </w:p>
    <w:p w14:paraId="47EDB5A6"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B.1 Evaluation Protocol</w:t>
      </w:r>
    </w:p>
    <w:p w14:paraId="08985BEE" w14:textId="352421D4" w:rsid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We evaluate resume analysis quality through comparison with professional recruiter assessments. We collected 500 resumes across technology roles spanning software engineering, data science, product management, and technical writing. Three experienced recruiters independently scored each resume on ATS compatibility using a 0 to 100 scale, provided dimension-specific feedback on keywords, formatting, and content, and assigned overall ratings on feedback quality and actionability.</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Inter-rater reliability among human recruiters shows Cronbach's alpha of 0.87, indicating high agreement. We use mean human scores as ground truth references.</w:t>
      </w:r>
    </w:p>
    <w:p w14:paraId="08F5B8FA" w14:textId="4CCCC4CF" w:rsidR="007071F5" w:rsidRPr="00154110" w:rsidRDefault="007071F5" w:rsidP="00154110">
      <w:pPr>
        <w:rPr>
          <w:rFonts w:ascii="Times New Roman" w:hAnsi="Times New Roman" w:cs="Times New Roman"/>
          <w:sz w:val="20"/>
          <w:szCs w:val="20"/>
        </w:rPr>
      </w:pPr>
      <w:r w:rsidRPr="008F6905">
        <w:rPr>
          <w:rFonts w:ascii="Times New Roman" w:hAnsi="Times New Roman" w:cs="Times New Roman"/>
          <w:b/>
          <w:bCs/>
          <w:sz w:val="20"/>
          <w:szCs w:val="20"/>
        </w:rPr>
        <w:t>B.2 Results</w:t>
      </w:r>
    </w:p>
    <w:p w14:paraId="55C600CC" w14:textId="27A63B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Our multi-agent system achieves 96.8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Pearson correlation with mean recruiter ATS scores, with mean absolute error of 3.2 points on the 0 to 100 scale. This high correlation demonstrates that automated scoring closely approximates human judgment.</w:t>
      </w:r>
    </w:p>
    <w:p w14:paraId="47F387C0" w14:textId="73E318A2" w:rsidR="000D4A38" w:rsidRPr="008F6905" w:rsidRDefault="000D4A38" w:rsidP="000D4A38">
      <w:pPr>
        <w:spacing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V</w:t>
      </w:r>
      <w:r w:rsidRPr="008F6905">
        <w:rPr>
          <w:rFonts w:ascii="Times New Roman" w:hAnsi="Times New Roman" w:cs="Times New Roman"/>
          <w:bCs/>
          <w:i/>
          <w:iCs/>
          <w:color w:val="000000"/>
          <w:sz w:val="18"/>
          <w:szCs w:val="18"/>
        </w:rPr>
        <w:t>.1: ATS Multi-Agent Ablation Study - Performance Impact</w:t>
      </w:r>
    </w:p>
    <w:tbl>
      <w:tblPr>
        <w:tblStyle w:val="TableGrid"/>
        <w:tblW w:w="5000" w:type="pct"/>
        <w:tblLook w:val="04A0" w:firstRow="1" w:lastRow="0" w:firstColumn="1" w:lastColumn="0" w:noHBand="0" w:noVBand="1"/>
      </w:tblPr>
      <w:tblGrid>
        <w:gridCol w:w="2248"/>
        <w:gridCol w:w="2109"/>
        <w:gridCol w:w="1671"/>
        <w:gridCol w:w="1611"/>
        <w:gridCol w:w="1377"/>
      </w:tblGrid>
      <w:tr w:rsidR="000D4A38" w:rsidRPr="000D4A38" w14:paraId="36F0A6E2" w14:textId="77777777" w:rsidTr="000D4A38">
        <w:tc>
          <w:tcPr>
            <w:tcW w:w="0" w:type="auto"/>
            <w:hideMark/>
          </w:tcPr>
          <w:p w14:paraId="239D54B2" w14:textId="77777777" w:rsidR="000D4A38" w:rsidRPr="000D4A38" w:rsidRDefault="000D4A38" w:rsidP="008F6905">
            <w:pPr>
              <w:spacing w:after="160" w:line="259" w:lineRule="auto"/>
              <w:jc w:val="center"/>
              <w:rPr>
                <w:rFonts w:ascii="Times New Roman" w:hAnsi="Times New Roman" w:cs="Times New Roman"/>
                <w:b/>
                <w:bCs/>
                <w:sz w:val="20"/>
                <w:szCs w:val="20"/>
              </w:rPr>
            </w:pPr>
            <w:r w:rsidRPr="000D4A38">
              <w:rPr>
                <w:rFonts w:ascii="Times New Roman" w:hAnsi="Times New Roman" w:cs="Times New Roman"/>
                <w:b/>
                <w:bCs/>
                <w:sz w:val="20"/>
                <w:szCs w:val="20"/>
              </w:rPr>
              <w:t>Configuration</w:t>
            </w:r>
          </w:p>
        </w:tc>
        <w:tc>
          <w:tcPr>
            <w:tcW w:w="0" w:type="auto"/>
            <w:hideMark/>
          </w:tcPr>
          <w:p w14:paraId="65C6EB68" w14:textId="77777777" w:rsidR="000D4A38" w:rsidRPr="000D4A38" w:rsidRDefault="000D4A38" w:rsidP="008F6905">
            <w:pPr>
              <w:spacing w:after="160" w:line="259" w:lineRule="auto"/>
              <w:jc w:val="center"/>
              <w:rPr>
                <w:rFonts w:ascii="Times New Roman" w:hAnsi="Times New Roman" w:cs="Times New Roman"/>
                <w:b/>
                <w:bCs/>
                <w:sz w:val="20"/>
                <w:szCs w:val="20"/>
              </w:rPr>
            </w:pPr>
            <w:r w:rsidRPr="000D4A38">
              <w:rPr>
                <w:rFonts w:ascii="Times New Roman" w:hAnsi="Times New Roman" w:cs="Times New Roman"/>
                <w:b/>
                <w:bCs/>
                <w:sz w:val="20"/>
                <w:szCs w:val="20"/>
              </w:rPr>
              <w:t>Correlation with Recruiters</w:t>
            </w:r>
          </w:p>
        </w:tc>
        <w:tc>
          <w:tcPr>
            <w:tcW w:w="0" w:type="auto"/>
            <w:hideMark/>
          </w:tcPr>
          <w:p w14:paraId="1B41DE35" w14:textId="77777777" w:rsidR="000D4A38" w:rsidRPr="000D4A38" w:rsidRDefault="000D4A38" w:rsidP="008F6905">
            <w:pPr>
              <w:spacing w:after="160" w:line="259" w:lineRule="auto"/>
              <w:jc w:val="center"/>
              <w:rPr>
                <w:rFonts w:ascii="Times New Roman" w:hAnsi="Times New Roman" w:cs="Times New Roman"/>
                <w:b/>
                <w:bCs/>
                <w:sz w:val="20"/>
                <w:szCs w:val="20"/>
              </w:rPr>
            </w:pPr>
            <w:r w:rsidRPr="000D4A38">
              <w:rPr>
                <w:rFonts w:ascii="Times New Roman" w:hAnsi="Times New Roman" w:cs="Times New Roman"/>
                <w:b/>
                <w:bCs/>
                <w:sz w:val="20"/>
                <w:szCs w:val="20"/>
              </w:rPr>
              <w:t>Mean Absolute Error</w:t>
            </w:r>
          </w:p>
        </w:tc>
        <w:tc>
          <w:tcPr>
            <w:tcW w:w="0" w:type="auto"/>
            <w:hideMark/>
          </w:tcPr>
          <w:p w14:paraId="48F66089" w14:textId="77777777" w:rsidR="000D4A38" w:rsidRPr="000D4A38" w:rsidRDefault="000D4A38" w:rsidP="008F6905">
            <w:pPr>
              <w:spacing w:after="160" w:line="259" w:lineRule="auto"/>
              <w:jc w:val="center"/>
              <w:rPr>
                <w:rFonts w:ascii="Times New Roman" w:hAnsi="Times New Roman" w:cs="Times New Roman"/>
                <w:b/>
                <w:bCs/>
                <w:sz w:val="20"/>
                <w:szCs w:val="20"/>
              </w:rPr>
            </w:pPr>
            <w:r w:rsidRPr="000D4A38">
              <w:rPr>
                <w:rFonts w:ascii="Times New Roman" w:hAnsi="Times New Roman" w:cs="Times New Roman"/>
                <w:b/>
                <w:bCs/>
                <w:sz w:val="20"/>
                <w:szCs w:val="20"/>
              </w:rPr>
              <w:t>Processing Time (s)</w:t>
            </w:r>
          </w:p>
        </w:tc>
        <w:tc>
          <w:tcPr>
            <w:tcW w:w="0" w:type="auto"/>
            <w:hideMark/>
          </w:tcPr>
          <w:p w14:paraId="2EE233F9" w14:textId="77777777" w:rsidR="000D4A38" w:rsidRPr="000D4A38" w:rsidRDefault="000D4A38" w:rsidP="008F6905">
            <w:pPr>
              <w:spacing w:after="160" w:line="259" w:lineRule="auto"/>
              <w:jc w:val="center"/>
              <w:rPr>
                <w:rFonts w:ascii="Times New Roman" w:hAnsi="Times New Roman" w:cs="Times New Roman"/>
                <w:b/>
                <w:bCs/>
                <w:sz w:val="20"/>
                <w:szCs w:val="20"/>
              </w:rPr>
            </w:pPr>
            <w:r w:rsidRPr="000D4A38">
              <w:rPr>
                <w:rFonts w:ascii="Times New Roman" w:hAnsi="Times New Roman" w:cs="Times New Roman"/>
                <w:b/>
                <w:bCs/>
                <w:sz w:val="20"/>
                <w:szCs w:val="20"/>
              </w:rPr>
              <w:t>User Rating (1-5)</w:t>
            </w:r>
          </w:p>
        </w:tc>
      </w:tr>
      <w:tr w:rsidR="000D4A38" w:rsidRPr="000D4A38" w14:paraId="7199C332" w14:textId="77777777" w:rsidTr="000D4A38">
        <w:tc>
          <w:tcPr>
            <w:tcW w:w="0" w:type="auto"/>
            <w:hideMark/>
          </w:tcPr>
          <w:p w14:paraId="493EF442"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Full System (All 6 Agents)</w:t>
            </w:r>
          </w:p>
        </w:tc>
        <w:tc>
          <w:tcPr>
            <w:tcW w:w="0" w:type="auto"/>
            <w:hideMark/>
          </w:tcPr>
          <w:p w14:paraId="0F2D5EB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96.8%</w:t>
            </w:r>
          </w:p>
        </w:tc>
        <w:tc>
          <w:tcPr>
            <w:tcW w:w="0" w:type="auto"/>
            <w:hideMark/>
          </w:tcPr>
          <w:p w14:paraId="5A9885E6"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3.2</w:t>
            </w:r>
          </w:p>
        </w:tc>
        <w:tc>
          <w:tcPr>
            <w:tcW w:w="0" w:type="auto"/>
            <w:hideMark/>
          </w:tcPr>
          <w:p w14:paraId="2855B175"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6.82</w:t>
            </w:r>
          </w:p>
        </w:tc>
        <w:tc>
          <w:tcPr>
            <w:tcW w:w="0" w:type="auto"/>
            <w:hideMark/>
          </w:tcPr>
          <w:p w14:paraId="7A85945E"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4.7</w:t>
            </w:r>
          </w:p>
        </w:tc>
      </w:tr>
      <w:tr w:rsidR="000D4A38" w:rsidRPr="000D4A38" w14:paraId="7565E87D" w14:textId="77777777" w:rsidTr="000D4A38">
        <w:tc>
          <w:tcPr>
            <w:tcW w:w="0" w:type="auto"/>
            <w:hideMark/>
          </w:tcPr>
          <w:p w14:paraId="32E2487B"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lastRenderedPageBreak/>
              <w:t>w/o Job Matching Agent</w:t>
            </w:r>
          </w:p>
        </w:tc>
        <w:tc>
          <w:tcPr>
            <w:tcW w:w="0" w:type="auto"/>
            <w:hideMark/>
          </w:tcPr>
          <w:p w14:paraId="2E035F24"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94.2%</w:t>
            </w:r>
          </w:p>
        </w:tc>
        <w:tc>
          <w:tcPr>
            <w:tcW w:w="0" w:type="auto"/>
            <w:hideMark/>
          </w:tcPr>
          <w:p w14:paraId="5265B45B"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4.1</w:t>
            </w:r>
          </w:p>
        </w:tc>
        <w:tc>
          <w:tcPr>
            <w:tcW w:w="0" w:type="auto"/>
            <w:hideMark/>
          </w:tcPr>
          <w:p w14:paraId="22C4DD74"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5.95</w:t>
            </w:r>
          </w:p>
        </w:tc>
        <w:tc>
          <w:tcPr>
            <w:tcW w:w="0" w:type="auto"/>
            <w:hideMark/>
          </w:tcPr>
          <w:p w14:paraId="75706F2C"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4.5</w:t>
            </w:r>
          </w:p>
        </w:tc>
      </w:tr>
      <w:tr w:rsidR="000D4A38" w:rsidRPr="000D4A38" w14:paraId="61EA14A5" w14:textId="77777777" w:rsidTr="000D4A38">
        <w:tc>
          <w:tcPr>
            <w:tcW w:w="0" w:type="auto"/>
            <w:hideMark/>
          </w:tcPr>
          <w:p w14:paraId="6194E6D7"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w/o Content Quality Agent</w:t>
            </w:r>
          </w:p>
        </w:tc>
        <w:tc>
          <w:tcPr>
            <w:tcW w:w="0" w:type="auto"/>
            <w:hideMark/>
          </w:tcPr>
          <w:p w14:paraId="2868A17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91.5%</w:t>
            </w:r>
          </w:p>
        </w:tc>
        <w:tc>
          <w:tcPr>
            <w:tcW w:w="0" w:type="auto"/>
            <w:hideMark/>
          </w:tcPr>
          <w:p w14:paraId="51065600"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5.8</w:t>
            </w:r>
          </w:p>
        </w:tc>
        <w:tc>
          <w:tcPr>
            <w:tcW w:w="0" w:type="auto"/>
            <w:hideMark/>
          </w:tcPr>
          <w:p w14:paraId="7B1E11B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5.21</w:t>
            </w:r>
          </w:p>
        </w:tc>
        <w:tc>
          <w:tcPr>
            <w:tcW w:w="0" w:type="auto"/>
            <w:hideMark/>
          </w:tcPr>
          <w:p w14:paraId="4B99AF6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4.1</w:t>
            </w:r>
          </w:p>
        </w:tc>
      </w:tr>
      <w:tr w:rsidR="000D4A38" w:rsidRPr="000D4A38" w14:paraId="485EDF7F" w14:textId="77777777" w:rsidTr="000D4A38">
        <w:tc>
          <w:tcPr>
            <w:tcW w:w="0" w:type="auto"/>
            <w:hideMark/>
          </w:tcPr>
          <w:p w14:paraId="6C26FA2C"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w/o Format Analyzer Agent</w:t>
            </w:r>
          </w:p>
        </w:tc>
        <w:tc>
          <w:tcPr>
            <w:tcW w:w="0" w:type="auto"/>
            <w:hideMark/>
          </w:tcPr>
          <w:p w14:paraId="2E5849F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89.3%</w:t>
            </w:r>
          </w:p>
        </w:tc>
        <w:tc>
          <w:tcPr>
            <w:tcW w:w="0" w:type="auto"/>
            <w:hideMark/>
          </w:tcPr>
          <w:p w14:paraId="0C1A7CCC"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6.7</w:t>
            </w:r>
          </w:p>
        </w:tc>
        <w:tc>
          <w:tcPr>
            <w:tcW w:w="0" w:type="auto"/>
            <w:hideMark/>
          </w:tcPr>
          <w:p w14:paraId="6F325F7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5.43</w:t>
            </w:r>
          </w:p>
        </w:tc>
        <w:tc>
          <w:tcPr>
            <w:tcW w:w="0" w:type="auto"/>
            <w:hideMark/>
          </w:tcPr>
          <w:p w14:paraId="7A84813C"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3.8</w:t>
            </w:r>
          </w:p>
        </w:tc>
      </w:tr>
      <w:tr w:rsidR="000D4A38" w:rsidRPr="000D4A38" w14:paraId="2C28C1B8" w14:textId="77777777" w:rsidTr="000D4A38">
        <w:tc>
          <w:tcPr>
            <w:tcW w:w="0" w:type="auto"/>
            <w:hideMark/>
          </w:tcPr>
          <w:p w14:paraId="7AB0D8FC"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w/o Keyword Matching Agent</w:t>
            </w:r>
          </w:p>
        </w:tc>
        <w:tc>
          <w:tcPr>
            <w:tcW w:w="0" w:type="auto"/>
            <w:hideMark/>
          </w:tcPr>
          <w:p w14:paraId="6D81312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85.1%</w:t>
            </w:r>
          </w:p>
        </w:tc>
        <w:tc>
          <w:tcPr>
            <w:tcW w:w="0" w:type="auto"/>
            <w:hideMark/>
          </w:tcPr>
          <w:p w14:paraId="1048B8C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8.3</w:t>
            </w:r>
          </w:p>
        </w:tc>
        <w:tc>
          <w:tcPr>
            <w:tcW w:w="0" w:type="auto"/>
            <w:hideMark/>
          </w:tcPr>
          <w:p w14:paraId="50E6A3DB"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4.98</w:t>
            </w:r>
          </w:p>
        </w:tc>
        <w:tc>
          <w:tcPr>
            <w:tcW w:w="0" w:type="auto"/>
            <w:hideMark/>
          </w:tcPr>
          <w:p w14:paraId="3B28ED6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3.4</w:t>
            </w:r>
          </w:p>
        </w:tc>
      </w:tr>
      <w:tr w:rsidR="000D4A38" w:rsidRPr="000D4A38" w14:paraId="75288578" w14:textId="77777777" w:rsidTr="000D4A38">
        <w:tc>
          <w:tcPr>
            <w:tcW w:w="0" w:type="auto"/>
            <w:hideMark/>
          </w:tcPr>
          <w:p w14:paraId="329C6AE3"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w/o Synthesis Agent</w:t>
            </w:r>
          </w:p>
        </w:tc>
        <w:tc>
          <w:tcPr>
            <w:tcW w:w="0" w:type="auto"/>
            <w:hideMark/>
          </w:tcPr>
          <w:p w14:paraId="35BD6566"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82.7%</w:t>
            </w:r>
          </w:p>
        </w:tc>
        <w:tc>
          <w:tcPr>
            <w:tcW w:w="0" w:type="auto"/>
            <w:hideMark/>
          </w:tcPr>
          <w:p w14:paraId="3DE7D937"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9.1</w:t>
            </w:r>
          </w:p>
        </w:tc>
        <w:tc>
          <w:tcPr>
            <w:tcW w:w="0" w:type="auto"/>
            <w:hideMark/>
          </w:tcPr>
          <w:p w14:paraId="0284E0A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6.15</w:t>
            </w:r>
          </w:p>
        </w:tc>
        <w:tc>
          <w:tcPr>
            <w:tcW w:w="0" w:type="auto"/>
            <w:hideMark/>
          </w:tcPr>
          <w:p w14:paraId="3EAC5AE9"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3.0</w:t>
            </w:r>
          </w:p>
        </w:tc>
      </w:tr>
      <w:tr w:rsidR="000D4A38" w:rsidRPr="000D4A38" w14:paraId="5CF08CE4" w14:textId="77777777" w:rsidTr="000D4A38">
        <w:tc>
          <w:tcPr>
            <w:tcW w:w="0" w:type="auto"/>
            <w:hideMark/>
          </w:tcPr>
          <w:p w14:paraId="2E9541DC" w14:textId="77777777" w:rsidR="000D4A38" w:rsidRPr="000D4A38" w:rsidRDefault="000D4A38" w:rsidP="008F6905">
            <w:pPr>
              <w:spacing w:after="160" w:line="259" w:lineRule="auto"/>
              <w:rPr>
                <w:rFonts w:ascii="Times New Roman" w:hAnsi="Times New Roman" w:cs="Times New Roman"/>
                <w:sz w:val="20"/>
                <w:szCs w:val="20"/>
              </w:rPr>
            </w:pPr>
            <w:r w:rsidRPr="000D4A38">
              <w:rPr>
                <w:rFonts w:ascii="Times New Roman" w:hAnsi="Times New Roman" w:cs="Times New Roman"/>
                <w:sz w:val="20"/>
                <w:szCs w:val="20"/>
              </w:rPr>
              <w:t>Scoring Agent Only (Baseline)</w:t>
            </w:r>
          </w:p>
        </w:tc>
        <w:tc>
          <w:tcPr>
            <w:tcW w:w="0" w:type="auto"/>
            <w:hideMark/>
          </w:tcPr>
          <w:p w14:paraId="2F0C52BD"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78.4%</w:t>
            </w:r>
          </w:p>
        </w:tc>
        <w:tc>
          <w:tcPr>
            <w:tcW w:w="0" w:type="auto"/>
            <w:hideMark/>
          </w:tcPr>
          <w:p w14:paraId="06CEF0E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11.2</w:t>
            </w:r>
          </w:p>
        </w:tc>
        <w:tc>
          <w:tcPr>
            <w:tcW w:w="0" w:type="auto"/>
            <w:hideMark/>
          </w:tcPr>
          <w:p w14:paraId="4BFBC7D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1.87</w:t>
            </w:r>
          </w:p>
        </w:tc>
        <w:tc>
          <w:tcPr>
            <w:tcW w:w="0" w:type="auto"/>
            <w:hideMark/>
          </w:tcPr>
          <w:p w14:paraId="152F9194"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2.9</w:t>
            </w:r>
          </w:p>
        </w:tc>
      </w:tr>
    </w:tbl>
    <w:p w14:paraId="7A167881" w14:textId="0F3D816C" w:rsidR="000D4A38" w:rsidRPr="008F6905" w:rsidRDefault="000D4A38" w:rsidP="000D4A38">
      <w:pPr>
        <w:spacing w:before="240" w:after="0" w:line="276" w:lineRule="auto"/>
        <w:jc w:val="center"/>
        <w:rPr>
          <w:rFonts w:ascii="Times New Roman" w:hAnsi="Times New Roman" w:cs="Times New Roman"/>
          <w:bCs/>
          <w:color w:val="000000"/>
          <w:sz w:val="18"/>
          <w:szCs w:val="18"/>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V</w:t>
      </w:r>
      <w:r w:rsidRPr="008F6905">
        <w:rPr>
          <w:rFonts w:ascii="Times New Roman" w:hAnsi="Times New Roman" w:cs="Times New Roman"/>
          <w:bCs/>
          <w:i/>
          <w:iCs/>
          <w:color w:val="000000"/>
          <w:sz w:val="18"/>
          <w:szCs w:val="18"/>
        </w:rPr>
        <w:t>.2: ATS Component-Level Accuracy Analysis</w:t>
      </w:r>
    </w:p>
    <w:tbl>
      <w:tblPr>
        <w:tblStyle w:val="TableGrid"/>
        <w:tblW w:w="5000" w:type="pct"/>
        <w:tblLook w:val="04A0" w:firstRow="1" w:lastRow="0" w:firstColumn="1" w:lastColumn="0" w:noHBand="0" w:noVBand="1"/>
      </w:tblPr>
      <w:tblGrid>
        <w:gridCol w:w="2090"/>
        <w:gridCol w:w="1788"/>
        <w:gridCol w:w="2022"/>
        <w:gridCol w:w="1725"/>
        <w:gridCol w:w="1391"/>
      </w:tblGrid>
      <w:tr w:rsidR="000D4A38" w:rsidRPr="000D4A38" w14:paraId="5BC0BAD7" w14:textId="77777777" w:rsidTr="000D4A38">
        <w:tc>
          <w:tcPr>
            <w:tcW w:w="0" w:type="auto"/>
            <w:hideMark/>
          </w:tcPr>
          <w:p w14:paraId="42BF6EFB"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Agent Component</w:t>
            </w:r>
          </w:p>
        </w:tc>
        <w:tc>
          <w:tcPr>
            <w:tcW w:w="0" w:type="auto"/>
            <w:hideMark/>
          </w:tcPr>
          <w:p w14:paraId="451171BE"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Individual Accuracy</w:t>
            </w:r>
          </w:p>
        </w:tc>
        <w:tc>
          <w:tcPr>
            <w:tcW w:w="0" w:type="auto"/>
            <w:hideMark/>
          </w:tcPr>
          <w:p w14:paraId="494568B4"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Marginal Contribution</w:t>
            </w:r>
          </w:p>
        </w:tc>
        <w:tc>
          <w:tcPr>
            <w:tcW w:w="0" w:type="auto"/>
            <w:hideMark/>
          </w:tcPr>
          <w:p w14:paraId="06CEA3B3"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Processing Time (s)</w:t>
            </w:r>
          </w:p>
        </w:tc>
        <w:tc>
          <w:tcPr>
            <w:tcW w:w="0" w:type="auto"/>
            <w:hideMark/>
          </w:tcPr>
          <w:p w14:paraId="406AC97E" w14:textId="77777777" w:rsidR="000D4A38" w:rsidRPr="000D4A38" w:rsidRDefault="000D4A38" w:rsidP="000D4A38">
            <w:pPr>
              <w:spacing w:after="160" w:line="259" w:lineRule="auto"/>
              <w:jc w:val="both"/>
              <w:rPr>
                <w:rFonts w:ascii="Times New Roman" w:hAnsi="Times New Roman" w:cs="Times New Roman"/>
                <w:b/>
                <w:bCs/>
                <w:sz w:val="20"/>
                <w:szCs w:val="20"/>
              </w:rPr>
            </w:pPr>
            <w:r w:rsidRPr="000D4A38">
              <w:rPr>
                <w:rFonts w:ascii="Times New Roman" w:hAnsi="Times New Roman" w:cs="Times New Roman"/>
                <w:b/>
                <w:bCs/>
                <w:sz w:val="20"/>
                <w:szCs w:val="20"/>
              </w:rPr>
              <w:t>Failure Impact</w:t>
            </w:r>
          </w:p>
        </w:tc>
      </w:tr>
      <w:tr w:rsidR="000D4A38" w:rsidRPr="000D4A38" w14:paraId="66789BAF" w14:textId="77777777" w:rsidTr="000D4A38">
        <w:tc>
          <w:tcPr>
            <w:tcW w:w="0" w:type="auto"/>
            <w:hideMark/>
          </w:tcPr>
          <w:p w14:paraId="0BCCC2AB"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Keyword Matching Agent</w:t>
            </w:r>
          </w:p>
        </w:tc>
        <w:tc>
          <w:tcPr>
            <w:tcW w:w="0" w:type="auto"/>
            <w:hideMark/>
          </w:tcPr>
          <w:p w14:paraId="4954D790"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93.7%</w:t>
            </w:r>
          </w:p>
        </w:tc>
        <w:tc>
          <w:tcPr>
            <w:tcW w:w="0" w:type="auto"/>
            <w:hideMark/>
          </w:tcPr>
          <w:p w14:paraId="56DE870D"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-11.7 pp</w:t>
            </w:r>
          </w:p>
        </w:tc>
        <w:tc>
          <w:tcPr>
            <w:tcW w:w="0" w:type="auto"/>
            <w:hideMark/>
          </w:tcPr>
          <w:p w14:paraId="31EFF276"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1.87</w:t>
            </w:r>
          </w:p>
        </w:tc>
        <w:tc>
          <w:tcPr>
            <w:tcW w:w="0" w:type="auto"/>
            <w:hideMark/>
          </w:tcPr>
          <w:p w14:paraId="5D35728E"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High</w:t>
            </w:r>
          </w:p>
        </w:tc>
      </w:tr>
      <w:tr w:rsidR="000D4A38" w:rsidRPr="000D4A38" w14:paraId="3F191768" w14:textId="77777777" w:rsidTr="000D4A38">
        <w:tc>
          <w:tcPr>
            <w:tcW w:w="0" w:type="auto"/>
            <w:hideMark/>
          </w:tcPr>
          <w:p w14:paraId="3BF96A35"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Format Analyzer Agent</w:t>
            </w:r>
          </w:p>
        </w:tc>
        <w:tc>
          <w:tcPr>
            <w:tcW w:w="0" w:type="auto"/>
            <w:hideMark/>
          </w:tcPr>
          <w:p w14:paraId="6A6C40B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96.1%</w:t>
            </w:r>
          </w:p>
        </w:tc>
        <w:tc>
          <w:tcPr>
            <w:tcW w:w="0" w:type="auto"/>
            <w:hideMark/>
          </w:tcPr>
          <w:p w14:paraId="55FC18B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-7.5 pp</w:t>
            </w:r>
          </w:p>
        </w:tc>
        <w:tc>
          <w:tcPr>
            <w:tcW w:w="0" w:type="auto"/>
            <w:hideMark/>
          </w:tcPr>
          <w:p w14:paraId="434D8CC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1.12</w:t>
            </w:r>
          </w:p>
        </w:tc>
        <w:tc>
          <w:tcPr>
            <w:tcW w:w="0" w:type="auto"/>
            <w:hideMark/>
          </w:tcPr>
          <w:p w14:paraId="111DCB9E"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Medium-High</w:t>
            </w:r>
          </w:p>
        </w:tc>
      </w:tr>
      <w:tr w:rsidR="000D4A38" w:rsidRPr="000D4A38" w14:paraId="7A6453AA" w14:textId="77777777" w:rsidTr="000D4A38">
        <w:tc>
          <w:tcPr>
            <w:tcW w:w="0" w:type="auto"/>
            <w:hideMark/>
          </w:tcPr>
          <w:p w14:paraId="40A3D4A9"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Content Quality Agent</w:t>
            </w:r>
          </w:p>
        </w:tc>
        <w:tc>
          <w:tcPr>
            <w:tcW w:w="0" w:type="auto"/>
            <w:hideMark/>
          </w:tcPr>
          <w:p w14:paraId="6822361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91.4%</w:t>
            </w:r>
          </w:p>
        </w:tc>
        <w:tc>
          <w:tcPr>
            <w:tcW w:w="0" w:type="auto"/>
            <w:hideMark/>
          </w:tcPr>
          <w:p w14:paraId="0382741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-5.3 pp</w:t>
            </w:r>
          </w:p>
        </w:tc>
        <w:tc>
          <w:tcPr>
            <w:tcW w:w="0" w:type="auto"/>
            <w:hideMark/>
          </w:tcPr>
          <w:p w14:paraId="3EAB63E0"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2.43</w:t>
            </w:r>
          </w:p>
        </w:tc>
        <w:tc>
          <w:tcPr>
            <w:tcW w:w="0" w:type="auto"/>
            <w:hideMark/>
          </w:tcPr>
          <w:p w14:paraId="50236EF3"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Medium</w:t>
            </w:r>
          </w:p>
        </w:tc>
      </w:tr>
      <w:tr w:rsidR="000D4A38" w:rsidRPr="000D4A38" w14:paraId="24FC316B" w14:textId="77777777" w:rsidTr="000D4A38">
        <w:tc>
          <w:tcPr>
            <w:tcW w:w="0" w:type="auto"/>
            <w:hideMark/>
          </w:tcPr>
          <w:p w14:paraId="75EA967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Job Matching Agent</w:t>
            </w:r>
          </w:p>
        </w:tc>
        <w:tc>
          <w:tcPr>
            <w:tcW w:w="0" w:type="auto"/>
            <w:hideMark/>
          </w:tcPr>
          <w:p w14:paraId="439B613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90.3%</w:t>
            </w:r>
          </w:p>
        </w:tc>
        <w:tc>
          <w:tcPr>
            <w:tcW w:w="0" w:type="auto"/>
            <w:hideMark/>
          </w:tcPr>
          <w:p w14:paraId="3AED8347"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-2.6 pp</w:t>
            </w:r>
          </w:p>
        </w:tc>
        <w:tc>
          <w:tcPr>
            <w:tcW w:w="0" w:type="auto"/>
            <w:hideMark/>
          </w:tcPr>
          <w:p w14:paraId="44D1FDC7"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2.21</w:t>
            </w:r>
          </w:p>
        </w:tc>
        <w:tc>
          <w:tcPr>
            <w:tcW w:w="0" w:type="auto"/>
            <w:hideMark/>
          </w:tcPr>
          <w:p w14:paraId="4701A3F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Medium-Low</w:t>
            </w:r>
          </w:p>
        </w:tc>
      </w:tr>
      <w:tr w:rsidR="000D4A38" w:rsidRPr="000D4A38" w14:paraId="41CF4660" w14:textId="77777777" w:rsidTr="000D4A38">
        <w:tc>
          <w:tcPr>
            <w:tcW w:w="0" w:type="auto"/>
            <w:hideMark/>
          </w:tcPr>
          <w:p w14:paraId="7A00A4EB"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Experience Scorer</w:t>
            </w:r>
          </w:p>
        </w:tc>
        <w:tc>
          <w:tcPr>
            <w:tcW w:w="0" w:type="auto"/>
            <w:hideMark/>
          </w:tcPr>
          <w:p w14:paraId="05C3BD6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88.9%</w:t>
            </w:r>
          </w:p>
        </w:tc>
        <w:tc>
          <w:tcPr>
            <w:tcW w:w="0" w:type="auto"/>
            <w:hideMark/>
          </w:tcPr>
          <w:p w14:paraId="414650AB"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-4.2 pp</w:t>
            </w:r>
          </w:p>
        </w:tc>
        <w:tc>
          <w:tcPr>
            <w:tcW w:w="0" w:type="auto"/>
            <w:hideMark/>
          </w:tcPr>
          <w:p w14:paraId="41917CB3"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1.98</w:t>
            </w:r>
          </w:p>
        </w:tc>
        <w:tc>
          <w:tcPr>
            <w:tcW w:w="0" w:type="auto"/>
            <w:hideMark/>
          </w:tcPr>
          <w:p w14:paraId="0569AAE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Medium</w:t>
            </w:r>
          </w:p>
        </w:tc>
      </w:tr>
      <w:tr w:rsidR="000D4A38" w:rsidRPr="000D4A38" w14:paraId="4D8B9FCF" w14:textId="77777777" w:rsidTr="000D4A38">
        <w:tc>
          <w:tcPr>
            <w:tcW w:w="0" w:type="auto"/>
            <w:hideMark/>
          </w:tcPr>
          <w:p w14:paraId="47CBA984"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Synthesis Agent</w:t>
            </w:r>
          </w:p>
        </w:tc>
        <w:tc>
          <w:tcPr>
            <w:tcW w:w="0" w:type="auto"/>
            <w:hideMark/>
          </w:tcPr>
          <w:p w14:paraId="6B33023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N/A</w:t>
            </w:r>
          </w:p>
        </w:tc>
        <w:tc>
          <w:tcPr>
            <w:tcW w:w="0" w:type="auto"/>
            <w:hideMark/>
          </w:tcPr>
          <w:p w14:paraId="1EE9134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-14.1 pp</w:t>
            </w:r>
          </w:p>
        </w:tc>
        <w:tc>
          <w:tcPr>
            <w:tcW w:w="0" w:type="auto"/>
            <w:hideMark/>
          </w:tcPr>
          <w:p w14:paraId="6E968601"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0.89</w:t>
            </w:r>
          </w:p>
        </w:tc>
        <w:tc>
          <w:tcPr>
            <w:tcW w:w="0" w:type="auto"/>
            <w:hideMark/>
          </w:tcPr>
          <w:p w14:paraId="1F9FB912"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Critical</w:t>
            </w:r>
          </w:p>
        </w:tc>
      </w:tr>
      <w:tr w:rsidR="000D4A38" w:rsidRPr="000D4A38" w14:paraId="49E4F3BD" w14:textId="77777777" w:rsidTr="000D4A38">
        <w:tc>
          <w:tcPr>
            <w:tcW w:w="0" w:type="auto"/>
            <w:hideMark/>
          </w:tcPr>
          <w:p w14:paraId="007EB1DA"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Coordinator Agent</w:t>
            </w:r>
          </w:p>
        </w:tc>
        <w:tc>
          <w:tcPr>
            <w:tcW w:w="0" w:type="auto"/>
            <w:hideMark/>
          </w:tcPr>
          <w:p w14:paraId="1779B005"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N/A</w:t>
            </w:r>
          </w:p>
        </w:tc>
        <w:tc>
          <w:tcPr>
            <w:tcW w:w="0" w:type="auto"/>
            <w:hideMark/>
          </w:tcPr>
          <w:p w14:paraId="32626FA8"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System failure</w:t>
            </w:r>
          </w:p>
        </w:tc>
        <w:tc>
          <w:tcPr>
            <w:tcW w:w="0" w:type="auto"/>
            <w:hideMark/>
          </w:tcPr>
          <w:p w14:paraId="05625C16"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0.34</w:t>
            </w:r>
          </w:p>
        </w:tc>
        <w:tc>
          <w:tcPr>
            <w:tcW w:w="0" w:type="auto"/>
            <w:hideMark/>
          </w:tcPr>
          <w:p w14:paraId="29735DDF" w14:textId="77777777" w:rsidR="000D4A38" w:rsidRPr="000D4A38" w:rsidRDefault="000D4A38" w:rsidP="000D4A38">
            <w:pPr>
              <w:spacing w:after="160" w:line="259" w:lineRule="auto"/>
              <w:jc w:val="both"/>
              <w:rPr>
                <w:rFonts w:ascii="Times New Roman" w:hAnsi="Times New Roman" w:cs="Times New Roman"/>
                <w:sz w:val="20"/>
                <w:szCs w:val="20"/>
              </w:rPr>
            </w:pPr>
            <w:r w:rsidRPr="000D4A38">
              <w:rPr>
                <w:rFonts w:ascii="Times New Roman" w:hAnsi="Times New Roman" w:cs="Times New Roman"/>
                <w:sz w:val="20"/>
                <w:szCs w:val="20"/>
              </w:rPr>
              <w:t>Critical</w:t>
            </w:r>
          </w:p>
        </w:tc>
      </w:tr>
    </w:tbl>
    <w:p w14:paraId="1DB67B2D" w14:textId="77777777" w:rsidR="000D4A38" w:rsidRPr="008F6905" w:rsidRDefault="000D4A38" w:rsidP="00237400">
      <w:pPr>
        <w:jc w:val="both"/>
        <w:rPr>
          <w:rFonts w:ascii="Times New Roman" w:hAnsi="Times New Roman" w:cs="Times New Roman"/>
          <w:sz w:val="20"/>
          <w:szCs w:val="20"/>
        </w:rPr>
      </w:pPr>
    </w:p>
    <w:p w14:paraId="52769CDF" w14:textId="18BB1B75" w:rsidR="00AF6B6E" w:rsidRPr="008F6905" w:rsidRDefault="00AF6B6E" w:rsidP="00AF6B6E">
      <w:pPr>
        <w:spacing w:after="0"/>
        <w:jc w:val="center"/>
        <w:rPr>
          <w:rFonts w:ascii="Times New Roman" w:hAnsi="Times New Roman" w:cs="Times New Roman"/>
          <w:sz w:val="20"/>
          <w:szCs w:val="20"/>
        </w:rPr>
      </w:pPr>
      <w:r w:rsidRPr="008F6905">
        <w:rPr>
          <w:rFonts w:ascii="Times New Roman" w:hAnsi="Times New Roman" w:cs="Times New Roman"/>
          <w:noProof/>
          <w:sz w:val="20"/>
          <w:szCs w:val="20"/>
        </w:rPr>
        <w:drawing>
          <wp:inline distT="0" distB="0" distL="0" distR="0" wp14:anchorId="7DF27BEE" wp14:editId="298BF80C">
            <wp:extent cx="5724525" cy="3471333"/>
            <wp:effectExtent l="0" t="0" r="0" b="0"/>
            <wp:docPr id="967578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7712" cy="3485394"/>
                    </a:xfrm>
                    <a:prstGeom prst="rect">
                      <a:avLst/>
                    </a:prstGeom>
                    <a:noFill/>
                    <a:ln>
                      <a:noFill/>
                    </a:ln>
                  </pic:spPr>
                </pic:pic>
              </a:graphicData>
            </a:graphic>
          </wp:inline>
        </w:drawing>
      </w:r>
    </w:p>
    <w:p w14:paraId="2698D2E9" w14:textId="68324B0C" w:rsidR="00AF6B6E" w:rsidRPr="008F6905" w:rsidRDefault="00AF6B6E" w:rsidP="00AF6B6E">
      <w:pPr>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Figure 7: Multi-Agent ATS Performance</w:t>
      </w:r>
    </w:p>
    <w:p w14:paraId="67846307" w14:textId="7AB0005E" w:rsidR="007071F5" w:rsidRPr="008F6905" w:rsidRDefault="008F6905" w:rsidP="00AF6B6E">
      <w:pPr>
        <w:spacing w:before="240"/>
        <w:jc w:val="both"/>
        <w:rPr>
          <w:rFonts w:ascii="Times New Roman" w:hAnsi="Times New Roman" w:cs="Times New Roman"/>
          <w:sz w:val="20"/>
          <w:szCs w:val="20"/>
        </w:rPr>
      </w:pPr>
      <w:r w:rsidRPr="008F6905">
        <w:rPr>
          <w:rFonts w:ascii="Times New Roman" w:hAnsi="Times New Roman" w:cs="Times New Roman"/>
          <w:sz w:val="20"/>
          <w:szCs w:val="20"/>
        </w:rPr>
        <w:lastRenderedPageBreak/>
        <w:t>Fig</w:t>
      </w:r>
      <w:r>
        <w:rPr>
          <w:rFonts w:ascii="Times New Roman" w:hAnsi="Times New Roman" w:cs="Times New Roman"/>
          <w:sz w:val="20"/>
          <w:szCs w:val="20"/>
        </w:rPr>
        <w:t>. 7</w:t>
      </w:r>
      <w:r w:rsidRPr="008F6905">
        <w:rPr>
          <w:rFonts w:ascii="Times New Roman" w:hAnsi="Times New Roman" w:cs="Times New Roman"/>
          <w:sz w:val="20"/>
          <w:szCs w:val="20"/>
        </w:rPr>
        <w:t xml:space="preserve"> illustrates the evaluation of the seven-agent ATS pipeline. Subfigure (a) reports per-agent processing times under parallel execution, resulting in a total inference time of 6.82 seconds. Subfigure (b) compares model accuracy to human recruiters across keyword matching, formatting detection, and content scoring. Subfigure (c) shows a log-scale comparison of processing time, where the multi-agent ATS achieves a 97.6% reduction relative to manual review. Subfigure (d) assesses scoring consistency across different score ranges, and subfigure (e) examines scalability, showing throughput gains with minimal degradation in quality as instances scale.</w:t>
      </w:r>
      <w:r>
        <w:rPr>
          <w:rFonts w:ascii="Times New Roman" w:hAnsi="Times New Roman" w:cs="Times New Roman"/>
          <w:sz w:val="20"/>
          <w:szCs w:val="20"/>
        </w:rPr>
        <w:br/>
      </w:r>
      <w:r w:rsidR="00737EB2" w:rsidRPr="008F6905">
        <w:rPr>
          <w:rFonts w:ascii="Times New Roman" w:hAnsi="Times New Roman" w:cs="Times New Roman"/>
          <w:sz w:val="20"/>
          <w:szCs w:val="20"/>
        </w:rPr>
        <w:t>T</w:t>
      </w:r>
      <w:r w:rsidR="004D7D94" w:rsidRPr="008F6905">
        <w:rPr>
          <w:rFonts w:ascii="Times New Roman" w:hAnsi="Times New Roman" w:cs="Times New Roman"/>
          <w:sz w:val="20"/>
          <w:szCs w:val="20"/>
        </w:rPr>
        <w:t xml:space="preserve">o understand the nature of disagreements between our automated system and human recruiters, we analyzed the distribution and causes of scoring deviations. Table </w:t>
      </w:r>
      <w:r w:rsidR="00483126" w:rsidRPr="008F6905">
        <w:rPr>
          <w:rFonts w:ascii="Times New Roman" w:hAnsi="Times New Roman" w:cs="Times New Roman"/>
          <w:sz w:val="20"/>
          <w:szCs w:val="20"/>
        </w:rPr>
        <w:t>5</w:t>
      </w:r>
      <w:r w:rsidR="004D7D94" w:rsidRPr="008F6905">
        <w:rPr>
          <w:rFonts w:ascii="Times New Roman" w:hAnsi="Times New Roman" w:cs="Times New Roman"/>
          <w:sz w:val="20"/>
          <w:szCs w:val="20"/>
        </w:rPr>
        <w:t xml:space="preserve"> presents deviation frequency across four ranges. The majority of evaluations at 78.3 </w:t>
      </w:r>
      <w:r w:rsidR="00D13ECA">
        <w:rPr>
          <w:rFonts w:ascii="Times New Roman" w:hAnsi="Times New Roman" w:cs="Times New Roman"/>
          <w:sz w:val="20"/>
          <w:szCs w:val="20"/>
        </w:rPr>
        <w:t>%</w:t>
      </w:r>
      <w:r w:rsidR="004D7D94" w:rsidRPr="008F6905">
        <w:rPr>
          <w:rFonts w:ascii="Times New Roman" w:hAnsi="Times New Roman" w:cs="Times New Roman"/>
          <w:sz w:val="20"/>
          <w:szCs w:val="20"/>
        </w:rPr>
        <w:t xml:space="preserve"> fall within ±5 points of mean human scores, representing normal variation attributable to legitimate differences in subjective judgment even among human raters. Moderate deviations of ±6-10 points occur in 18.4 </w:t>
      </w:r>
      <w:r w:rsidR="00D13ECA">
        <w:rPr>
          <w:rFonts w:ascii="Times New Roman" w:hAnsi="Times New Roman" w:cs="Times New Roman"/>
          <w:sz w:val="20"/>
          <w:szCs w:val="20"/>
        </w:rPr>
        <w:t>%</w:t>
      </w:r>
      <w:r w:rsidR="004D7D94" w:rsidRPr="008F6905">
        <w:rPr>
          <w:rFonts w:ascii="Times New Roman" w:hAnsi="Times New Roman" w:cs="Times New Roman"/>
          <w:sz w:val="20"/>
          <w:szCs w:val="20"/>
        </w:rPr>
        <w:t xml:space="preserve"> of cases, primarily stemming from subjective content assessment where multiple reasonable perspectives exist regarding experience description quality or achievement significance. Larger deviations of ±11-15 points affect only 2.7 </w:t>
      </w:r>
      <w:r w:rsidR="00D13ECA">
        <w:rPr>
          <w:rFonts w:ascii="Times New Roman" w:hAnsi="Times New Roman" w:cs="Times New Roman"/>
          <w:sz w:val="20"/>
          <w:szCs w:val="20"/>
        </w:rPr>
        <w:t>%</w:t>
      </w:r>
      <w:r w:rsidR="004D7D94" w:rsidRPr="008F6905">
        <w:rPr>
          <w:rFonts w:ascii="Times New Roman" w:hAnsi="Times New Roman" w:cs="Times New Roman"/>
          <w:sz w:val="20"/>
          <w:szCs w:val="20"/>
        </w:rPr>
        <w:t xml:space="preserve"> of resumes, typically involving rare formatting edge cases not well-represented in training data. Extreme deviations exceeding 15 points occur in merely 0.6 </w:t>
      </w:r>
      <w:r w:rsidR="00D13ECA">
        <w:rPr>
          <w:rFonts w:ascii="Times New Roman" w:hAnsi="Times New Roman" w:cs="Times New Roman"/>
          <w:sz w:val="20"/>
          <w:szCs w:val="20"/>
        </w:rPr>
        <w:t>%</w:t>
      </w:r>
      <w:r w:rsidR="004D7D94" w:rsidRPr="008F6905">
        <w:rPr>
          <w:rFonts w:ascii="Times New Roman" w:hAnsi="Times New Roman" w:cs="Times New Roman"/>
          <w:sz w:val="20"/>
          <w:szCs w:val="20"/>
        </w:rPr>
        <w:t xml:space="preserve"> of cases, traced to model errors or genuinely anomalous resumes with unusual characteristics. The concentration of deviations within the ±10 point range, coupled with the high frequency of subjective content assessment as the primary cause, suggests our system achieves human-level reliability while acknowledging inherent subjectivity in resume evaluation that even human experts exhibit.</w:t>
      </w:r>
      <w:r w:rsidR="00AF6B6E"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 xml:space="preserve">Examining dimension-specific feedback, recruiters rated our keyword analysis as accurate in 94.2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of cases, our format feedback as accurate in 97.1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of cases, and our content suggestions as helpful in 89.5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of cases. Lower ratings on content suggestions reflect the inherently subjective nature of qualitative assessment, where multiple valid perspectives exist.</w:t>
      </w:r>
      <w:r w:rsidR="00AF6B6E"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Comparative evaluation against commercial ATS tools including Jobscan, Resume Worded, and VMock shows our system achieves higher correlation with human scores at 0.968 compared to 0.831 for the best commercial tool and provides more specific and actionable feedback as rated by users. Users particularly valued the detailed explanations of scoring rationale and specific suggestions with before-after examples.</w:t>
      </w:r>
      <w:r w:rsidR="00AF6B6E"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Analysis time averages 6.8 seconds per resume, enabling real-time interactive feedback. This performance derives from parallel agent execution and efficient model inference.</w:t>
      </w:r>
    </w:p>
    <w:p w14:paraId="665FF7C9" w14:textId="60943EC1" w:rsidR="00AF6B6E" w:rsidRPr="008F6905" w:rsidRDefault="00AF6B6E" w:rsidP="00AF6B6E">
      <w:pPr>
        <w:spacing w:after="0"/>
        <w:jc w:val="center"/>
        <w:rPr>
          <w:rFonts w:ascii="Times New Roman" w:hAnsi="Times New Roman" w:cs="Times New Roman"/>
          <w:sz w:val="20"/>
          <w:szCs w:val="20"/>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VI</w:t>
      </w:r>
      <w:r w:rsidRPr="008F6905">
        <w:rPr>
          <w:rFonts w:ascii="Times New Roman" w:hAnsi="Times New Roman" w:cs="Times New Roman"/>
          <w:bCs/>
          <w:i/>
          <w:iCs/>
          <w:color w:val="000000"/>
          <w:sz w:val="18"/>
          <w:szCs w:val="18"/>
        </w:rPr>
        <w:t>: Multi-Agent System Ablation Study</w:t>
      </w:r>
    </w:p>
    <w:tbl>
      <w:tblPr>
        <w:tblStyle w:val="TableGrid"/>
        <w:tblW w:w="0" w:type="auto"/>
        <w:jc w:val="center"/>
        <w:tblLook w:val="04A0" w:firstRow="1" w:lastRow="0" w:firstColumn="1" w:lastColumn="0" w:noHBand="0" w:noVBand="1"/>
      </w:tblPr>
      <w:tblGrid>
        <w:gridCol w:w="2313"/>
        <w:gridCol w:w="1213"/>
        <w:gridCol w:w="683"/>
        <w:gridCol w:w="1241"/>
      </w:tblGrid>
      <w:tr w:rsidR="001D10ED" w:rsidRPr="008F6905" w14:paraId="3FA67059" w14:textId="77777777" w:rsidTr="001D10ED">
        <w:trPr>
          <w:jc w:val="center"/>
        </w:trPr>
        <w:tc>
          <w:tcPr>
            <w:tcW w:w="0" w:type="auto"/>
            <w:hideMark/>
          </w:tcPr>
          <w:p w14:paraId="2A6152C9"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Agents Active</w:t>
            </w:r>
          </w:p>
        </w:tc>
        <w:tc>
          <w:tcPr>
            <w:tcW w:w="0" w:type="auto"/>
            <w:hideMark/>
          </w:tcPr>
          <w:p w14:paraId="72B1B96A"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Correlation</w:t>
            </w:r>
          </w:p>
        </w:tc>
        <w:tc>
          <w:tcPr>
            <w:tcW w:w="0" w:type="auto"/>
            <w:hideMark/>
          </w:tcPr>
          <w:p w14:paraId="272313E4"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MAE</w:t>
            </w:r>
          </w:p>
        </w:tc>
        <w:tc>
          <w:tcPr>
            <w:tcW w:w="0" w:type="auto"/>
            <w:hideMark/>
          </w:tcPr>
          <w:p w14:paraId="07BED963" w14:textId="77777777" w:rsidR="001D10ED" w:rsidRPr="008F6905" w:rsidRDefault="001D10E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User Rating</w:t>
            </w:r>
          </w:p>
        </w:tc>
      </w:tr>
      <w:tr w:rsidR="001D10ED" w:rsidRPr="008F6905" w14:paraId="7102D641" w14:textId="77777777" w:rsidTr="001D10ED">
        <w:trPr>
          <w:jc w:val="center"/>
        </w:trPr>
        <w:tc>
          <w:tcPr>
            <w:tcW w:w="0" w:type="auto"/>
            <w:hideMark/>
          </w:tcPr>
          <w:p w14:paraId="6F30E7D0"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All 5 Agents</w:t>
            </w:r>
          </w:p>
        </w:tc>
        <w:tc>
          <w:tcPr>
            <w:tcW w:w="0" w:type="auto"/>
            <w:hideMark/>
          </w:tcPr>
          <w:p w14:paraId="4239FC77"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96.8%</w:t>
            </w:r>
          </w:p>
        </w:tc>
        <w:tc>
          <w:tcPr>
            <w:tcW w:w="0" w:type="auto"/>
            <w:hideMark/>
          </w:tcPr>
          <w:p w14:paraId="45973C45"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3.2</w:t>
            </w:r>
          </w:p>
        </w:tc>
        <w:tc>
          <w:tcPr>
            <w:tcW w:w="0" w:type="auto"/>
            <w:hideMark/>
          </w:tcPr>
          <w:p w14:paraId="55EFF124"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4.7</w:t>
            </w:r>
          </w:p>
        </w:tc>
      </w:tr>
      <w:tr w:rsidR="001D10ED" w:rsidRPr="008F6905" w14:paraId="568D62A7" w14:textId="77777777" w:rsidTr="001D10ED">
        <w:trPr>
          <w:jc w:val="center"/>
        </w:trPr>
        <w:tc>
          <w:tcPr>
            <w:tcW w:w="0" w:type="auto"/>
            <w:hideMark/>
          </w:tcPr>
          <w:p w14:paraId="14E27633"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Without Job Match</w:t>
            </w:r>
          </w:p>
        </w:tc>
        <w:tc>
          <w:tcPr>
            <w:tcW w:w="0" w:type="auto"/>
            <w:hideMark/>
          </w:tcPr>
          <w:p w14:paraId="4EDD3C4C"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94.2%</w:t>
            </w:r>
          </w:p>
        </w:tc>
        <w:tc>
          <w:tcPr>
            <w:tcW w:w="0" w:type="auto"/>
            <w:hideMark/>
          </w:tcPr>
          <w:p w14:paraId="185F0B2D"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4.1</w:t>
            </w:r>
          </w:p>
        </w:tc>
        <w:tc>
          <w:tcPr>
            <w:tcW w:w="0" w:type="auto"/>
            <w:hideMark/>
          </w:tcPr>
          <w:p w14:paraId="113C6F7A"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4.5</w:t>
            </w:r>
          </w:p>
        </w:tc>
      </w:tr>
      <w:tr w:rsidR="001D10ED" w:rsidRPr="008F6905" w14:paraId="108EFA13" w14:textId="77777777" w:rsidTr="001D10ED">
        <w:trPr>
          <w:jc w:val="center"/>
        </w:trPr>
        <w:tc>
          <w:tcPr>
            <w:tcW w:w="0" w:type="auto"/>
            <w:hideMark/>
          </w:tcPr>
          <w:p w14:paraId="090E7783"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Without Content Agent</w:t>
            </w:r>
          </w:p>
        </w:tc>
        <w:tc>
          <w:tcPr>
            <w:tcW w:w="0" w:type="auto"/>
            <w:hideMark/>
          </w:tcPr>
          <w:p w14:paraId="0B0BA413"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91.5%</w:t>
            </w:r>
          </w:p>
        </w:tc>
        <w:tc>
          <w:tcPr>
            <w:tcW w:w="0" w:type="auto"/>
            <w:hideMark/>
          </w:tcPr>
          <w:p w14:paraId="58A22B51"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5.8</w:t>
            </w:r>
          </w:p>
        </w:tc>
        <w:tc>
          <w:tcPr>
            <w:tcW w:w="0" w:type="auto"/>
            <w:hideMark/>
          </w:tcPr>
          <w:p w14:paraId="6064A807"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4.1</w:t>
            </w:r>
          </w:p>
        </w:tc>
      </w:tr>
      <w:tr w:rsidR="001D10ED" w:rsidRPr="008F6905" w14:paraId="2FAB6323" w14:textId="77777777" w:rsidTr="001D10ED">
        <w:trPr>
          <w:jc w:val="center"/>
        </w:trPr>
        <w:tc>
          <w:tcPr>
            <w:tcW w:w="0" w:type="auto"/>
            <w:hideMark/>
          </w:tcPr>
          <w:p w14:paraId="581C6319"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Without Format Agent</w:t>
            </w:r>
          </w:p>
        </w:tc>
        <w:tc>
          <w:tcPr>
            <w:tcW w:w="0" w:type="auto"/>
            <w:hideMark/>
          </w:tcPr>
          <w:p w14:paraId="541298C3"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89.3%</w:t>
            </w:r>
          </w:p>
        </w:tc>
        <w:tc>
          <w:tcPr>
            <w:tcW w:w="0" w:type="auto"/>
            <w:hideMark/>
          </w:tcPr>
          <w:p w14:paraId="687B5325"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6.7</w:t>
            </w:r>
          </w:p>
        </w:tc>
        <w:tc>
          <w:tcPr>
            <w:tcW w:w="0" w:type="auto"/>
            <w:hideMark/>
          </w:tcPr>
          <w:p w14:paraId="5E319844"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3.8</w:t>
            </w:r>
          </w:p>
        </w:tc>
      </w:tr>
      <w:tr w:rsidR="001D10ED" w:rsidRPr="008F6905" w14:paraId="4F0733DC" w14:textId="77777777" w:rsidTr="001D10ED">
        <w:trPr>
          <w:jc w:val="center"/>
        </w:trPr>
        <w:tc>
          <w:tcPr>
            <w:tcW w:w="0" w:type="auto"/>
            <w:hideMark/>
          </w:tcPr>
          <w:p w14:paraId="5D0707E9"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Without Keyword Agent</w:t>
            </w:r>
          </w:p>
        </w:tc>
        <w:tc>
          <w:tcPr>
            <w:tcW w:w="0" w:type="auto"/>
            <w:hideMark/>
          </w:tcPr>
          <w:p w14:paraId="71C75972"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85.1%</w:t>
            </w:r>
          </w:p>
        </w:tc>
        <w:tc>
          <w:tcPr>
            <w:tcW w:w="0" w:type="auto"/>
            <w:hideMark/>
          </w:tcPr>
          <w:p w14:paraId="07BF6886"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8.3</w:t>
            </w:r>
          </w:p>
        </w:tc>
        <w:tc>
          <w:tcPr>
            <w:tcW w:w="0" w:type="auto"/>
            <w:hideMark/>
          </w:tcPr>
          <w:p w14:paraId="551984C4"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3.4</w:t>
            </w:r>
          </w:p>
        </w:tc>
      </w:tr>
      <w:tr w:rsidR="001D10ED" w:rsidRPr="008F6905" w14:paraId="70E884AC" w14:textId="77777777" w:rsidTr="001D10ED">
        <w:trPr>
          <w:jc w:val="center"/>
        </w:trPr>
        <w:tc>
          <w:tcPr>
            <w:tcW w:w="0" w:type="auto"/>
            <w:hideMark/>
          </w:tcPr>
          <w:p w14:paraId="625D64E6"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Scoring Only</w:t>
            </w:r>
          </w:p>
        </w:tc>
        <w:tc>
          <w:tcPr>
            <w:tcW w:w="0" w:type="auto"/>
            <w:hideMark/>
          </w:tcPr>
          <w:p w14:paraId="33F4AD90"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78.4%</w:t>
            </w:r>
          </w:p>
        </w:tc>
        <w:tc>
          <w:tcPr>
            <w:tcW w:w="0" w:type="auto"/>
            <w:hideMark/>
          </w:tcPr>
          <w:p w14:paraId="4CB33744"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11.2</w:t>
            </w:r>
          </w:p>
        </w:tc>
        <w:tc>
          <w:tcPr>
            <w:tcW w:w="0" w:type="auto"/>
            <w:hideMark/>
          </w:tcPr>
          <w:p w14:paraId="125C1043" w14:textId="77777777" w:rsidR="001D10ED" w:rsidRPr="008F6905" w:rsidRDefault="001D10E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2.9</w:t>
            </w:r>
          </w:p>
        </w:tc>
      </w:tr>
    </w:tbl>
    <w:p w14:paraId="0F361AB4" w14:textId="695B37BD" w:rsidR="001D10ED" w:rsidRPr="008F6905" w:rsidRDefault="001D10ED" w:rsidP="00AF6B6E">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We evaluated the contribution of individual specialized agents through systematic ablation experiments. Table </w:t>
      </w:r>
      <w:r w:rsidR="00483126" w:rsidRPr="008F6905">
        <w:rPr>
          <w:rFonts w:ascii="Times New Roman" w:hAnsi="Times New Roman" w:cs="Times New Roman"/>
          <w:sz w:val="20"/>
          <w:szCs w:val="20"/>
        </w:rPr>
        <w:t>6</w:t>
      </w:r>
      <w:r w:rsidRPr="008F6905">
        <w:rPr>
          <w:rFonts w:ascii="Times New Roman" w:hAnsi="Times New Roman" w:cs="Times New Roman"/>
          <w:sz w:val="20"/>
          <w:szCs w:val="20"/>
        </w:rPr>
        <w:t xml:space="preserve"> presents correlation with recruiter scores, mean absolute error, and user satisfaction ratings across six configurations. The complete five-agent system achieves 96.8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correlation with 3.2 MAE and 4.7 user rating. Removing the job matching agent reduces correlation to 94.2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demonstrating its value for role-specific analysis. Disabling the content agent drops correlation to 91.5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with 5.8 MAE, highlighting the importance of qualitative assessment. The format agent removal results in 89.3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correlation, while keyword agent removal yields 85.1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showing both structural and semantic analysis contribute significantly. The scoring-only baseline achieves merely 78.4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correlation with 11.2 MAE and 2.9 user rating, confirming that the multi-agent architecture with specialized analysis substantially outperforms monolithic approaches.</w:t>
      </w:r>
    </w:p>
    <w:p w14:paraId="5CD7EF5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 Research Assistant Evaluation</w:t>
      </w:r>
    </w:p>
    <w:p w14:paraId="6306AB3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C.1 Evaluation Methodology</w:t>
      </w:r>
    </w:p>
    <w:p w14:paraId="12429A5B" w14:textId="34D805FC"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Research assistant evaluation presents challenges due to the open-ended nature of research tasks. We adopt a mixed-methods evaluation combining quantitative metrics and qualitative assessment.</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We collected 50 research </w:t>
      </w:r>
      <w:r w:rsidRPr="008F6905">
        <w:rPr>
          <w:rFonts w:ascii="Times New Roman" w:hAnsi="Times New Roman" w:cs="Times New Roman"/>
          <w:sz w:val="20"/>
          <w:szCs w:val="20"/>
        </w:rPr>
        <w:lastRenderedPageBreak/>
        <w:t>queries spanning topics in computer science, business, healthcare, and social sciences. Research topics varied in complexity from literature reviews on established topics to exploratory questions on emerging areas. For each query, we generated reports using our autonomous system and compared against reports authored by graduate students given the same query and one week for completion.</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Evaluation metrics include report completeness measured as </w:t>
      </w:r>
      <w:r w:rsidR="00D13ECA">
        <w:rPr>
          <w:rFonts w:ascii="Times New Roman" w:hAnsi="Times New Roman" w:cs="Times New Roman"/>
          <w:sz w:val="20"/>
          <w:szCs w:val="20"/>
        </w:rPr>
        <w:t>%</w:t>
      </w:r>
      <w:r w:rsidRPr="008F6905">
        <w:rPr>
          <w:rFonts w:ascii="Times New Roman" w:hAnsi="Times New Roman" w:cs="Times New Roman"/>
          <w:sz w:val="20"/>
          <w:szCs w:val="20"/>
        </w:rPr>
        <w:t>age of key points present in human-authored reports that our system also identified, factual accuracy assessed through claim verification against cited sources, citation accuracy checking whether facts are properly attributed to appropriate sources, and time to completion measuring end-to-end duration from query submission to final report delivery.</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Human evaluators including domain experts and graduate students rated reports on quality dimensions including coherence and organization, depth of analysis, balance in presenting multiple perspectives, and overall usefulness.</w:t>
      </w:r>
    </w:p>
    <w:p w14:paraId="7F1F7E44" w14:textId="37E6AB3D" w:rsidR="00AF6B6E" w:rsidRPr="008F6905" w:rsidRDefault="00AF6B6E" w:rsidP="00AF6B6E">
      <w:pPr>
        <w:spacing w:after="0"/>
        <w:jc w:val="center"/>
        <w:rPr>
          <w:rFonts w:ascii="Times New Roman" w:hAnsi="Times New Roman" w:cs="Times New Roman"/>
          <w:sz w:val="20"/>
          <w:szCs w:val="20"/>
        </w:rPr>
      </w:pPr>
      <w:r w:rsidRPr="008F6905">
        <w:rPr>
          <w:rFonts w:ascii="Times New Roman" w:hAnsi="Times New Roman" w:cs="Times New Roman"/>
          <w:noProof/>
          <w:sz w:val="20"/>
          <w:szCs w:val="20"/>
        </w:rPr>
        <w:drawing>
          <wp:inline distT="0" distB="0" distL="0" distR="0" wp14:anchorId="4CF99346" wp14:editId="061B6174">
            <wp:extent cx="5116286" cy="4231135"/>
            <wp:effectExtent l="0" t="0" r="8255" b="0"/>
            <wp:docPr id="162482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19047" cy="4233418"/>
                    </a:xfrm>
                    <a:prstGeom prst="rect">
                      <a:avLst/>
                    </a:prstGeom>
                    <a:noFill/>
                    <a:ln>
                      <a:noFill/>
                    </a:ln>
                  </pic:spPr>
                </pic:pic>
              </a:graphicData>
            </a:graphic>
          </wp:inline>
        </w:drawing>
      </w:r>
    </w:p>
    <w:p w14:paraId="1D54B5F5" w14:textId="2F0A6EC0" w:rsidR="00AF6B6E" w:rsidRDefault="00AF6B6E" w:rsidP="00AF6B6E">
      <w:pPr>
        <w:jc w:val="center"/>
        <w:rPr>
          <w:rFonts w:ascii="Times New Roman" w:hAnsi="Times New Roman" w:cs="Times New Roman"/>
          <w:bCs/>
          <w:i/>
          <w:iCs/>
          <w:color w:val="000000"/>
          <w:sz w:val="18"/>
          <w:szCs w:val="18"/>
        </w:rPr>
      </w:pPr>
      <w:r w:rsidRPr="008F6905">
        <w:rPr>
          <w:rFonts w:ascii="Times New Roman" w:hAnsi="Times New Roman" w:cs="Times New Roman"/>
          <w:bCs/>
          <w:i/>
          <w:iCs/>
          <w:color w:val="000000"/>
          <w:sz w:val="18"/>
          <w:szCs w:val="18"/>
        </w:rPr>
        <w:t xml:space="preserve">Figure </w:t>
      </w:r>
      <w:r w:rsidR="00E016C7" w:rsidRPr="008F6905">
        <w:rPr>
          <w:rFonts w:ascii="Times New Roman" w:hAnsi="Times New Roman" w:cs="Times New Roman"/>
          <w:bCs/>
          <w:i/>
          <w:iCs/>
          <w:color w:val="000000"/>
          <w:sz w:val="18"/>
          <w:szCs w:val="18"/>
        </w:rPr>
        <w:t>8</w:t>
      </w:r>
      <w:r w:rsidRPr="008F6905">
        <w:rPr>
          <w:rFonts w:ascii="Times New Roman" w:hAnsi="Times New Roman" w:cs="Times New Roman"/>
          <w:bCs/>
          <w:i/>
          <w:iCs/>
          <w:color w:val="000000"/>
          <w:sz w:val="18"/>
          <w:szCs w:val="18"/>
        </w:rPr>
        <w:t xml:space="preserve">: </w:t>
      </w:r>
      <w:r w:rsidR="00E016C7" w:rsidRPr="008F6905">
        <w:rPr>
          <w:rFonts w:ascii="Times New Roman" w:hAnsi="Times New Roman" w:cs="Times New Roman"/>
          <w:bCs/>
          <w:i/>
          <w:iCs/>
          <w:color w:val="000000"/>
          <w:sz w:val="18"/>
          <w:szCs w:val="18"/>
        </w:rPr>
        <w:t>Autonomous Research Agent Evaluation</w:t>
      </w:r>
    </w:p>
    <w:p w14:paraId="6E813DB8" w14:textId="606B28BF" w:rsidR="008F6905" w:rsidRPr="008F6905" w:rsidRDefault="008F6905" w:rsidP="008F6905">
      <w:pPr>
        <w:rPr>
          <w:rFonts w:ascii="Times New Roman" w:hAnsi="Times New Roman" w:cs="Times New Roman"/>
          <w:sz w:val="20"/>
          <w:szCs w:val="20"/>
        </w:rPr>
      </w:pPr>
      <w:r w:rsidRPr="008F6905">
        <w:rPr>
          <w:rFonts w:ascii="Times New Roman" w:hAnsi="Times New Roman" w:cs="Times New Roman"/>
          <w:sz w:val="20"/>
          <w:szCs w:val="20"/>
        </w:rPr>
        <w:t>Fig</w:t>
      </w:r>
      <w:r>
        <w:rPr>
          <w:rFonts w:ascii="Times New Roman" w:hAnsi="Times New Roman" w:cs="Times New Roman"/>
          <w:sz w:val="20"/>
          <w:szCs w:val="20"/>
        </w:rPr>
        <w:t>. 8</w:t>
      </w:r>
      <w:r w:rsidRPr="008F6905">
        <w:rPr>
          <w:rFonts w:ascii="Times New Roman" w:hAnsi="Times New Roman" w:cs="Times New Roman"/>
          <w:sz w:val="20"/>
          <w:szCs w:val="20"/>
        </w:rPr>
        <w:t xml:space="preserve"> presents the performance of the autonomous research agent. Subfigure (a) depicts execution times across the seven stages of the HTN-based workflow, along with corresponding success rates. Subfigure (b) compares the agent’s outputs against manual research across multiple quality dimensions, including factual accuracy and comprehensiveness. Subfigure (c) evaluates factual verification accuracy across categories such as causal relations, quotations, and technical specifications. Subfigure (d) shows the distribution of retrieved, filtered, and cited sources, demonstrating effective source reduction and evidence selection.</w:t>
      </w:r>
    </w:p>
    <w:p w14:paraId="20284BC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C.2 Results</w:t>
      </w:r>
    </w:p>
    <w:p w14:paraId="1AED370B" w14:textId="31567D74" w:rsidR="007071F5" w:rsidRPr="008F6905" w:rsidRDefault="007071F5" w:rsidP="00377A23">
      <w:pPr>
        <w:jc w:val="both"/>
        <w:rPr>
          <w:rFonts w:ascii="Times New Roman" w:hAnsi="Times New Roman" w:cs="Times New Roman"/>
          <w:sz w:val="20"/>
          <w:szCs w:val="20"/>
        </w:rPr>
      </w:pPr>
      <w:r w:rsidRPr="008F6905">
        <w:rPr>
          <w:rFonts w:ascii="Times New Roman" w:hAnsi="Times New Roman" w:cs="Times New Roman"/>
          <w:sz w:val="20"/>
          <w:szCs w:val="20"/>
        </w:rPr>
        <w:t>Our research assistant achieves 87.3</w:t>
      </w:r>
      <w:r w:rsidR="00E71789">
        <w:rPr>
          <w:rFonts w:ascii="Times New Roman" w:hAnsi="Times New Roman" w:cs="Times New Roman"/>
          <w:sz w:val="20"/>
          <w:szCs w:val="20"/>
        </w:rPr>
        <w:t>%</w:t>
      </w:r>
      <w:r w:rsidRPr="008F6905">
        <w:rPr>
          <w:rFonts w:ascii="Times New Roman" w:hAnsi="Times New Roman" w:cs="Times New Roman"/>
          <w:sz w:val="20"/>
          <w:szCs w:val="20"/>
        </w:rPr>
        <w:t xml:space="preserve"> report completeness, successfully identifying most key points present in human reports. Factual accuracy analysis reveals 98.2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verifiable claims are correctly attributed and factually accurate based on source checking. Citation accuracy reaches 98.7</w:t>
      </w:r>
      <w:r w:rsidR="00E71789">
        <w:rPr>
          <w:rFonts w:ascii="Times New Roman" w:hAnsi="Times New Roman" w:cs="Times New Roman"/>
          <w:sz w:val="20"/>
          <w:szCs w:val="20"/>
        </w:rPr>
        <w:t>%</w:t>
      </w:r>
      <w:r w:rsidRPr="008F6905">
        <w:rPr>
          <w:rFonts w:ascii="Times New Roman" w:hAnsi="Times New Roman" w:cs="Times New Roman"/>
          <w:sz w:val="20"/>
          <w:szCs w:val="20"/>
        </w:rPr>
        <w:t xml:space="preserve"> with proper attribution and formatting.</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Human quality ratings average 4.2 out of 5 for coherence, 3.8 out of 5 for depth, 4.1 out of 5 for balance, and 4.3 out of 5 for overall usefulness. Lower depth ratings reflect that automated reports sometimes lack the nuanced interpretation present in expert human analysis, particularly for complex topics requiring significant domain knowledge.</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Time to completion averages 8.3 minutes per research report compared to 15.2 hours for human-authored reports, representing a 110-fold speedup. This dramatic reduction in time requirements enables iterative </w:t>
      </w:r>
      <w:r w:rsidRPr="008F6905">
        <w:rPr>
          <w:rFonts w:ascii="Times New Roman" w:hAnsi="Times New Roman" w:cs="Times New Roman"/>
          <w:sz w:val="20"/>
          <w:szCs w:val="20"/>
        </w:rPr>
        <w:lastRenderedPageBreak/>
        <w:t>refinement and broader exploratory research that would be impractical with fully manual processes.</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Ablation studies removing individual agents quantify their contributions. Removing the fact verification agent decreases accuracy by 3.1</w:t>
      </w:r>
      <w:r w:rsidR="00295DC4">
        <w:rPr>
          <w:rFonts w:ascii="Times New Roman" w:hAnsi="Times New Roman" w:cs="Times New Roman"/>
          <w:sz w:val="20"/>
          <w:szCs w:val="20"/>
        </w:rPr>
        <w:t>%</w:t>
      </w:r>
      <w:r w:rsidRPr="008F6905">
        <w:rPr>
          <w:rFonts w:ascii="Times New Roman" w:hAnsi="Times New Roman" w:cs="Times New Roman"/>
          <w:sz w:val="20"/>
          <w:szCs w:val="20"/>
        </w:rPr>
        <w:t xml:space="preserve"> . Removing the synthesis agent substantially degrades coherence ratings by 0.9 points. Removing the relevance filtering agent increases inclusion of lower-quality sources, decreasing expert quality ratings by 0.6 points.</w:t>
      </w:r>
    </w:p>
    <w:p w14:paraId="739F3ABD" w14:textId="3C56D5BF" w:rsidR="00AF6B6E" w:rsidRPr="008F6905" w:rsidRDefault="00AF6B6E" w:rsidP="00AF6B6E">
      <w:pPr>
        <w:spacing w:after="0"/>
        <w:jc w:val="center"/>
        <w:rPr>
          <w:rFonts w:ascii="Times New Roman" w:hAnsi="Times New Roman" w:cs="Times New Roman"/>
          <w:sz w:val="20"/>
          <w:szCs w:val="20"/>
        </w:rPr>
      </w:pPr>
      <w:r w:rsidRPr="008F6905">
        <w:rPr>
          <w:rFonts w:ascii="Times New Roman" w:hAnsi="Times New Roman" w:cs="Times New Roman"/>
          <w:bCs/>
          <w:i/>
          <w:iCs/>
          <w:color w:val="000000"/>
          <w:sz w:val="18"/>
          <w:szCs w:val="18"/>
        </w:rPr>
        <w:t xml:space="preserve">Table </w:t>
      </w:r>
      <w:r w:rsidR="00820BF0">
        <w:rPr>
          <w:rFonts w:ascii="Times New Roman" w:hAnsi="Times New Roman" w:cs="Times New Roman"/>
          <w:bCs/>
          <w:i/>
          <w:iCs/>
          <w:color w:val="000000"/>
          <w:sz w:val="18"/>
          <w:szCs w:val="18"/>
        </w:rPr>
        <w:t>VII</w:t>
      </w:r>
      <w:r w:rsidRPr="008F6905">
        <w:rPr>
          <w:rFonts w:ascii="Times New Roman" w:hAnsi="Times New Roman" w:cs="Times New Roman"/>
          <w:bCs/>
          <w:i/>
          <w:iCs/>
          <w:color w:val="000000"/>
          <w:sz w:val="18"/>
          <w:szCs w:val="18"/>
        </w:rPr>
        <w:t>: Domain-Specific Performance Analysis</w:t>
      </w:r>
    </w:p>
    <w:tbl>
      <w:tblPr>
        <w:tblStyle w:val="TableGrid"/>
        <w:tblW w:w="0" w:type="auto"/>
        <w:jc w:val="center"/>
        <w:tblLook w:val="04A0" w:firstRow="1" w:lastRow="0" w:firstColumn="1" w:lastColumn="0" w:noHBand="0" w:noVBand="1"/>
      </w:tblPr>
      <w:tblGrid>
        <w:gridCol w:w="1774"/>
        <w:gridCol w:w="1418"/>
        <w:gridCol w:w="1026"/>
        <w:gridCol w:w="1027"/>
        <w:gridCol w:w="963"/>
      </w:tblGrid>
      <w:tr w:rsidR="009933FE" w:rsidRPr="008F6905" w14:paraId="14965444" w14:textId="77777777" w:rsidTr="009933FE">
        <w:trPr>
          <w:jc w:val="center"/>
        </w:trPr>
        <w:tc>
          <w:tcPr>
            <w:tcW w:w="0" w:type="auto"/>
            <w:hideMark/>
          </w:tcPr>
          <w:p w14:paraId="2586DF0F" w14:textId="77777777" w:rsidR="009933FE" w:rsidRPr="008F6905" w:rsidRDefault="009933FE"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Domain</w:t>
            </w:r>
          </w:p>
        </w:tc>
        <w:tc>
          <w:tcPr>
            <w:tcW w:w="0" w:type="auto"/>
            <w:hideMark/>
          </w:tcPr>
          <w:p w14:paraId="4227FFE4" w14:textId="77777777" w:rsidR="009933FE" w:rsidRPr="008F6905" w:rsidRDefault="009933FE"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Training Docs</w:t>
            </w:r>
          </w:p>
        </w:tc>
        <w:tc>
          <w:tcPr>
            <w:tcW w:w="0" w:type="auto"/>
            <w:hideMark/>
          </w:tcPr>
          <w:p w14:paraId="1390A592" w14:textId="77777777" w:rsidR="009933FE" w:rsidRPr="008F6905" w:rsidRDefault="009933FE"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Test Docs</w:t>
            </w:r>
          </w:p>
        </w:tc>
        <w:tc>
          <w:tcPr>
            <w:tcW w:w="0" w:type="auto"/>
            <w:hideMark/>
          </w:tcPr>
          <w:p w14:paraId="2F2CA06A" w14:textId="77777777" w:rsidR="009933FE" w:rsidRPr="008F6905" w:rsidRDefault="009933FE"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Accuracy</w:t>
            </w:r>
          </w:p>
        </w:tc>
        <w:tc>
          <w:tcPr>
            <w:tcW w:w="0" w:type="auto"/>
            <w:hideMark/>
          </w:tcPr>
          <w:p w14:paraId="5E12DC32" w14:textId="77777777" w:rsidR="009933FE" w:rsidRPr="008F6905" w:rsidRDefault="009933FE"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F1 Score</w:t>
            </w:r>
          </w:p>
        </w:tc>
      </w:tr>
      <w:tr w:rsidR="009933FE" w:rsidRPr="008F6905" w14:paraId="3ADC5DDC" w14:textId="77777777" w:rsidTr="009933FE">
        <w:trPr>
          <w:jc w:val="center"/>
        </w:trPr>
        <w:tc>
          <w:tcPr>
            <w:tcW w:w="0" w:type="auto"/>
            <w:hideMark/>
          </w:tcPr>
          <w:p w14:paraId="662B6FF8"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Computer Science</w:t>
            </w:r>
          </w:p>
        </w:tc>
        <w:tc>
          <w:tcPr>
            <w:tcW w:w="0" w:type="auto"/>
            <w:hideMark/>
          </w:tcPr>
          <w:p w14:paraId="2B7370EF"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450</w:t>
            </w:r>
          </w:p>
        </w:tc>
        <w:tc>
          <w:tcPr>
            <w:tcW w:w="0" w:type="auto"/>
            <w:hideMark/>
          </w:tcPr>
          <w:p w14:paraId="06C053A0"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50</w:t>
            </w:r>
          </w:p>
        </w:tc>
        <w:tc>
          <w:tcPr>
            <w:tcW w:w="0" w:type="auto"/>
            <w:hideMark/>
          </w:tcPr>
          <w:p w14:paraId="1B54C997"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81.2%</w:t>
            </w:r>
          </w:p>
        </w:tc>
        <w:tc>
          <w:tcPr>
            <w:tcW w:w="0" w:type="auto"/>
            <w:hideMark/>
          </w:tcPr>
          <w:p w14:paraId="1EC65CA1"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88.3%</w:t>
            </w:r>
          </w:p>
        </w:tc>
      </w:tr>
      <w:tr w:rsidR="009933FE" w:rsidRPr="008F6905" w14:paraId="43FE34BD" w14:textId="77777777" w:rsidTr="009933FE">
        <w:trPr>
          <w:jc w:val="center"/>
        </w:trPr>
        <w:tc>
          <w:tcPr>
            <w:tcW w:w="0" w:type="auto"/>
            <w:hideMark/>
          </w:tcPr>
          <w:p w14:paraId="3309A4CD"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Medicine</w:t>
            </w:r>
          </w:p>
        </w:tc>
        <w:tc>
          <w:tcPr>
            <w:tcW w:w="0" w:type="auto"/>
            <w:hideMark/>
          </w:tcPr>
          <w:p w14:paraId="14042B2F"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w:t>
            </w:r>
          </w:p>
        </w:tc>
        <w:tc>
          <w:tcPr>
            <w:tcW w:w="0" w:type="auto"/>
            <w:hideMark/>
          </w:tcPr>
          <w:p w14:paraId="7EF97453"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50</w:t>
            </w:r>
          </w:p>
        </w:tc>
        <w:tc>
          <w:tcPr>
            <w:tcW w:w="0" w:type="auto"/>
            <w:hideMark/>
          </w:tcPr>
          <w:p w14:paraId="42F09494"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68.4%</w:t>
            </w:r>
          </w:p>
        </w:tc>
        <w:tc>
          <w:tcPr>
            <w:tcW w:w="0" w:type="auto"/>
            <w:hideMark/>
          </w:tcPr>
          <w:p w14:paraId="2280D87F"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76.1%</w:t>
            </w:r>
          </w:p>
        </w:tc>
      </w:tr>
      <w:tr w:rsidR="009933FE" w:rsidRPr="008F6905" w14:paraId="6AA44EC8" w14:textId="77777777" w:rsidTr="009933FE">
        <w:trPr>
          <w:jc w:val="center"/>
        </w:trPr>
        <w:tc>
          <w:tcPr>
            <w:tcW w:w="0" w:type="auto"/>
            <w:hideMark/>
          </w:tcPr>
          <w:p w14:paraId="0A39FDC5"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Law</w:t>
            </w:r>
          </w:p>
        </w:tc>
        <w:tc>
          <w:tcPr>
            <w:tcW w:w="0" w:type="auto"/>
            <w:hideMark/>
          </w:tcPr>
          <w:p w14:paraId="6DC93080"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w:t>
            </w:r>
          </w:p>
        </w:tc>
        <w:tc>
          <w:tcPr>
            <w:tcW w:w="0" w:type="auto"/>
            <w:hideMark/>
          </w:tcPr>
          <w:p w14:paraId="5A5698B5"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50</w:t>
            </w:r>
          </w:p>
        </w:tc>
        <w:tc>
          <w:tcPr>
            <w:tcW w:w="0" w:type="auto"/>
            <w:hideMark/>
          </w:tcPr>
          <w:p w14:paraId="472D3B7C"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64.7%</w:t>
            </w:r>
          </w:p>
        </w:tc>
        <w:tc>
          <w:tcPr>
            <w:tcW w:w="0" w:type="auto"/>
            <w:hideMark/>
          </w:tcPr>
          <w:p w14:paraId="2D4FD4D2"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72.8%</w:t>
            </w:r>
          </w:p>
        </w:tc>
      </w:tr>
      <w:tr w:rsidR="009933FE" w:rsidRPr="008F6905" w14:paraId="090DB256" w14:textId="77777777" w:rsidTr="009933FE">
        <w:trPr>
          <w:jc w:val="center"/>
        </w:trPr>
        <w:tc>
          <w:tcPr>
            <w:tcW w:w="0" w:type="auto"/>
            <w:hideMark/>
          </w:tcPr>
          <w:p w14:paraId="3C6F4E56"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Business</w:t>
            </w:r>
          </w:p>
        </w:tc>
        <w:tc>
          <w:tcPr>
            <w:tcW w:w="0" w:type="auto"/>
            <w:hideMark/>
          </w:tcPr>
          <w:p w14:paraId="151D0080"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150</w:t>
            </w:r>
          </w:p>
        </w:tc>
        <w:tc>
          <w:tcPr>
            <w:tcW w:w="0" w:type="auto"/>
            <w:hideMark/>
          </w:tcPr>
          <w:p w14:paraId="14A8FE60"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50</w:t>
            </w:r>
          </w:p>
        </w:tc>
        <w:tc>
          <w:tcPr>
            <w:tcW w:w="0" w:type="auto"/>
            <w:hideMark/>
          </w:tcPr>
          <w:p w14:paraId="3233747B"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75.8%</w:t>
            </w:r>
          </w:p>
        </w:tc>
        <w:tc>
          <w:tcPr>
            <w:tcW w:w="0" w:type="auto"/>
            <w:hideMark/>
          </w:tcPr>
          <w:p w14:paraId="7B0850B9"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83.2%</w:t>
            </w:r>
          </w:p>
        </w:tc>
      </w:tr>
      <w:tr w:rsidR="009933FE" w:rsidRPr="008F6905" w14:paraId="4B65B73D" w14:textId="77777777" w:rsidTr="009933FE">
        <w:trPr>
          <w:jc w:val="center"/>
        </w:trPr>
        <w:tc>
          <w:tcPr>
            <w:tcW w:w="0" w:type="auto"/>
            <w:hideMark/>
          </w:tcPr>
          <w:p w14:paraId="6D7F3AB9"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General</w:t>
            </w:r>
          </w:p>
        </w:tc>
        <w:tc>
          <w:tcPr>
            <w:tcW w:w="0" w:type="auto"/>
            <w:hideMark/>
          </w:tcPr>
          <w:p w14:paraId="44FCAEDD"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400</w:t>
            </w:r>
          </w:p>
        </w:tc>
        <w:tc>
          <w:tcPr>
            <w:tcW w:w="0" w:type="auto"/>
            <w:hideMark/>
          </w:tcPr>
          <w:p w14:paraId="2CCD1E3E"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50</w:t>
            </w:r>
          </w:p>
        </w:tc>
        <w:tc>
          <w:tcPr>
            <w:tcW w:w="0" w:type="auto"/>
            <w:hideMark/>
          </w:tcPr>
          <w:p w14:paraId="540DEEB7"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78.2%</w:t>
            </w:r>
          </w:p>
        </w:tc>
        <w:tc>
          <w:tcPr>
            <w:tcW w:w="0" w:type="auto"/>
            <w:hideMark/>
          </w:tcPr>
          <w:p w14:paraId="358BB32E" w14:textId="77777777" w:rsidR="009933FE" w:rsidRPr="008F6905" w:rsidRDefault="009933FE"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86.4%</w:t>
            </w:r>
          </w:p>
        </w:tc>
      </w:tr>
    </w:tbl>
    <w:p w14:paraId="1F70398F" w14:textId="44B45173" w:rsidR="009933FE" w:rsidRPr="008F6905" w:rsidRDefault="009933FE" w:rsidP="008F6905">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We evaluated the research assistant's performance across five distinct domains to assess generalization capabilities and identify domain-specific challenges. Table </w:t>
      </w:r>
      <w:r w:rsidR="009963B8" w:rsidRPr="008F6905">
        <w:rPr>
          <w:rFonts w:ascii="Times New Roman" w:hAnsi="Times New Roman" w:cs="Times New Roman"/>
          <w:sz w:val="20"/>
          <w:szCs w:val="20"/>
        </w:rPr>
        <w:t>7</w:t>
      </w:r>
      <w:r w:rsidRPr="008F6905">
        <w:rPr>
          <w:rFonts w:ascii="Times New Roman" w:hAnsi="Times New Roman" w:cs="Times New Roman"/>
          <w:sz w:val="20"/>
          <w:szCs w:val="20"/>
        </w:rPr>
        <w:t xml:space="preserve"> presents training data availability, test set size, and performance metrics for each domain. Computer Science, with 450 training documents, achieves the strongest performance at 81.2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and 88.3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F1 score on 50 test queries, benefiting from substantial domain representation in training data and alignment with the system's technical foundations. The Business domain with 150 training documents achieves 75.8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and 83.2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F1 score, demonstrating reasonable performance with moderate training data. The General domain, encompassing diverse topics with 400 training documents, reaches 78.2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and 86.4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F1 score, showing effective cross-domain generalization. Notably, Medicine and Law domains with zero domain-specific training documents achieve 68.4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and 64.7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respectively, significantly lower than trained domains but still providing useful research assistance. These results demonstrate that while the system generalizes reasonably to unseen domains through transfer learning from its broad foundation model training, domain-specific fine-tuning data substantially improves performance. Future work should prioritize expanding training data coverage for specialized domains including medicine, law, and social sciences to achieve more uniform cross-domain performance.</w:t>
      </w:r>
    </w:p>
    <w:p w14:paraId="7736F4D0"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 Text-to-SQL Evaluation</w:t>
      </w:r>
    </w:p>
    <w:p w14:paraId="125AB445"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D.1 Benchmark Results</w:t>
      </w:r>
    </w:p>
    <w:p w14:paraId="01942C52" w14:textId="4BEA943B" w:rsidR="00D54C65" w:rsidRDefault="00D54C65" w:rsidP="00237400">
      <w:pPr>
        <w:jc w:val="both"/>
        <w:rPr>
          <w:rFonts w:ascii="Times New Roman" w:hAnsi="Times New Roman" w:cs="Times New Roman"/>
          <w:sz w:val="20"/>
          <w:szCs w:val="20"/>
        </w:rPr>
      </w:pPr>
      <w:r w:rsidRPr="00D54C65">
        <w:rPr>
          <w:rFonts w:ascii="Times New Roman" w:hAnsi="Times New Roman" w:cs="Times New Roman"/>
          <w:sz w:val="20"/>
          <w:szCs w:val="20"/>
        </w:rPr>
        <w:t xml:space="preserve">We evaluate Text-to-SQL performance on the Spider benchmark, consisting of 10,181 questions across 200 databases with complex schemas [23]. Spider requires generalization to unseen databases and complex SQL including joins, nested queries, and aggregations. Our system achieves 94.2 </w:t>
      </w:r>
      <w:r w:rsidR="00D13ECA">
        <w:rPr>
          <w:rFonts w:ascii="Times New Roman" w:hAnsi="Times New Roman" w:cs="Times New Roman"/>
          <w:sz w:val="20"/>
          <w:szCs w:val="20"/>
        </w:rPr>
        <w:t>%</w:t>
      </w:r>
      <w:r w:rsidRPr="00D54C65">
        <w:rPr>
          <w:rFonts w:ascii="Times New Roman" w:hAnsi="Times New Roman" w:cs="Times New Roman"/>
          <w:sz w:val="20"/>
          <w:szCs w:val="20"/>
        </w:rPr>
        <w:t xml:space="preserve"> execution accuracy on Spider's development set, comparing favorably to published results from RESDSQL at 84.1 </w:t>
      </w:r>
      <w:r w:rsidR="00D13ECA">
        <w:rPr>
          <w:rFonts w:ascii="Times New Roman" w:hAnsi="Times New Roman" w:cs="Times New Roman"/>
          <w:sz w:val="20"/>
          <w:szCs w:val="20"/>
        </w:rPr>
        <w:t>%</w:t>
      </w:r>
      <w:r w:rsidRPr="00D54C65">
        <w:rPr>
          <w:rFonts w:ascii="Times New Roman" w:hAnsi="Times New Roman" w:cs="Times New Roman"/>
          <w:sz w:val="20"/>
          <w:szCs w:val="20"/>
        </w:rPr>
        <w:t xml:space="preserve"> [10] and DIN-SQL at 85.3 </w:t>
      </w:r>
      <w:r w:rsidR="00D13ECA">
        <w:rPr>
          <w:rFonts w:ascii="Times New Roman" w:hAnsi="Times New Roman" w:cs="Times New Roman"/>
          <w:sz w:val="20"/>
          <w:szCs w:val="20"/>
        </w:rPr>
        <w:t>%</w:t>
      </w:r>
      <w:r w:rsidRPr="00D54C65">
        <w:rPr>
          <w:rFonts w:ascii="Times New Roman" w:hAnsi="Times New Roman" w:cs="Times New Roman"/>
          <w:sz w:val="20"/>
          <w:szCs w:val="20"/>
        </w:rPr>
        <w:t xml:space="preserve"> [12]. This performance improvement derives from our large foundation model's strong language understanding capabilities and schema-aware fine-tuning incorporating database metadata in training examples.</w:t>
      </w:r>
    </w:p>
    <w:p w14:paraId="58697003" w14:textId="006C214D"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Detailed analysis by query complexity shows accuracy of 97.8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simple queries involving single tables, 95.3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moderate queries with joins and basic aggregations, 92.1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hard queries with nested subqueries and multiple aggregations, and 88.7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on extra-hard queries involving complex combinations of joins, unions, and advanced aggregations. Performance degrades with complexity but remains strong across difficulty levels.</w:t>
      </w:r>
    </w:p>
    <w:p w14:paraId="14F396C3" w14:textId="3DB2F795" w:rsidR="00AF6B6E" w:rsidRPr="008F6905" w:rsidRDefault="00AF6B6E" w:rsidP="00AF6B6E">
      <w:pPr>
        <w:spacing w:after="0"/>
        <w:jc w:val="center"/>
        <w:rPr>
          <w:rFonts w:ascii="Times New Roman" w:hAnsi="Times New Roman" w:cs="Times New Roman"/>
          <w:sz w:val="20"/>
          <w:szCs w:val="20"/>
        </w:rPr>
      </w:pPr>
      <w:r w:rsidRPr="008F6905">
        <w:rPr>
          <w:rFonts w:ascii="Times New Roman" w:hAnsi="Times New Roman" w:cs="Times New Roman"/>
          <w:bCs/>
          <w:i/>
          <w:iCs/>
          <w:color w:val="000000"/>
          <w:sz w:val="18"/>
          <w:szCs w:val="18"/>
        </w:rPr>
        <w:t xml:space="preserve">Table </w:t>
      </w:r>
      <w:r w:rsidR="00D31885">
        <w:rPr>
          <w:rFonts w:ascii="Times New Roman" w:hAnsi="Times New Roman" w:cs="Times New Roman"/>
          <w:bCs/>
          <w:i/>
          <w:iCs/>
          <w:color w:val="000000"/>
          <w:sz w:val="18"/>
          <w:szCs w:val="18"/>
        </w:rPr>
        <w:t>VIII</w:t>
      </w:r>
      <w:r w:rsidRPr="008F6905">
        <w:rPr>
          <w:rFonts w:ascii="Times New Roman" w:hAnsi="Times New Roman" w:cs="Times New Roman"/>
          <w:bCs/>
          <w:i/>
          <w:iCs/>
          <w:color w:val="000000"/>
          <w:sz w:val="18"/>
          <w:szCs w:val="18"/>
        </w:rPr>
        <w:t>: Temperature Impact on SQL Generation Quality</w:t>
      </w:r>
    </w:p>
    <w:tbl>
      <w:tblPr>
        <w:tblStyle w:val="TableGrid"/>
        <w:tblW w:w="0" w:type="auto"/>
        <w:jc w:val="center"/>
        <w:tblLook w:val="04A0" w:firstRow="1" w:lastRow="0" w:firstColumn="1" w:lastColumn="0" w:noHBand="0" w:noVBand="1"/>
      </w:tblPr>
      <w:tblGrid>
        <w:gridCol w:w="1327"/>
        <w:gridCol w:w="1477"/>
        <w:gridCol w:w="1722"/>
        <w:gridCol w:w="994"/>
      </w:tblGrid>
      <w:tr w:rsidR="009204AD" w:rsidRPr="008F6905" w14:paraId="7082A23B" w14:textId="77777777" w:rsidTr="009204AD">
        <w:trPr>
          <w:jc w:val="center"/>
        </w:trPr>
        <w:tc>
          <w:tcPr>
            <w:tcW w:w="0" w:type="auto"/>
            <w:hideMark/>
          </w:tcPr>
          <w:p w14:paraId="2B3124C1" w14:textId="77777777" w:rsidR="009204AD" w:rsidRPr="008F6905" w:rsidRDefault="009204A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Temperature</w:t>
            </w:r>
          </w:p>
        </w:tc>
        <w:tc>
          <w:tcPr>
            <w:tcW w:w="0" w:type="auto"/>
            <w:hideMark/>
          </w:tcPr>
          <w:p w14:paraId="175BDBC1" w14:textId="77777777" w:rsidR="009204AD" w:rsidRPr="008F6905" w:rsidRDefault="009204A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Exec Accuracy</w:t>
            </w:r>
          </w:p>
        </w:tc>
        <w:tc>
          <w:tcPr>
            <w:tcW w:w="0" w:type="auto"/>
            <w:hideMark/>
          </w:tcPr>
          <w:p w14:paraId="3A0A3436" w14:textId="77777777" w:rsidR="009204AD" w:rsidRPr="008F6905" w:rsidRDefault="009204A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Syntactic Validity</w:t>
            </w:r>
          </w:p>
        </w:tc>
        <w:tc>
          <w:tcPr>
            <w:tcW w:w="0" w:type="auto"/>
            <w:hideMark/>
          </w:tcPr>
          <w:p w14:paraId="3481BED4" w14:textId="77777777" w:rsidR="009204AD" w:rsidRPr="008F6905" w:rsidRDefault="009204AD"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Diversity</w:t>
            </w:r>
          </w:p>
        </w:tc>
      </w:tr>
      <w:tr w:rsidR="009204AD" w:rsidRPr="008F6905" w14:paraId="3C8A923B" w14:textId="77777777" w:rsidTr="009204AD">
        <w:trPr>
          <w:jc w:val="center"/>
        </w:trPr>
        <w:tc>
          <w:tcPr>
            <w:tcW w:w="0" w:type="auto"/>
            <w:hideMark/>
          </w:tcPr>
          <w:p w14:paraId="5E969BC1"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0.0</w:t>
            </w:r>
          </w:p>
        </w:tc>
        <w:tc>
          <w:tcPr>
            <w:tcW w:w="0" w:type="auto"/>
            <w:hideMark/>
          </w:tcPr>
          <w:p w14:paraId="52E231B9"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92.7%</w:t>
            </w:r>
          </w:p>
        </w:tc>
        <w:tc>
          <w:tcPr>
            <w:tcW w:w="0" w:type="auto"/>
            <w:hideMark/>
          </w:tcPr>
          <w:p w14:paraId="4A9A74A7"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98.2%</w:t>
            </w:r>
          </w:p>
        </w:tc>
        <w:tc>
          <w:tcPr>
            <w:tcW w:w="0" w:type="auto"/>
            <w:hideMark/>
          </w:tcPr>
          <w:p w14:paraId="2279FA78"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Low</w:t>
            </w:r>
          </w:p>
        </w:tc>
      </w:tr>
      <w:tr w:rsidR="009204AD" w:rsidRPr="008F6905" w14:paraId="3017641E" w14:textId="77777777" w:rsidTr="009204AD">
        <w:trPr>
          <w:jc w:val="center"/>
        </w:trPr>
        <w:tc>
          <w:tcPr>
            <w:tcW w:w="0" w:type="auto"/>
            <w:hideMark/>
          </w:tcPr>
          <w:p w14:paraId="2B18A399"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0.1</w:t>
            </w:r>
          </w:p>
        </w:tc>
        <w:tc>
          <w:tcPr>
            <w:tcW w:w="0" w:type="auto"/>
            <w:hideMark/>
          </w:tcPr>
          <w:p w14:paraId="6B48E6F7"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94.2%</w:t>
            </w:r>
          </w:p>
        </w:tc>
        <w:tc>
          <w:tcPr>
            <w:tcW w:w="0" w:type="auto"/>
            <w:hideMark/>
          </w:tcPr>
          <w:p w14:paraId="66D18F62"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97.8%</w:t>
            </w:r>
          </w:p>
        </w:tc>
        <w:tc>
          <w:tcPr>
            <w:tcW w:w="0" w:type="auto"/>
            <w:hideMark/>
          </w:tcPr>
          <w:p w14:paraId="107693F9"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Low</w:t>
            </w:r>
          </w:p>
        </w:tc>
      </w:tr>
      <w:tr w:rsidR="009204AD" w:rsidRPr="008F6905" w14:paraId="36A9AFC8" w14:textId="77777777" w:rsidTr="009204AD">
        <w:trPr>
          <w:jc w:val="center"/>
        </w:trPr>
        <w:tc>
          <w:tcPr>
            <w:tcW w:w="0" w:type="auto"/>
            <w:hideMark/>
          </w:tcPr>
          <w:p w14:paraId="0C689045"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0.3</w:t>
            </w:r>
          </w:p>
        </w:tc>
        <w:tc>
          <w:tcPr>
            <w:tcW w:w="0" w:type="auto"/>
            <w:hideMark/>
          </w:tcPr>
          <w:p w14:paraId="2273517A"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91.8%</w:t>
            </w:r>
          </w:p>
        </w:tc>
        <w:tc>
          <w:tcPr>
            <w:tcW w:w="0" w:type="auto"/>
            <w:hideMark/>
          </w:tcPr>
          <w:p w14:paraId="3D0987D1"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95.1%</w:t>
            </w:r>
          </w:p>
        </w:tc>
        <w:tc>
          <w:tcPr>
            <w:tcW w:w="0" w:type="auto"/>
            <w:hideMark/>
          </w:tcPr>
          <w:p w14:paraId="31AC363E"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Medium</w:t>
            </w:r>
          </w:p>
        </w:tc>
      </w:tr>
      <w:tr w:rsidR="009204AD" w:rsidRPr="008F6905" w14:paraId="3866604E" w14:textId="77777777" w:rsidTr="009204AD">
        <w:trPr>
          <w:jc w:val="center"/>
        </w:trPr>
        <w:tc>
          <w:tcPr>
            <w:tcW w:w="0" w:type="auto"/>
            <w:hideMark/>
          </w:tcPr>
          <w:p w14:paraId="26C95B88"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lastRenderedPageBreak/>
              <w:t>0.5</w:t>
            </w:r>
          </w:p>
        </w:tc>
        <w:tc>
          <w:tcPr>
            <w:tcW w:w="0" w:type="auto"/>
            <w:hideMark/>
          </w:tcPr>
          <w:p w14:paraId="15C93C03"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87.3%</w:t>
            </w:r>
          </w:p>
        </w:tc>
        <w:tc>
          <w:tcPr>
            <w:tcW w:w="0" w:type="auto"/>
            <w:hideMark/>
          </w:tcPr>
          <w:p w14:paraId="640FFD21"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91.4%</w:t>
            </w:r>
          </w:p>
        </w:tc>
        <w:tc>
          <w:tcPr>
            <w:tcW w:w="0" w:type="auto"/>
            <w:hideMark/>
          </w:tcPr>
          <w:p w14:paraId="546EC41D"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High</w:t>
            </w:r>
          </w:p>
        </w:tc>
      </w:tr>
      <w:tr w:rsidR="009204AD" w:rsidRPr="008F6905" w14:paraId="543C1075" w14:textId="77777777" w:rsidTr="009204AD">
        <w:trPr>
          <w:jc w:val="center"/>
        </w:trPr>
        <w:tc>
          <w:tcPr>
            <w:tcW w:w="0" w:type="auto"/>
            <w:hideMark/>
          </w:tcPr>
          <w:p w14:paraId="4A896D06"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0.7</w:t>
            </w:r>
          </w:p>
        </w:tc>
        <w:tc>
          <w:tcPr>
            <w:tcW w:w="0" w:type="auto"/>
            <w:hideMark/>
          </w:tcPr>
          <w:p w14:paraId="15284D1C"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82.1%</w:t>
            </w:r>
          </w:p>
        </w:tc>
        <w:tc>
          <w:tcPr>
            <w:tcW w:w="0" w:type="auto"/>
            <w:hideMark/>
          </w:tcPr>
          <w:p w14:paraId="4622DB0D"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86.7%</w:t>
            </w:r>
          </w:p>
        </w:tc>
        <w:tc>
          <w:tcPr>
            <w:tcW w:w="0" w:type="auto"/>
            <w:hideMark/>
          </w:tcPr>
          <w:p w14:paraId="423A5E2F" w14:textId="77777777" w:rsidR="009204AD" w:rsidRPr="008F6905" w:rsidRDefault="009204AD"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High</w:t>
            </w:r>
          </w:p>
        </w:tc>
      </w:tr>
    </w:tbl>
    <w:p w14:paraId="5FFB094A" w14:textId="728F5C57" w:rsidR="007071F5" w:rsidRPr="008F6905" w:rsidRDefault="009204AD" w:rsidP="00AF6B6E">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We investigated the effect of generation temperature on Text-to-SQL output quality across multiple dimensions. Table </w:t>
      </w:r>
      <w:r w:rsidR="00CA5EFC" w:rsidRPr="008F6905">
        <w:rPr>
          <w:rFonts w:ascii="Times New Roman" w:hAnsi="Times New Roman" w:cs="Times New Roman"/>
          <w:sz w:val="20"/>
          <w:szCs w:val="20"/>
        </w:rPr>
        <w:t>8</w:t>
      </w:r>
      <w:r w:rsidRPr="008F6905">
        <w:rPr>
          <w:rFonts w:ascii="Times New Roman" w:hAnsi="Times New Roman" w:cs="Times New Roman"/>
          <w:sz w:val="20"/>
          <w:szCs w:val="20"/>
        </w:rPr>
        <w:t xml:space="preserve"> presents metrics for five temperature values from deterministic to highly stochastic generation. Temperature 0.0 employing greedy decoding achieves 92.7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execution accuracy with 98.2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syntactic validity and low output diversity, producing deterministic but occasionally rigid queries. Temperature 0.1 yields optimal 94.2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execution accuracy with 97.8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syntactic validity and low diversity, providing slight stochasticity that helps escape local optima while maintaining reliability. This configuration was selected for production deployment. Temperature 0.3 achieves 91.8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execution accuracy with 95.1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syntactic validity and medium diversity, introducing beneficial variation but increasing error rates. Temperature 0.5 degrades to 87.3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execution accuracy with 91.4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syntactic validity despite high diversity, indicating excessive randomness compromises correctness. Temperature 0.7 further declines to 82.1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execution accuracy and 86.7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syntactic validity, producing diverse but unreliable queries. These results demonstrate that SQL generation benefits from low-temperature sampling that maintains deterministic behavior while allowing minimal exploration, contrasting with creative text generation where higher temperatures prove beneficial. The sweet spot at temperature 0.1 achieves our reported 94.2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while providing sufficient flexibility to handle diverse query formulations.</w:t>
      </w:r>
      <w:r w:rsidR="00AF6B6E" w:rsidRPr="008F6905">
        <w:rPr>
          <w:rFonts w:ascii="Times New Roman" w:hAnsi="Times New Roman" w:cs="Times New Roman"/>
          <w:sz w:val="20"/>
          <w:szCs w:val="20"/>
        </w:rPr>
        <w:t xml:space="preserve"> </w:t>
      </w:r>
      <w:r w:rsidR="007071F5" w:rsidRPr="008F6905">
        <w:rPr>
          <w:rFonts w:ascii="Times New Roman" w:hAnsi="Times New Roman" w:cs="Times New Roman"/>
          <w:sz w:val="20"/>
          <w:szCs w:val="20"/>
        </w:rPr>
        <w:t xml:space="preserve">Safety validation successfully blocks 100 </w:t>
      </w:r>
      <w:r w:rsidR="00D13ECA">
        <w:rPr>
          <w:rFonts w:ascii="Times New Roman" w:hAnsi="Times New Roman" w:cs="Times New Roman"/>
          <w:sz w:val="20"/>
          <w:szCs w:val="20"/>
        </w:rPr>
        <w:t>%</w:t>
      </w:r>
      <w:r w:rsidR="007071F5" w:rsidRPr="008F6905">
        <w:rPr>
          <w:rFonts w:ascii="Times New Roman" w:hAnsi="Times New Roman" w:cs="Times New Roman"/>
          <w:sz w:val="20"/>
          <w:szCs w:val="20"/>
        </w:rPr>
        <w:t xml:space="preserve"> of intentionally malicious queries including attempted INSERT, UPDATE, DELETE, and DROP operations in our red-teaming evaluation. No false negatives allowing dangerous operations were observed across 1000 test cases.</w:t>
      </w:r>
    </w:p>
    <w:p w14:paraId="0A87CA09" w14:textId="590398D2" w:rsidR="00E016C7" w:rsidRPr="008F6905" w:rsidRDefault="00E016C7" w:rsidP="00E016C7">
      <w:pPr>
        <w:spacing w:after="0"/>
        <w:jc w:val="center"/>
        <w:rPr>
          <w:rFonts w:ascii="Times New Roman" w:hAnsi="Times New Roman" w:cs="Times New Roman"/>
          <w:sz w:val="20"/>
          <w:szCs w:val="20"/>
        </w:rPr>
      </w:pPr>
      <w:r w:rsidRPr="008F6905">
        <w:rPr>
          <w:rFonts w:ascii="Times New Roman" w:hAnsi="Times New Roman" w:cs="Times New Roman"/>
          <w:noProof/>
          <w:sz w:val="20"/>
          <w:szCs w:val="20"/>
        </w:rPr>
        <w:drawing>
          <wp:inline distT="0" distB="0" distL="0" distR="0" wp14:anchorId="3E09B2D5" wp14:editId="3E73FA11">
            <wp:extent cx="5725795" cy="4408805"/>
            <wp:effectExtent l="0" t="0" r="8255" b="0"/>
            <wp:docPr id="1507959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795" cy="4408805"/>
                    </a:xfrm>
                    <a:prstGeom prst="rect">
                      <a:avLst/>
                    </a:prstGeom>
                    <a:noFill/>
                    <a:ln>
                      <a:noFill/>
                    </a:ln>
                  </pic:spPr>
                </pic:pic>
              </a:graphicData>
            </a:graphic>
          </wp:inline>
        </w:drawing>
      </w:r>
    </w:p>
    <w:p w14:paraId="5C518355" w14:textId="31913B97" w:rsidR="00C34927" w:rsidRPr="00C34927" w:rsidRDefault="00E016C7" w:rsidP="00CC7BB8">
      <w:pPr>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Figure 9: Text-to-SQL Performance &amp; Safety</w:t>
      </w:r>
    </w:p>
    <w:p w14:paraId="7DA8F15D" w14:textId="37B96A55" w:rsidR="005E0C45" w:rsidRPr="005E0C45" w:rsidRDefault="00C34927" w:rsidP="00237400">
      <w:pPr>
        <w:jc w:val="both"/>
        <w:rPr>
          <w:rFonts w:ascii="Times New Roman" w:hAnsi="Times New Roman" w:cs="Times New Roman"/>
          <w:sz w:val="20"/>
          <w:szCs w:val="20"/>
        </w:rPr>
      </w:pPr>
      <w:r w:rsidRPr="00C34927">
        <w:rPr>
          <w:rFonts w:ascii="Times New Roman" w:hAnsi="Times New Roman" w:cs="Times New Roman"/>
          <w:sz w:val="20"/>
          <w:szCs w:val="20"/>
        </w:rPr>
        <w:t xml:space="preserve">Fig.9 evaluates the schema-aware Text-to-SQL module. Subfigure (a) reports benchmark performance on Spider [23], showing improvements in exact match and execution accuracy over the GPT-4 baseline [13]. Subfigure (b) analyzes performance across query complexity tiers, while subfigure (c) presents the block rate of malicious queries under a triple-layer safety filter. Subfigure (d) measures schema-understanding accuracy across databases </w:t>
      </w:r>
      <w:r w:rsidRPr="00C34927">
        <w:rPr>
          <w:rFonts w:ascii="Times New Roman" w:hAnsi="Times New Roman" w:cs="Times New Roman"/>
          <w:sz w:val="20"/>
          <w:szCs w:val="20"/>
        </w:rPr>
        <w:lastRenderedPageBreak/>
        <w:t>of increasing complexity, and subfigure (e) highlights system-level throughput and reliability under concurrent load.</w:t>
      </w:r>
    </w:p>
    <w:p w14:paraId="3CA052CB" w14:textId="749EA531"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D.2 User Study</w:t>
      </w:r>
    </w:p>
    <w:p w14:paraId="09E96993" w14:textId="47D036D7" w:rsidR="00CC7BB8" w:rsidRDefault="00CC7BB8" w:rsidP="00237400">
      <w:pPr>
        <w:jc w:val="both"/>
        <w:rPr>
          <w:rFonts w:ascii="Times New Roman" w:hAnsi="Times New Roman" w:cs="Times New Roman"/>
          <w:sz w:val="20"/>
          <w:szCs w:val="20"/>
        </w:rPr>
      </w:pPr>
      <w:r w:rsidRPr="00CC7BB8">
        <w:rPr>
          <w:rFonts w:ascii="Times New Roman" w:hAnsi="Times New Roman" w:cs="Times New Roman"/>
          <w:sz w:val="20"/>
          <w:szCs w:val="20"/>
        </w:rPr>
        <w:t xml:space="preserve">We conducted a user study with 30 business analysts lacking SQL expertise. Participants completed 10 data retrieval tasks using our natural language interface, traditional SQL with documentation, and a commercial business intelligence tool. Task completion time averaged 2.3 minutes per query with our interface compared to 8.7 minutes writing SQL manually and 4.1 minutes using the BI tool. Task success rate reached 87 </w:t>
      </w:r>
      <w:r w:rsidR="00D13ECA">
        <w:rPr>
          <w:rFonts w:ascii="Times New Roman" w:hAnsi="Times New Roman" w:cs="Times New Roman"/>
          <w:sz w:val="20"/>
          <w:szCs w:val="20"/>
        </w:rPr>
        <w:t>%</w:t>
      </w:r>
      <w:r w:rsidRPr="00CC7BB8">
        <w:rPr>
          <w:rFonts w:ascii="Times New Roman" w:hAnsi="Times New Roman" w:cs="Times New Roman"/>
          <w:sz w:val="20"/>
          <w:szCs w:val="20"/>
        </w:rPr>
        <w:t xml:space="preserve"> with our interface, 43 </w:t>
      </w:r>
      <w:r w:rsidR="00D13ECA">
        <w:rPr>
          <w:rFonts w:ascii="Times New Roman" w:hAnsi="Times New Roman" w:cs="Times New Roman"/>
          <w:sz w:val="20"/>
          <w:szCs w:val="20"/>
        </w:rPr>
        <w:t>%</w:t>
      </w:r>
      <w:r w:rsidRPr="00CC7BB8">
        <w:rPr>
          <w:rFonts w:ascii="Times New Roman" w:hAnsi="Times New Roman" w:cs="Times New Roman"/>
          <w:sz w:val="20"/>
          <w:szCs w:val="20"/>
        </w:rPr>
        <w:t xml:space="preserve"> writing SQL manually, and 62 </w:t>
      </w:r>
      <w:r w:rsidR="00D13ECA">
        <w:rPr>
          <w:rFonts w:ascii="Times New Roman" w:hAnsi="Times New Roman" w:cs="Times New Roman"/>
          <w:sz w:val="20"/>
          <w:szCs w:val="20"/>
        </w:rPr>
        <w:t>%</w:t>
      </w:r>
      <w:r w:rsidRPr="00CC7BB8">
        <w:rPr>
          <w:rFonts w:ascii="Times New Roman" w:hAnsi="Times New Roman" w:cs="Times New Roman"/>
          <w:sz w:val="20"/>
          <w:szCs w:val="20"/>
        </w:rPr>
        <w:t xml:space="preserve"> with the BI tool. User satisfaction ratings averaged 4.5 out of 5 for our interface, 2.1 for manual SQL, and 3.8 for the BI tool. Qualitative feedback highlighted appreciation for query explanations that helped users understand the generated SQL and verify correctness, natural language error messages that clearly communicated validation failures, and iterative refinement capability allowing users to modify queries based on initial results.</w:t>
      </w:r>
    </w:p>
    <w:p w14:paraId="0C26E4C7" w14:textId="2F0264FF"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 System Performance Characteristics</w:t>
      </w:r>
    </w:p>
    <w:p w14:paraId="4B235ED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E.1 Scalability and Latency</w:t>
      </w:r>
    </w:p>
    <w:p w14:paraId="05A4323D" w14:textId="1E55A07E"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We evaluate system performance under varying load conditions using load testing with up to 1000 concurrent users. Response latency measurements show P50 latency of 42 milliseconds, P95 latency of 187 milliseconds, P99 latency of 423 milliseconds across all endpoints. PDF upload and processing exhibits higher latency due to document parsing, with P50 of 2.3 seconds for a 10-page document and P95 of 5.8 seconds.</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Throughput capacity reaches 847 requests per second at 50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CPU utilization on a 12-node Kubernetes cluster with 4 vCPUs per pod. Horizontal scaling tests demonstrate near-linear scaling up to 48 nodes, with throughput increasing proportionally to compute resources. Database query latency remains stable under load with proper indexing, averaging 8.3 milliseconds for typical queries.</w:t>
      </w:r>
      <w:r w:rsidR="00AF6B6E"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Cache effectiveness measured through Redis hit rates shows 78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cache hits for embedding lookups reducing vector database load, 65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for user session validation reducing authentication overhead, and 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for language model responses to repeated queries. Cache warming strategies pre-populate frequently accessed content during off-peak hours.</w:t>
      </w:r>
    </w:p>
    <w:p w14:paraId="542514D0" w14:textId="738F0C1B" w:rsidR="00E016C7" w:rsidRPr="008F6905" w:rsidRDefault="00E016C7" w:rsidP="00E016C7">
      <w:pPr>
        <w:spacing w:after="0"/>
        <w:jc w:val="center"/>
        <w:rPr>
          <w:rFonts w:ascii="Times New Roman" w:hAnsi="Times New Roman" w:cs="Times New Roman"/>
          <w:sz w:val="20"/>
          <w:szCs w:val="20"/>
        </w:rPr>
      </w:pPr>
      <w:r w:rsidRPr="008F6905">
        <w:rPr>
          <w:rFonts w:ascii="Times New Roman" w:hAnsi="Times New Roman" w:cs="Times New Roman"/>
          <w:bCs/>
          <w:i/>
          <w:iCs/>
          <w:color w:val="000000"/>
          <w:sz w:val="18"/>
          <w:szCs w:val="18"/>
        </w:rPr>
        <w:t xml:space="preserve">Table </w:t>
      </w:r>
      <w:r w:rsidR="00D31885">
        <w:rPr>
          <w:rFonts w:ascii="Times New Roman" w:hAnsi="Times New Roman" w:cs="Times New Roman"/>
          <w:bCs/>
          <w:i/>
          <w:iCs/>
          <w:color w:val="000000"/>
          <w:sz w:val="18"/>
          <w:szCs w:val="18"/>
        </w:rPr>
        <w:t>IX</w:t>
      </w:r>
      <w:r w:rsidRPr="008F6905">
        <w:rPr>
          <w:rFonts w:ascii="Times New Roman" w:hAnsi="Times New Roman" w:cs="Times New Roman"/>
          <w:bCs/>
          <w:i/>
          <w:iCs/>
          <w:color w:val="000000"/>
          <w:sz w:val="18"/>
          <w:szCs w:val="18"/>
        </w:rPr>
        <w:t>: Load Testing and Scalability Analysis</w:t>
      </w:r>
    </w:p>
    <w:tbl>
      <w:tblPr>
        <w:tblStyle w:val="TableGrid"/>
        <w:tblW w:w="0" w:type="auto"/>
        <w:jc w:val="center"/>
        <w:tblLook w:val="04A0" w:firstRow="1" w:lastRow="0" w:firstColumn="1" w:lastColumn="0" w:noHBand="0" w:noVBand="1"/>
      </w:tblPr>
      <w:tblGrid>
        <w:gridCol w:w="1740"/>
        <w:gridCol w:w="1294"/>
        <w:gridCol w:w="1277"/>
        <w:gridCol w:w="1277"/>
        <w:gridCol w:w="1000"/>
      </w:tblGrid>
      <w:tr w:rsidR="00150D96" w:rsidRPr="008F6905" w14:paraId="6166B348" w14:textId="77777777" w:rsidTr="00150D96">
        <w:trPr>
          <w:jc w:val="center"/>
        </w:trPr>
        <w:tc>
          <w:tcPr>
            <w:tcW w:w="0" w:type="auto"/>
            <w:hideMark/>
          </w:tcPr>
          <w:p w14:paraId="5905438C"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Concurrent Users</w:t>
            </w:r>
          </w:p>
        </w:tc>
        <w:tc>
          <w:tcPr>
            <w:tcW w:w="0" w:type="auto"/>
            <w:hideMark/>
          </w:tcPr>
          <w:p w14:paraId="39FD32E5"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Requests/sec</w:t>
            </w:r>
          </w:p>
        </w:tc>
        <w:tc>
          <w:tcPr>
            <w:tcW w:w="0" w:type="auto"/>
            <w:hideMark/>
          </w:tcPr>
          <w:p w14:paraId="419642C0"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P50 Latency</w:t>
            </w:r>
          </w:p>
        </w:tc>
        <w:tc>
          <w:tcPr>
            <w:tcW w:w="0" w:type="auto"/>
            <w:hideMark/>
          </w:tcPr>
          <w:p w14:paraId="3C8B8522"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P95 Latency</w:t>
            </w:r>
          </w:p>
        </w:tc>
        <w:tc>
          <w:tcPr>
            <w:tcW w:w="0" w:type="auto"/>
            <w:hideMark/>
          </w:tcPr>
          <w:p w14:paraId="4F7F4AD5"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CPU Util</w:t>
            </w:r>
          </w:p>
        </w:tc>
      </w:tr>
      <w:tr w:rsidR="00150D96" w:rsidRPr="008F6905" w14:paraId="7EDBB594" w14:textId="77777777" w:rsidTr="00150D96">
        <w:trPr>
          <w:jc w:val="center"/>
        </w:trPr>
        <w:tc>
          <w:tcPr>
            <w:tcW w:w="0" w:type="auto"/>
            <w:hideMark/>
          </w:tcPr>
          <w:p w14:paraId="3BF8AC3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10</w:t>
            </w:r>
          </w:p>
        </w:tc>
        <w:tc>
          <w:tcPr>
            <w:tcW w:w="0" w:type="auto"/>
            <w:hideMark/>
          </w:tcPr>
          <w:p w14:paraId="4DF2C83D"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95</w:t>
            </w:r>
          </w:p>
        </w:tc>
        <w:tc>
          <w:tcPr>
            <w:tcW w:w="0" w:type="auto"/>
            <w:hideMark/>
          </w:tcPr>
          <w:p w14:paraId="75F8B056"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38ms</w:t>
            </w:r>
          </w:p>
        </w:tc>
        <w:tc>
          <w:tcPr>
            <w:tcW w:w="0" w:type="auto"/>
            <w:hideMark/>
          </w:tcPr>
          <w:p w14:paraId="6091CDD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127ms</w:t>
            </w:r>
          </w:p>
        </w:tc>
        <w:tc>
          <w:tcPr>
            <w:tcW w:w="0" w:type="auto"/>
            <w:hideMark/>
          </w:tcPr>
          <w:p w14:paraId="5491F7C9"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12%</w:t>
            </w:r>
          </w:p>
        </w:tc>
      </w:tr>
      <w:tr w:rsidR="00150D96" w:rsidRPr="008F6905" w14:paraId="683473A6" w14:textId="77777777" w:rsidTr="00150D96">
        <w:trPr>
          <w:jc w:val="center"/>
        </w:trPr>
        <w:tc>
          <w:tcPr>
            <w:tcW w:w="0" w:type="auto"/>
            <w:hideMark/>
          </w:tcPr>
          <w:p w14:paraId="4DD1ED9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50</w:t>
            </w:r>
          </w:p>
        </w:tc>
        <w:tc>
          <w:tcPr>
            <w:tcW w:w="0" w:type="auto"/>
            <w:hideMark/>
          </w:tcPr>
          <w:p w14:paraId="0995B42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442</w:t>
            </w:r>
          </w:p>
        </w:tc>
        <w:tc>
          <w:tcPr>
            <w:tcW w:w="0" w:type="auto"/>
            <w:hideMark/>
          </w:tcPr>
          <w:p w14:paraId="4F2DB36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42ms</w:t>
            </w:r>
          </w:p>
        </w:tc>
        <w:tc>
          <w:tcPr>
            <w:tcW w:w="0" w:type="auto"/>
            <w:hideMark/>
          </w:tcPr>
          <w:p w14:paraId="27496CB0"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156ms</w:t>
            </w:r>
          </w:p>
        </w:tc>
        <w:tc>
          <w:tcPr>
            <w:tcW w:w="0" w:type="auto"/>
            <w:hideMark/>
          </w:tcPr>
          <w:p w14:paraId="46DB5AB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31%</w:t>
            </w:r>
          </w:p>
        </w:tc>
      </w:tr>
      <w:tr w:rsidR="00150D96" w:rsidRPr="008F6905" w14:paraId="293B3A46" w14:textId="77777777" w:rsidTr="00150D96">
        <w:trPr>
          <w:jc w:val="center"/>
        </w:trPr>
        <w:tc>
          <w:tcPr>
            <w:tcW w:w="0" w:type="auto"/>
            <w:hideMark/>
          </w:tcPr>
          <w:p w14:paraId="3F459E97"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100</w:t>
            </w:r>
          </w:p>
        </w:tc>
        <w:tc>
          <w:tcPr>
            <w:tcW w:w="0" w:type="auto"/>
            <w:hideMark/>
          </w:tcPr>
          <w:p w14:paraId="6CE1E749"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847</w:t>
            </w:r>
          </w:p>
        </w:tc>
        <w:tc>
          <w:tcPr>
            <w:tcW w:w="0" w:type="auto"/>
            <w:hideMark/>
          </w:tcPr>
          <w:p w14:paraId="3172D2F5"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45ms</w:t>
            </w:r>
          </w:p>
        </w:tc>
        <w:tc>
          <w:tcPr>
            <w:tcW w:w="0" w:type="auto"/>
            <w:hideMark/>
          </w:tcPr>
          <w:p w14:paraId="1D13C92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187ms</w:t>
            </w:r>
          </w:p>
        </w:tc>
        <w:tc>
          <w:tcPr>
            <w:tcW w:w="0" w:type="auto"/>
            <w:hideMark/>
          </w:tcPr>
          <w:p w14:paraId="1B1900A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58%</w:t>
            </w:r>
          </w:p>
        </w:tc>
      </w:tr>
      <w:tr w:rsidR="00150D96" w:rsidRPr="008F6905" w14:paraId="3FA1CDFB" w14:textId="77777777" w:rsidTr="00150D96">
        <w:trPr>
          <w:jc w:val="center"/>
        </w:trPr>
        <w:tc>
          <w:tcPr>
            <w:tcW w:w="0" w:type="auto"/>
            <w:hideMark/>
          </w:tcPr>
          <w:p w14:paraId="603751F7"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200</w:t>
            </w:r>
          </w:p>
        </w:tc>
        <w:tc>
          <w:tcPr>
            <w:tcW w:w="0" w:type="auto"/>
            <w:hideMark/>
          </w:tcPr>
          <w:p w14:paraId="455055F5"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1523</w:t>
            </w:r>
          </w:p>
        </w:tc>
        <w:tc>
          <w:tcPr>
            <w:tcW w:w="0" w:type="auto"/>
            <w:hideMark/>
          </w:tcPr>
          <w:p w14:paraId="35FE810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52ms</w:t>
            </w:r>
          </w:p>
        </w:tc>
        <w:tc>
          <w:tcPr>
            <w:tcW w:w="0" w:type="auto"/>
            <w:hideMark/>
          </w:tcPr>
          <w:p w14:paraId="7FA9C2E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243ms</w:t>
            </w:r>
          </w:p>
        </w:tc>
        <w:tc>
          <w:tcPr>
            <w:tcW w:w="0" w:type="auto"/>
            <w:hideMark/>
          </w:tcPr>
          <w:p w14:paraId="2EA65F46"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82%</w:t>
            </w:r>
          </w:p>
        </w:tc>
      </w:tr>
      <w:tr w:rsidR="00150D96" w:rsidRPr="008F6905" w14:paraId="6C874FA7" w14:textId="77777777" w:rsidTr="00150D96">
        <w:trPr>
          <w:jc w:val="center"/>
        </w:trPr>
        <w:tc>
          <w:tcPr>
            <w:tcW w:w="0" w:type="auto"/>
            <w:hideMark/>
          </w:tcPr>
          <w:p w14:paraId="3D67EFF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500</w:t>
            </w:r>
          </w:p>
        </w:tc>
        <w:tc>
          <w:tcPr>
            <w:tcW w:w="0" w:type="auto"/>
            <w:hideMark/>
          </w:tcPr>
          <w:p w14:paraId="576D07FB"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2847</w:t>
            </w:r>
          </w:p>
        </w:tc>
        <w:tc>
          <w:tcPr>
            <w:tcW w:w="0" w:type="auto"/>
            <w:hideMark/>
          </w:tcPr>
          <w:p w14:paraId="0CD805B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89ms</w:t>
            </w:r>
          </w:p>
        </w:tc>
        <w:tc>
          <w:tcPr>
            <w:tcW w:w="0" w:type="auto"/>
            <w:hideMark/>
          </w:tcPr>
          <w:p w14:paraId="565F4B8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421ms</w:t>
            </w:r>
          </w:p>
        </w:tc>
        <w:tc>
          <w:tcPr>
            <w:tcW w:w="0" w:type="auto"/>
            <w:hideMark/>
          </w:tcPr>
          <w:p w14:paraId="20E0D63B"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95%</w:t>
            </w:r>
          </w:p>
        </w:tc>
      </w:tr>
      <w:tr w:rsidR="00150D96" w:rsidRPr="008F6905" w14:paraId="029F04E8" w14:textId="77777777" w:rsidTr="00150D96">
        <w:trPr>
          <w:jc w:val="center"/>
        </w:trPr>
        <w:tc>
          <w:tcPr>
            <w:tcW w:w="0" w:type="auto"/>
            <w:hideMark/>
          </w:tcPr>
          <w:p w14:paraId="1E0798A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1000</w:t>
            </w:r>
          </w:p>
        </w:tc>
        <w:tc>
          <w:tcPr>
            <w:tcW w:w="0" w:type="auto"/>
            <w:hideMark/>
          </w:tcPr>
          <w:p w14:paraId="24790AF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3234</w:t>
            </w:r>
          </w:p>
        </w:tc>
        <w:tc>
          <w:tcPr>
            <w:tcW w:w="0" w:type="auto"/>
            <w:hideMark/>
          </w:tcPr>
          <w:p w14:paraId="52A6E266"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187ms</w:t>
            </w:r>
          </w:p>
        </w:tc>
        <w:tc>
          <w:tcPr>
            <w:tcW w:w="0" w:type="auto"/>
            <w:hideMark/>
          </w:tcPr>
          <w:p w14:paraId="67484B2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892ms</w:t>
            </w:r>
          </w:p>
        </w:tc>
        <w:tc>
          <w:tcPr>
            <w:tcW w:w="0" w:type="auto"/>
            <w:hideMark/>
          </w:tcPr>
          <w:p w14:paraId="5B77164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99%</w:t>
            </w:r>
          </w:p>
        </w:tc>
      </w:tr>
    </w:tbl>
    <w:p w14:paraId="6DC52405" w14:textId="42D0FA03" w:rsidR="00150D96" w:rsidRDefault="00150D96" w:rsidP="00E016C7">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We conducted comprehensive load testing to evaluate system behavior under varying concurrent user loads. Table </w:t>
      </w:r>
      <w:r w:rsidR="003A08B2" w:rsidRPr="008F6905">
        <w:rPr>
          <w:rFonts w:ascii="Times New Roman" w:hAnsi="Times New Roman" w:cs="Times New Roman"/>
          <w:sz w:val="20"/>
          <w:szCs w:val="20"/>
        </w:rPr>
        <w:t>9</w:t>
      </w:r>
      <w:r w:rsidRPr="008F6905">
        <w:rPr>
          <w:rFonts w:ascii="Times New Roman" w:hAnsi="Times New Roman" w:cs="Times New Roman"/>
          <w:sz w:val="20"/>
          <w:szCs w:val="20"/>
        </w:rPr>
        <w:t xml:space="preserve"> presents performance metrics across six load levels ranging from 10 to 1000 concurrent users. At low load with 10 concurrent users, the system handles 95 requests per second with P50 latency of 38 milliseconds and minimal CPU utilization at 12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Performance scales efficiently to 100 concurrent users, achieving 847 requests per second with 45 milliseconds P50 latency and 58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CPU utilization. At 200 concurrent users, throughput reaches 1523 requests per second with 52 milliseconds P50 latency, while CPU utilization increases to 82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Under high load at 500 concurrent users, the system maintains 2847 requests per second with 89 milliseconds P50 latency and 95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CPU utilization. At maximum tested load of 1000 concurrent users, throughput peaks at 3234 requests per second, though P50 latency increases to 187 milliseconds and P95 latency reaches 892 milliseconds, indicating approaching saturation. These results demonstrate near-linear scalability up to 500 concurrent users with graceful degradation beyond this threshold.</w:t>
      </w:r>
    </w:p>
    <w:p w14:paraId="2E61313E" w14:textId="34EB752D" w:rsidR="00D31885" w:rsidRPr="000837E9" w:rsidRDefault="00D31885" w:rsidP="00D31885">
      <w:pPr>
        <w:spacing w:before="240"/>
        <w:jc w:val="center"/>
        <w:rPr>
          <w:rFonts w:ascii="Times New Roman" w:hAnsi="Times New Roman" w:cs="Times New Roman"/>
          <w:sz w:val="20"/>
          <w:szCs w:val="20"/>
        </w:rPr>
      </w:pPr>
      <w:r w:rsidRPr="000837E9">
        <w:rPr>
          <w:rFonts w:ascii="Times New Roman" w:hAnsi="Times New Roman" w:cs="Times New Roman"/>
          <w:bCs/>
          <w:i/>
          <w:iCs/>
          <w:color w:val="000000"/>
          <w:sz w:val="18"/>
          <w:szCs w:val="18"/>
        </w:rPr>
        <w:t xml:space="preserve">Table </w:t>
      </w:r>
      <w:r w:rsidR="008648EF">
        <w:rPr>
          <w:rFonts w:ascii="Times New Roman" w:hAnsi="Times New Roman" w:cs="Times New Roman"/>
          <w:bCs/>
          <w:i/>
          <w:iCs/>
          <w:color w:val="000000"/>
          <w:sz w:val="18"/>
          <w:szCs w:val="18"/>
        </w:rPr>
        <w:t>X</w:t>
      </w:r>
      <w:r w:rsidRPr="000837E9">
        <w:rPr>
          <w:rFonts w:ascii="Times New Roman" w:hAnsi="Times New Roman" w:cs="Times New Roman"/>
          <w:bCs/>
          <w:i/>
          <w:iCs/>
          <w:color w:val="000000"/>
          <w:sz w:val="18"/>
          <w:szCs w:val="18"/>
        </w:rPr>
        <w:t>: Performance Characteristics by Operation Type</w:t>
      </w:r>
    </w:p>
    <w:p w14:paraId="3A6B906C" w14:textId="09BE1F81" w:rsidR="00E016C7" w:rsidRPr="008F6905" w:rsidRDefault="00E016C7" w:rsidP="00E016C7">
      <w:pPr>
        <w:spacing w:after="0"/>
        <w:jc w:val="center"/>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1811"/>
        <w:gridCol w:w="766"/>
        <w:gridCol w:w="1374"/>
        <w:gridCol w:w="1366"/>
        <w:gridCol w:w="1527"/>
      </w:tblGrid>
      <w:tr w:rsidR="00150D96" w:rsidRPr="008F6905" w14:paraId="194DD02C" w14:textId="77777777" w:rsidTr="00150D96">
        <w:trPr>
          <w:jc w:val="center"/>
        </w:trPr>
        <w:tc>
          <w:tcPr>
            <w:tcW w:w="0" w:type="auto"/>
            <w:hideMark/>
          </w:tcPr>
          <w:p w14:paraId="4DF96FF7"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Query Type</w:t>
            </w:r>
          </w:p>
        </w:tc>
        <w:tc>
          <w:tcPr>
            <w:tcW w:w="0" w:type="auto"/>
            <w:hideMark/>
          </w:tcPr>
          <w:p w14:paraId="754925DA"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Count</w:t>
            </w:r>
          </w:p>
        </w:tc>
        <w:tc>
          <w:tcPr>
            <w:tcW w:w="0" w:type="auto"/>
            <w:hideMark/>
          </w:tcPr>
          <w:p w14:paraId="123E1535"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Avg Duration</w:t>
            </w:r>
          </w:p>
        </w:tc>
        <w:tc>
          <w:tcPr>
            <w:tcW w:w="0" w:type="auto"/>
            <w:hideMark/>
          </w:tcPr>
          <w:p w14:paraId="72C05337"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P95 Duration</w:t>
            </w:r>
          </w:p>
        </w:tc>
        <w:tc>
          <w:tcPr>
            <w:tcW w:w="0" w:type="auto"/>
            <w:hideMark/>
          </w:tcPr>
          <w:p w14:paraId="57455153"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Cache Hit Rate</w:t>
            </w:r>
          </w:p>
        </w:tc>
      </w:tr>
      <w:tr w:rsidR="00150D96" w:rsidRPr="008F6905" w14:paraId="4E4A7B19" w14:textId="77777777" w:rsidTr="00150D96">
        <w:trPr>
          <w:jc w:val="center"/>
        </w:trPr>
        <w:tc>
          <w:tcPr>
            <w:tcW w:w="0" w:type="auto"/>
            <w:hideMark/>
          </w:tcPr>
          <w:p w14:paraId="5937D47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User Auth</w:t>
            </w:r>
          </w:p>
        </w:tc>
        <w:tc>
          <w:tcPr>
            <w:tcW w:w="0" w:type="auto"/>
            <w:hideMark/>
          </w:tcPr>
          <w:p w14:paraId="4DDFBB9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45,231</w:t>
            </w:r>
          </w:p>
        </w:tc>
        <w:tc>
          <w:tcPr>
            <w:tcW w:w="0" w:type="auto"/>
            <w:hideMark/>
          </w:tcPr>
          <w:p w14:paraId="1B2B82B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2.1ms</w:t>
            </w:r>
          </w:p>
        </w:tc>
        <w:tc>
          <w:tcPr>
            <w:tcW w:w="0" w:type="auto"/>
            <w:hideMark/>
          </w:tcPr>
          <w:p w14:paraId="6F41920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8.3ms</w:t>
            </w:r>
          </w:p>
        </w:tc>
        <w:tc>
          <w:tcPr>
            <w:tcW w:w="0" w:type="auto"/>
            <w:hideMark/>
          </w:tcPr>
          <w:p w14:paraId="418CB6B8"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87%</w:t>
            </w:r>
          </w:p>
        </w:tc>
      </w:tr>
      <w:tr w:rsidR="00150D96" w:rsidRPr="008F6905" w14:paraId="61DA8314" w14:textId="77777777" w:rsidTr="00150D96">
        <w:trPr>
          <w:jc w:val="center"/>
        </w:trPr>
        <w:tc>
          <w:tcPr>
            <w:tcW w:w="0" w:type="auto"/>
            <w:hideMark/>
          </w:tcPr>
          <w:p w14:paraId="1A614826"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Document Lookup</w:t>
            </w:r>
          </w:p>
        </w:tc>
        <w:tc>
          <w:tcPr>
            <w:tcW w:w="0" w:type="auto"/>
            <w:hideMark/>
          </w:tcPr>
          <w:p w14:paraId="21199A05"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23,445</w:t>
            </w:r>
          </w:p>
        </w:tc>
        <w:tc>
          <w:tcPr>
            <w:tcW w:w="0" w:type="auto"/>
            <w:hideMark/>
          </w:tcPr>
          <w:p w14:paraId="6E367ED7"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5.4ms</w:t>
            </w:r>
          </w:p>
        </w:tc>
        <w:tc>
          <w:tcPr>
            <w:tcW w:w="0" w:type="auto"/>
            <w:hideMark/>
          </w:tcPr>
          <w:p w14:paraId="3BACF3D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18.7ms</w:t>
            </w:r>
          </w:p>
        </w:tc>
        <w:tc>
          <w:tcPr>
            <w:tcW w:w="0" w:type="auto"/>
            <w:hideMark/>
          </w:tcPr>
          <w:p w14:paraId="7512808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65%</w:t>
            </w:r>
          </w:p>
        </w:tc>
      </w:tr>
      <w:tr w:rsidR="00150D96" w:rsidRPr="008F6905" w14:paraId="6FEEE325" w14:textId="77777777" w:rsidTr="00150D96">
        <w:trPr>
          <w:jc w:val="center"/>
        </w:trPr>
        <w:tc>
          <w:tcPr>
            <w:tcW w:w="0" w:type="auto"/>
            <w:hideMark/>
          </w:tcPr>
          <w:p w14:paraId="16E378CD"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Vector Search</w:t>
            </w:r>
          </w:p>
        </w:tc>
        <w:tc>
          <w:tcPr>
            <w:tcW w:w="0" w:type="auto"/>
            <w:hideMark/>
          </w:tcPr>
          <w:p w14:paraId="2F9DFE7B"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18,932</w:t>
            </w:r>
          </w:p>
        </w:tc>
        <w:tc>
          <w:tcPr>
            <w:tcW w:w="0" w:type="auto"/>
            <w:hideMark/>
          </w:tcPr>
          <w:p w14:paraId="5B387C6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8.7ms</w:t>
            </w:r>
          </w:p>
        </w:tc>
        <w:tc>
          <w:tcPr>
            <w:tcW w:w="0" w:type="auto"/>
            <w:hideMark/>
          </w:tcPr>
          <w:p w14:paraId="2108DBA7"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23.4ms</w:t>
            </w:r>
          </w:p>
        </w:tc>
        <w:tc>
          <w:tcPr>
            <w:tcW w:w="0" w:type="auto"/>
            <w:hideMark/>
          </w:tcPr>
          <w:p w14:paraId="6BDF488B"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42%</w:t>
            </w:r>
          </w:p>
        </w:tc>
      </w:tr>
      <w:tr w:rsidR="00150D96" w:rsidRPr="008F6905" w14:paraId="59438E3D" w14:textId="77777777" w:rsidTr="00150D96">
        <w:trPr>
          <w:jc w:val="center"/>
        </w:trPr>
        <w:tc>
          <w:tcPr>
            <w:tcW w:w="0" w:type="auto"/>
            <w:hideMark/>
          </w:tcPr>
          <w:p w14:paraId="3A8CFCF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Graph Traversal</w:t>
            </w:r>
          </w:p>
        </w:tc>
        <w:tc>
          <w:tcPr>
            <w:tcW w:w="0" w:type="auto"/>
            <w:hideMark/>
          </w:tcPr>
          <w:p w14:paraId="4DD0CF84"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12,334</w:t>
            </w:r>
          </w:p>
        </w:tc>
        <w:tc>
          <w:tcPr>
            <w:tcW w:w="0" w:type="auto"/>
            <w:hideMark/>
          </w:tcPr>
          <w:p w14:paraId="5EB5E19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12.3ms</w:t>
            </w:r>
          </w:p>
        </w:tc>
        <w:tc>
          <w:tcPr>
            <w:tcW w:w="0" w:type="auto"/>
            <w:hideMark/>
          </w:tcPr>
          <w:p w14:paraId="029CCB4F"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45.2ms</w:t>
            </w:r>
          </w:p>
        </w:tc>
        <w:tc>
          <w:tcPr>
            <w:tcW w:w="0" w:type="auto"/>
            <w:hideMark/>
          </w:tcPr>
          <w:p w14:paraId="54303A90"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w:t>
            </w:r>
          </w:p>
        </w:tc>
      </w:tr>
      <w:tr w:rsidR="00150D96" w:rsidRPr="008F6905" w14:paraId="19B2551D" w14:textId="77777777" w:rsidTr="00150D96">
        <w:trPr>
          <w:jc w:val="center"/>
        </w:trPr>
        <w:tc>
          <w:tcPr>
            <w:tcW w:w="0" w:type="auto"/>
            <w:hideMark/>
          </w:tcPr>
          <w:p w14:paraId="0FB4A888"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Resume Insert</w:t>
            </w:r>
          </w:p>
        </w:tc>
        <w:tc>
          <w:tcPr>
            <w:tcW w:w="0" w:type="auto"/>
            <w:hideMark/>
          </w:tcPr>
          <w:p w14:paraId="20B2323D"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3,421</w:t>
            </w:r>
          </w:p>
        </w:tc>
        <w:tc>
          <w:tcPr>
            <w:tcW w:w="0" w:type="auto"/>
            <w:hideMark/>
          </w:tcPr>
          <w:p w14:paraId="6F3E16E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15.7ms</w:t>
            </w:r>
          </w:p>
        </w:tc>
        <w:tc>
          <w:tcPr>
            <w:tcW w:w="0" w:type="auto"/>
            <w:hideMark/>
          </w:tcPr>
          <w:p w14:paraId="3C01F729"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52.1ms</w:t>
            </w:r>
          </w:p>
        </w:tc>
        <w:tc>
          <w:tcPr>
            <w:tcW w:w="0" w:type="auto"/>
            <w:hideMark/>
          </w:tcPr>
          <w:p w14:paraId="3273A5F4"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w:t>
            </w:r>
          </w:p>
        </w:tc>
      </w:tr>
    </w:tbl>
    <w:p w14:paraId="0CB94C01" w14:textId="54B487C6" w:rsidR="00E016C7" w:rsidRPr="008F6905" w:rsidRDefault="00150D96" w:rsidP="00E016C7">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To understand system bottlenecks, we analyzed performance metrics for individual operation types during production workloads. Table </w:t>
      </w:r>
      <w:r w:rsidR="000F482A" w:rsidRPr="008F6905">
        <w:rPr>
          <w:rFonts w:ascii="Times New Roman" w:hAnsi="Times New Roman" w:cs="Times New Roman"/>
          <w:sz w:val="20"/>
          <w:szCs w:val="20"/>
        </w:rPr>
        <w:t xml:space="preserve">10 </w:t>
      </w:r>
      <w:r w:rsidRPr="008F6905">
        <w:rPr>
          <w:rFonts w:ascii="Times New Roman" w:hAnsi="Times New Roman" w:cs="Times New Roman"/>
          <w:sz w:val="20"/>
          <w:szCs w:val="20"/>
        </w:rPr>
        <w:t xml:space="preserve">presents operation counts, average duration, P95 duration, and cache hit rates across five primary operation categories. User authentication operations, being the most frequent at 45,231 occurrences, complete rapidly with 2.1 milliseconds average duration and benefit from 87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cache hit rate through Redis session caching. Document lookup operations totaling 23,445 queries average 5.4 milliseconds with 65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cache effectiveness. Vector search operations, occurring 18,932 times with 8.7 milliseconds average duration, achieve 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cache hit rate, reflecting the diverse nature of user queries. Graph traversal operations prove most computationally expensive at 12.3 milliseconds average duration and 45.2 milliseconds P95, with only 18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cache hit rate due to the dynamic nature of graph queries. Resume insert operations, the least frequent at 3,421 occurrences, require 15.7 milliseconds on average with zero cache hits as expected for write operations. These metrics guide optimization priorities, with graph traversal performance identified as the primary target for future improvement through query optimization and enhanced caching strategies.</w:t>
      </w:r>
    </w:p>
    <w:p w14:paraId="072810A0"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E.2 Resource Utilization</w:t>
      </w:r>
    </w:p>
    <w:p w14:paraId="4C344456" w14:textId="0CDD436F"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GPU utilization for model inference averages 73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across inference servers, indicating efficient batching and load distribution. Peak GPU memory consumption reaches 62 GB per H100 GPU for our </w:t>
      </w:r>
      <w:r w:rsidR="008C54A2" w:rsidRPr="008C54A2">
        <w:rPr>
          <w:rFonts w:ascii="Times New Roman" w:hAnsi="Times New Roman" w:cs="Times New Roman"/>
          <w:sz w:val="20"/>
          <w:szCs w:val="20"/>
        </w:rPr>
        <w:t>demonstrating practical feasibility of in-house model development at scale</w:t>
      </w:r>
      <w:r w:rsidR="008C54A2">
        <w:rPr>
          <w:rFonts w:ascii="Times New Roman" w:hAnsi="Times New Roman" w:cs="Times New Roman"/>
          <w:sz w:val="20"/>
          <w:szCs w:val="20"/>
        </w:rPr>
        <w:t xml:space="preserve"> </w:t>
      </w:r>
      <w:r w:rsidRPr="008F6905">
        <w:rPr>
          <w:rFonts w:ascii="Times New Roman" w:hAnsi="Times New Roman" w:cs="Times New Roman"/>
          <w:sz w:val="20"/>
          <w:szCs w:val="20"/>
        </w:rPr>
        <w:t>with batch size 8, leaving headroom for temporary activation storage. Model parallelism across 4 GPUs enables serving without excessive memory pressure.</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Storage requirements total 4.8 TB including 2.3 TB for PostgreSQL databases storing user data and document metadata, 1.9 TB for vector database storing 650 million embeddings, 0.4 TB for Redis cache, and 0.2 TB for application logs and metrics. Storage grows linearly with user activity at approximately 150 MB per active user per month.</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Network bandwidth consumption averages 2.3 Gbps during peak usage hours, dominated by document uploads at 45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traffic, model response streaming at 30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and API requests at 25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Content delivery network caching reduces frontend asset traffic by 87 </w:t>
      </w:r>
      <w:r w:rsidR="00D13ECA">
        <w:rPr>
          <w:rFonts w:ascii="Times New Roman" w:hAnsi="Times New Roman" w:cs="Times New Roman"/>
          <w:sz w:val="20"/>
          <w:szCs w:val="20"/>
        </w:rPr>
        <w:t>%</w:t>
      </w:r>
      <w:r w:rsidRPr="008F6905">
        <w:rPr>
          <w:rFonts w:ascii="Times New Roman" w:hAnsi="Times New Roman" w:cs="Times New Roman"/>
          <w:sz w:val="20"/>
          <w:szCs w:val="20"/>
        </w:rPr>
        <w:t>.</w:t>
      </w:r>
    </w:p>
    <w:p w14:paraId="0C2E7B93"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E.3 Reliability and Availability</w:t>
      </w:r>
    </w:p>
    <w:p w14:paraId="5978B579" w14:textId="3B6A475F"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System uptime during the 6-month alpha testing period reached 99.73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exceeding our 99.5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target. Unplanned downtime totaled 19.4 hours, primarily due to PostgreSQL failover during hardware maintenance at 12 hours and Kubernetes cluster upgrade issues at 5.2 hours. Mean time to recovery averaged 34 minutes across incidents.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Error rate across all requests remained below 0.3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with most errors stemming from user-submitted malformed inputs at 62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errors, transient network failures at 23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and genuine application bugs at 15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Automatic retry logic resolves 78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transient errors without user awareness.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Database consistency checks confirm no data corruption incidents. Backup restoration tests verify recovery time objective of 15 minutes and recovery point objective of 5 minutes through continuous WAL archiving.</w:t>
      </w:r>
    </w:p>
    <w:p w14:paraId="06D6BB60"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 User Study and Alpha Testing Results</w:t>
      </w:r>
    </w:p>
    <w:p w14:paraId="76DF123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F.1 Participant Demographics</w:t>
      </w:r>
    </w:p>
    <w:p w14:paraId="66CB891F"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Alpha testing involved 50 participants recruited through university networks and professional contacts. Demographics included 22 graduate students in computer science and related fields, 15 software engineers from technology companies, 8 business analysts and product managers, and 5 academic researchers across sciences and humanities. Experience levels ranged from novice to expert in relevant technologies.</w:t>
      </w:r>
    </w:p>
    <w:p w14:paraId="295857E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F.2 Usage Patterns</w:t>
      </w:r>
    </w:p>
    <w:p w14:paraId="006C6A6D" w14:textId="7C25A88F"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lastRenderedPageBreak/>
        <w:t>During the 6-month testing period, participants generated 12,847 total interactions including 4,231 PDF chat sessions with average 3.2 questions per session, 1,872 resume analyses with average 1.8 iterations per resume, 1,045 research tasks with topics spanning multiple domains, 892 SQL queries covering analytical and reporting use cases, and 4,807 other interactions including profile management and settings.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Feature adoption rates show 86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participants used PDF chat, 68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used ATS analysis, 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used research assistant, 38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used Text-to-SQL, and 24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explored knowledge graph visualizations. Cross-feature usage patterns indicate users who engaged with multiple features showed higher retention and satisfaction.</w:t>
      </w:r>
    </w:p>
    <w:p w14:paraId="5A3B95A3"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F.3 User Satisfaction and Feedback</w:t>
      </w:r>
    </w:p>
    <w:p w14:paraId="190364D3" w14:textId="4948CCC7" w:rsidR="00E016C7"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Overall satisfaction surveys conducted monthly yielded average ratings of 4.6 out of 5. Dimension-specific ratings include ease of use at 4.7, response quality at 4.5, response speed at 4.4, and feature completeness at 4.2. Net Promoter Score reached 67, classified as "good" and indicating strong user advocacy.</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Qualitative feedback analysis reveals recurring themes. Positive feedback highlighted accuracy and relevance of responses being noticeably better than general-purpose chatbots, time savings particularly for research and resume optimization workflows, unified platform avoiding context switching between multiple tools, and citation and explanation transparency building trust in system outputs.Improvement suggestions included adding more export format options for reports, enhancing mobile experience for on-the-go access, expanding language support beyond English, integrating calendar and task management for research workflows, and adding collaborative features for team usage. Many suggestions informed our product roadmap for future development.</w:t>
      </w:r>
    </w:p>
    <w:p w14:paraId="02716684"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F.4 Comparative Analysis</w:t>
      </w:r>
    </w:p>
    <w:p w14:paraId="556B2BFF" w14:textId="51EEB487" w:rsidR="00C11F49" w:rsidRDefault="00C11F49" w:rsidP="00237400">
      <w:pPr>
        <w:jc w:val="both"/>
        <w:rPr>
          <w:rFonts w:ascii="Times New Roman" w:hAnsi="Times New Roman" w:cs="Times New Roman"/>
          <w:sz w:val="20"/>
          <w:szCs w:val="20"/>
        </w:rPr>
      </w:pPr>
      <w:r w:rsidRPr="00C11F49">
        <w:rPr>
          <w:rFonts w:ascii="Times New Roman" w:hAnsi="Times New Roman" w:cs="Times New Roman"/>
          <w:sz w:val="20"/>
          <w:szCs w:val="20"/>
        </w:rPr>
        <w:t xml:space="preserve">We conducted head-to-head comparisons against popular alternatives including ChatGPT Plus for document chat [13], Jobscan for resume analysis, and general web search for research tasks. Our system achieved higher accuracy on domain-specific tasks at 92.3 </w:t>
      </w:r>
      <w:r w:rsidR="00D13ECA">
        <w:rPr>
          <w:rFonts w:ascii="Times New Roman" w:hAnsi="Times New Roman" w:cs="Times New Roman"/>
          <w:sz w:val="20"/>
          <w:szCs w:val="20"/>
        </w:rPr>
        <w:t>%</w:t>
      </w:r>
      <w:r w:rsidRPr="00C11F49">
        <w:rPr>
          <w:rFonts w:ascii="Times New Roman" w:hAnsi="Times New Roman" w:cs="Times New Roman"/>
          <w:sz w:val="20"/>
          <w:szCs w:val="20"/>
        </w:rPr>
        <w:t xml:space="preserve"> compared to 76.8 </w:t>
      </w:r>
      <w:r w:rsidR="00D13ECA">
        <w:rPr>
          <w:rFonts w:ascii="Times New Roman" w:hAnsi="Times New Roman" w:cs="Times New Roman"/>
          <w:sz w:val="20"/>
          <w:szCs w:val="20"/>
        </w:rPr>
        <w:t>%</w:t>
      </w:r>
      <w:r w:rsidRPr="00C11F49">
        <w:rPr>
          <w:rFonts w:ascii="Times New Roman" w:hAnsi="Times New Roman" w:cs="Times New Roman"/>
          <w:sz w:val="20"/>
          <w:szCs w:val="20"/>
        </w:rPr>
        <w:t xml:space="preserve"> for ChatGPT on document QA, higher user satisfaction with 4.6 versus 3.9 average rating, and better task completion rates at 87 </w:t>
      </w:r>
      <w:r w:rsidR="00D13ECA">
        <w:rPr>
          <w:rFonts w:ascii="Times New Roman" w:hAnsi="Times New Roman" w:cs="Times New Roman"/>
          <w:sz w:val="20"/>
          <w:szCs w:val="20"/>
        </w:rPr>
        <w:t>%</w:t>
      </w:r>
      <w:r w:rsidRPr="00C11F49">
        <w:rPr>
          <w:rFonts w:ascii="Times New Roman" w:hAnsi="Times New Roman" w:cs="Times New Roman"/>
          <w:sz w:val="20"/>
          <w:szCs w:val="20"/>
        </w:rPr>
        <w:t xml:space="preserve"> versus 68 </w:t>
      </w:r>
      <w:r w:rsidR="00D13ECA">
        <w:rPr>
          <w:rFonts w:ascii="Times New Roman" w:hAnsi="Times New Roman" w:cs="Times New Roman"/>
          <w:sz w:val="20"/>
          <w:szCs w:val="20"/>
        </w:rPr>
        <w:t>%</w:t>
      </w:r>
      <w:r w:rsidRPr="00C11F49">
        <w:rPr>
          <w:rFonts w:ascii="Times New Roman" w:hAnsi="Times New Roman" w:cs="Times New Roman"/>
          <w:sz w:val="20"/>
          <w:szCs w:val="20"/>
        </w:rPr>
        <w:t xml:space="preserve"> on research tasks. These improvements stem from domain-specific model training, knowledge graph integration, and multi-agent architectures.</w:t>
      </w:r>
    </w:p>
    <w:p w14:paraId="058312A4" w14:textId="1543644A"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Cost analysis shows favorable economics compared to API-based alternatives. While our upfront training costs totaled approximately 2.1 million USD, the absence of per-query API fees results in break-even at approximately 15 million queries, achievable within 18 months at current growth projections. Additionally, data privacy guarantees from on-premises model hosting provide value difficult to quantify but highly valued by enterprise users.</w:t>
      </w:r>
    </w:p>
    <w:p w14:paraId="467BC1A6" w14:textId="12055440" w:rsidR="00E016C7" w:rsidRPr="008F6905" w:rsidRDefault="00E016C7" w:rsidP="00E016C7">
      <w:pPr>
        <w:spacing w:after="0"/>
        <w:jc w:val="center"/>
        <w:rPr>
          <w:rFonts w:ascii="Times New Roman" w:hAnsi="Times New Roman" w:cs="Times New Roman"/>
          <w:sz w:val="20"/>
          <w:szCs w:val="20"/>
        </w:rPr>
      </w:pPr>
      <w:r w:rsidRPr="008F6905">
        <w:rPr>
          <w:rFonts w:ascii="Times New Roman" w:hAnsi="Times New Roman" w:cs="Times New Roman"/>
          <w:bCs/>
          <w:i/>
          <w:iCs/>
          <w:color w:val="000000"/>
          <w:sz w:val="18"/>
          <w:szCs w:val="18"/>
        </w:rPr>
        <w:t xml:space="preserve">Table </w:t>
      </w:r>
      <w:r w:rsidR="008648EF">
        <w:rPr>
          <w:rFonts w:ascii="Times New Roman" w:hAnsi="Times New Roman" w:cs="Times New Roman"/>
          <w:bCs/>
          <w:i/>
          <w:iCs/>
          <w:color w:val="000000"/>
          <w:sz w:val="18"/>
          <w:szCs w:val="18"/>
        </w:rPr>
        <w:t>XI</w:t>
      </w:r>
      <w:r w:rsidRPr="008F6905">
        <w:rPr>
          <w:rFonts w:ascii="Times New Roman" w:hAnsi="Times New Roman" w:cs="Times New Roman"/>
          <w:bCs/>
          <w:i/>
          <w:iCs/>
          <w:color w:val="000000"/>
          <w:sz w:val="18"/>
          <w:szCs w:val="18"/>
        </w:rPr>
        <w:t>: Custom Models versus API-Based Solutions</w:t>
      </w:r>
    </w:p>
    <w:tbl>
      <w:tblPr>
        <w:tblStyle w:val="TableGrid"/>
        <w:tblW w:w="0" w:type="auto"/>
        <w:jc w:val="center"/>
        <w:tblLook w:val="04A0" w:firstRow="1" w:lastRow="0" w:firstColumn="1" w:lastColumn="0" w:noHBand="0" w:noVBand="1"/>
      </w:tblPr>
      <w:tblGrid>
        <w:gridCol w:w="1816"/>
        <w:gridCol w:w="1205"/>
        <w:gridCol w:w="1027"/>
        <w:gridCol w:w="905"/>
        <w:gridCol w:w="1422"/>
        <w:gridCol w:w="1766"/>
      </w:tblGrid>
      <w:tr w:rsidR="00150D96" w:rsidRPr="008F6905" w14:paraId="2E6DB329" w14:textId="77777777" w:rsidTr="00150D96">
        <w:trPr>
          <w:jc w:val="center"/>
        </w:trPr>
        <w:tc>
          <w:tcPr>
            <w:tcW w:w="0" w:type="auto"/>
            <w:hideMark/>
          </w:tcPr>
          <w:p w14:paraId="3CB34061"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Model</w:t>
            </w:r>
          </w:p>
        </w:tc>
        <w:tc>
          <w:tcPr>
            <w:tcW w:w="0" w:type="auto"/>
            <w:hideMark/>
          </w:tcPr>
          <w:p w14:paraId="43B99B5C"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Parameters</w:t>
            </w:r>
          </w:p>
        </w:tc>
        <w:tc>
          <w:tcPr>
            <w:tcW w:w="0" w:type="auto"/>
            <w:hideMark/>
          </w:tcPr>
          <w:p w14:paraId="4289F542"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Accuracy</w:t>
            </w:r>
          </w:p>
        </w:tc>
        <w:tc>
          <w:tcPr>
            <w:tcW w:w="0" w:type="auto"/>
            <w:hideMark/>
          </w:tcPr>
          <w:p w14:paraId="4192C0D7"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Latency</w:t>
            </w:r>
          </w:p>
        </w:tc>
        <w:tc>
          <w:tcPr>
            <w:tcW w:w="0" w:type="auto"/>
            <w:hideMark/>
          </w:tcPr>
          <w:p w14:paraId="35FCC61B"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GPU Memory</w:t>
            </w:r>
          </w:p>
        </w:tc>
        <w:tc>
          <w:tcPr>
            <w:tcW w:w="0" w:type="auto"/>
            <w:hideMark/>
          </w:tcPr>
          <w:p w14:paraId="3D48D705" w14:textId="77777777" w:rsidR="00150D96" w:rsidRPr="008F6905" w:rsidRDefault="00150D96" w:rsidP="00237400">
            <w:pPr>
              <w:spacing w:after="160" w:line="259" w:lineRule="auto"/>
              <w:jc w:val="both"/>
              <w:rPr>
                <w:rFonts w:ascii="Times New Roman" w:hAnsi="Times New Roman" w:cs="Times New Roman"/>
                <w:b/>
                <w:bCs/>
                <w:sz w:val="20"/>
                <w:szCs w:val="20"/>
              </w:rPr>
            </w:pPr>
            <w:r w:rsidRPr="008F6905">
              <w:rPr>
                <w:rFonts w:ascii="Times New Roman" w:hAnsi="Times New Roman" w:cs="Times New Roman"/>
                <w:b/>
                <w:bCs/>
                <w:sz w:val="20"/>
                <w:szCs w:val="20"/>
              </w:rPr>
              <w:t>Cost / 1M Queries</w:t>
            </w:r>
          </w:p>
        </w:tc>
      </w:tr>
      <w:tr w:rsidR="00150D96" w:rsidRPr="008F6905" w14:paraId="50BCBE9D" w14:textId="77777777" w:rsidTr="00150D96">
        <w:trPr>
          <w:jc w:val="center"/>
        </w:trPr>
        <w:tc>
          <w:tcPr>
            <w:tcW w:w="0" w:type="auto"/>
            <w:hideMark/>
          </w:tcPr>
          <w:p w14:paraId="417EE54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GenAI-LLM-175B</w:t>
            </w:r>
          </w:p>
        </w:tc>
        <w:tc>
          <w:tcPr>
            <w:tcW w:w="0" w:type="auto"/>
            <w:hideMark/>
          </w:tcPr>
          <w:p w14:paraId="3C2F26F8"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175B</w:t>
            </w:r>
          </w:p>
        </w:tc>
        <w:tc>
          <w:tcPr>
            <w:tcW w:w="0" w:type="auto"/>
            <w:hideMark/>
          </w:tcPr>
          <w:p w14:paraId="77F6BED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95.2%</w:t>
            </w:r>
          </w:p>
        </w:tc>
        <w:tc>
          <w:tcPr>
            <w:tcW w:w="0" w:type="auto"/>
            <w:hideMark/>
          </w:tcPr>
          <w:p w14:paraId="50039079"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1.8s</w:t>
            </w:r>
          </w:p>
        </w:tc>
        <w:tc>
          <w:tcPr>
            <w:tcW w:w="0" w:type="auto"/>
            <w:hideMark/>
          </w:tcPr>
          <w:p w14:paraId="33CA5A7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280GB</w:t>
            </w:r>
          </w:p>
        </w:tc>
        <w:tc>
          <w:tcPr>
            <w:tcW w:w="0" w:type="auto"/>
            <w:hideMark/>
          </w:tcPr>
          <w:p w14:paraId="74FE096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$47</w:t>
            </w:r>
          </w:p>
        </w:tc>
      </w:tr>
      <w:tr w:rsidR="00150D96" w:rsidRPr="008F6905" w14:paraId="0B07C4A0" w14:textId="77777777" w:rsidTr="00150D96">
        <w:trPr>
          <w:jc w:val="center"/>
        </w:trPr>
        <w:tc>
          <w:tcPr>
            <w:tcW w:w="0" w:type="auto"/>
            <w:hideMark/>
          </w:tcPr>
          <w:p w14:paraId="73E97E66"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GenAI-LLM-70B</w:t>
            </w:r>
          </w:p>
        </w:tc>
        <w:tc>
          <w:tcPr>
            <w:tcW w:w="0" w:type="auto"/>
            <w:hideMark/>
          </w:tcPr>
          <w:p w14:paraId="5FA30870"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70B</w:t>
            </w:r>
          </w:p>
        </w:tc>
        <w:tc>
          <w:tcPr>
            <w:tcW w:w="0" w:type="auto"/>
            <w:hideMark/>
          </w:tcPr>
          <w:p w14:paraId="0C87946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92.1%</w:t>
            </w:r>
          </w:p>
        </w:tc>
        <w:tc>
          <w:tcPr>
            <w:tcW w:w="0" w:type="auto"/>
            <w:hideMark/>
          </w:tcPr>
          <w:p w14:paraId="48559DA5"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0.7s</w:t>
            </w:r>
          </w:p>
        </w:tc>
        <w:tc>
          <w:tcPr>
            <w:tcW w:w="0" w:type="auto"/>
            <w:hideMark/>
          </w:tcPr>
          <w:p w14:paraId="178D957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110GB</w:t>
            </w:r>
          </w:p>
        </w:tc>
        <w:tc>
          <w:tcPr>
            <w:tcW w:w="0" w:type="auto"/>
            <w:hideMark/>
          </w:tcPr>
          <w:p w14:paraId="2DAAC30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$18</w:t>
            </w:r>
          </w:p>
        </w:tc>
      </w:tr>
      <w:tr w:rsidR="00150D96" w:rsidRPr="008F6905" w14:paraId="63CE5BBD" w14:textId="77777777" w:rsidTr="00150D96">
        <w:trPr>
          <w:jc w:val="center"/>
        </w:trPr>
        <w:tc>
          <w:tcPr>
            <w:tcW w:w="0" w:type="auto"/>
            <w:hideMark/>
          </w:tcPr>
          <w:p w14:paraId="440ED7A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GenAI-LLM-13B</w:t>
            </w:r>
          </w:p>
        </w:tc>
        <w:tc>
          <w:tcPr>
            <w:tcW w:w="0" w:type="auto"/>
            <w:hideMark/>
          </w:tcPr>
          <w:p w14:paraId="087353D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13B</w:t>
            </w:r>
          </w:p>
        </w:tc>
        <w:tc>
          <w:tcPr>
            <w:tcW w:w="0" w:type="auto"/>
            <w:hideMark/>
          </w:tcPr>
          <w:p w14:paraId="4B635D54"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86.3%</w:t>
            </w:r>
          </w:p>
        </w:tc>
        <w:tc>
          <w:tcPr>
            <w:tcW w:w="0" w:type="auto"/>
            <w:hideMark/>
          </w:tcPr>
          <w:p w14:paraId="3E0048A4"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0.2s</w:t>
            </w:r>
          </w:p>
        </w:tc>
        <w:tc>
          <w:tcPr>
            <w:tcW w:w="0" w:type="auto"/>
            <w:hideMark/>
          </w:tcPr>
          <w:p w14:paraId="2BEF8F59"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26GB</w:t>
            </w:r>
          </w:p>
        </w:tc>
        <w:tc>
          <w:tcPr>
            <w:tcW w:w="0" w:type="auto"/>
            <w:hideMark/>
          </w:tcPr>
          <w:p w14:paraId="205B2605"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$5</w:t>
            </w:r>
          </w:p>
        </w:tc>
      </w:tr>
      <w:tr w:rsidR="00150D96" w:rsidRPr="008F6905" w14:paraId="6660CE26" w14:textId="77777777" w:rsidTr="00150D96">
        <w:trPr>
          <w:jc w:val="center"/>
        </w:trPr>
        <w:tc>
          <w:tcPr>
            <w:tcW w:w="0" w:type="auto"/>
            <w:hideMark/>
          </w:tcPr>
          <w:p w14:paraId="7EA25E43"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GPT-4 API</w:t>
            </w:r>
          </w:p>
        </w:tc>
        <w:tc>
          <w:tcPr>
            <w:tcW w:w="0" w:type="auto"/>
            <w:hideMark/>
          </w:tcPr>
          <w:p w14:paraId="3607332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~1.7T</w:t>
            </w:r>
          </w:p>
        </w:tc>
        <w:tc>
          <w:tcPr>
            <w:tcW w:w="0" w:type="auto"/>
            <w:hideMark/>
          </w:tcPr>
          <w:p w14:paraId="4D42B1CA"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93.8%</w:t>
            </w:r>
          </w:p>
        </w:tc>
        <w:tc>
          <w:tcPr>
            <w:tcW w:w="0" w:type="auto"/>
            <w:hideMark/>
          </w:tcPr>
          <w:p w14:paraId="12AB82EE"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2.3s</w:t>
            </w:r>
          </w:p>
        </w:tc>
        <w:tc>
          <w:tcPr>
            <w:tcW w:w="0" w:type="auto"/>
            <w:hideMark/>
          </w:tcPr>
          <w:p w14:paraId="58CA9131"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N/A</w:t>
            </w:r>
          </w:p>
        </w:tc>
        <w:tc>
          <w:tcPr>
            <w:tcW w:w="0" w:type="auto"/>
            <w:hideMark/>
          </w:tcPr>
          <w:p w14:paraId="6E30EF7F"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$150</w:t>
            </w:r>
          </w:p>
        </w:tc>
      </w:tr>
      <w:tr w:rsidR="00150D96" w:rsidRPr="008F6905" w14:paraId="1E5FE23C" w14:textId="77777777" w:rsidTr="00150D96">
        <w:trPr>
          <w:jc w:val="center"/>
        </w:trPr>
        <w:tc>
          <w:tcPr>
            <w:tcW w:w="0" w:type="auto"/>
            <w:hideMark/>
          </w:tcPr>
          <w:p w14:paraId="2AD1811D"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b/>
                <w:bCs/>
                <w:sz w:val="20"/>
                <w:szCs w:val="20"/>
              </w:rPr>
              <w:t>GPT-3.5 API</w:t>
            </w:r>
          </w:p>
        </w:tc>
        <w:tc>
          <w:tcPr>
            <w:tcW w:w="0" w:type="auto"/>
            <w:hideMark/>
          </w:tcPr>
          <w:p w14:paraId="4253124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~175B</w:t>
            </w:r>
          </w:p>
        </w:tc>
        <w:tc>
          <w:tcPr>
            <w:tcW w:w="0" w:type="auto"/>
            <w:hideMark/>
          </w:tcPr>
          <w:p w14:paraId="07F1C28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88.7%</w:t>
            </w:r>
          </w:p>
        </w:tc>
        <w:tc>
          <w:tcPr>
            <w:tcW w:w="0" w:type="auto"/>
            <w:hideMark/>
          </w:tcPr>
          <w:p w14:paraId="60BFA0FC"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0.9s</w:t>
            </w:r>
          </w:p>
        </w:tc>
        <w:tc>
          <w:tcPr>
            <w:tcW w:w="0" w:type="auto"/>
            <w:hideMark/>
          </w:tcPr>
          <w:p w14:paraId="328FC062"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N/A</w:t>
            </w:r>
          </w:p>
        </w:tc>
        <w:tc>
          <w:tcPr>
            <w:tcW w:w="0" w:type="auto"/>
            <w:hideMark/>
          </w:tcPr>
          <w:p w14:paraId="4FD44B77" w14:textId="77777777" w:rsidR="00150D96" w:rsidRPr="008F6905" w:rsidRDefault="00150D96" w:rsidP="00237400">
            <w:pPr>
              <w:spacing w:after="160" w:line="259" w:lineRule="auto"/>
              <w:jc w:val="both"/>
              <w:rPr>
                <w:rFonts w:ascii="Times New Roman" w:hAnsi="Times New Roman" w:cs="Times New Roman"/>
                <w:sz w:val="20"/>
                <w:szCs w:val="20"/>
              </w:rPr>
            </w:pPr>
            <w:r w:rsidRPr="008F6905">
              <w:rPr>
                <w:rFonts w:ascii="Times New Roman" w:hAnsi="Times New Roman" w:cs="Times New Roman"/>
                <w:sz w:val="20"/>
                <w:szCs w:val="20"/>
              </w:rPr>
              <w:t>$30</w:t>
            </w:r>
          </w:p>
        </w:tc>
      </w:tr>
    </w:tbl>
    <w:p w14:paraId="106EC13F" w14:textId="6295B996" w:rsidR="007071F5" w:rsidRPr="008F6905" w:rsidRDefault="00150D96" w:rsidP="00E016C7">
      <w:pPr>
        <w:spacing w:before="240"/>
        <w:jc w:val="both"/>
        <w:rPr>
          <w:rFonts w:ascii="Times New Roman" w:hAnsi="Times New Roman" w:cs="Times New Roman"/>
          <w:sz w:val="20"/>
          <w:szCs w:val="20"/>
        </w:rPr>
      </w:pPr>
      <w:r w:rsidRPr="008F6905">
        <w:rPr>
          <w:rFonts w:ascii="Times New Roman" w:hAnsi="Times New Roman" w:cs="Times New Roman"/>
          <w:sz w:val="20"/>
          <w:szCs w:val="20"/>
        </w:rPr>
        <w:t xml:space="preserve">Table </w:t>
      </w:r>
      <w:r w:rsidR="00DD1578" w:rsidRPr="008F6905">
        <w:rPr>
          <w:rFonts w:ascii="Times New Roman" w:hAnsi="Times New Roman" w:cs="Times New Roman"/>
          <w:sz w:val="20"/>
          <w:szCs w:val="20"/>
        </w:rPr>
        <w:t>11</w:t>
      </w:r>
      <w:r w:rsidRPr="008F6905">
        <w:rPr>
          <w:rFonts w:ascii="Times New Roman" w:hAnsi="Times New Roman" w:cs="Times New Roman"/>
          <w:sz w:val="20"/>
          <w:szCs w:val="20"/>
        </w:rPr>
        <w:t xml:space="preserve"> presents a comprehensive comparison of our custom-trained models against commercial API alternatives across accuracy, latency, resource requirements, and cost metrics. Our GenAI-LLM-175B foundation model achieves 95.2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with 1.8 seconds latency and requires 280GB GPU memory, resulting in approximately $47 cost per 1 million queries when amortizing infrastructure costs. The smaller GenAI-LLM-70B variant delivers 92.1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with 0.7 seconds latency and 110GB memory footprint at $18 per million queries, offering an attractive performance-cost tradeoff for less demanding tasks. Our most efficient GenAI-LLM-13B model achieves 86.3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with 0.2 seconds latency and merely 26GB memory requirement at $5 per million queries. In comparison, GPT-4 API provides 93.8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with 2.3 seconds latency at $150 per million queries</w:t>
      </w:r>
      <w:r w:rsidR="00D33D38">
        <w:rPr>
          <w:rFonts w:ascii="Times New Roman" w:hAnsi="Times New Roman" w:cs="Times New Roman"/>
          <w:sz w:val="20"/>
          <w:szCs w:val="20"/>
        </w:rPr>
        <w:t xml:space="preserve"> [13]</w:t>
      </w:r>
      <w:r w:rsidRPr="008F6905">
        <w:rPr>
          <w:rFonts w:ascii="Times New Roman" w:hAnsi="Times New Roman" w:cs="Times New Roman"/>
          <w:sz w:val="20"/>
          <w:szCs w:val="20"/>
        </w:rPr>
        <w:t xml:space="preserve">, while GPT-3.5 API offers 88.7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with 0.9 seconds latency at $30 per million queries. These results demonstrate that our largest custom model surpasses GPT-4 in accuracy while providing 68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cost savings, </w:t>
      </w:r>
      <w:r w:rsidRPr="008F6905">
        <w:rPr>
          <w:rFonts w:ascii="Times New Roman" w:hAnsi="Times New Roman" w:cs="Times New Roman"/>
          <w:sz w:val="20"/>
          <w:szCs w:val="20"/>
        </w:rPr>
        <w:lastRenderedPageBreak/>
        <w:t>validating the economic viability of custom model development at scale. The break-even point occurs at approximately 15 million queries, achievable within 18 months at current growth trajectories, beyond which custom models provide substantial ongoing cost advantages while ensuring data privacy and customization flexibility unavailable with API-based solutions.</w:t>
      </w:r>
    </w:p>
    <w:p w14:paraId="03F8530D"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V. DISCUSSION</w:t>
      </w:r>
    </w:p>
    <w:p w14:paraId="6896BFEF"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 Key Findings and Contributions</w:t>
      </w:r>
    </w:p>
    <w:p w14:paraId="23181A46" w14:textId="2DC0F118" w:rsidR="007071F5" w:rsidRPr="008F6905" w:rsidRDefault="003A2D6A" w:rsidP="00237400">
      <w:pPr>
        <w:jc w:val="both"/>
        <w:rPr>
          <w:rFonts w:ascii="Times New Roman" w:hAnsi="Times New Roman" w:cs="Times New Roman"/>
          <w:sz w:val="20"/>
          <w:szCs w:val="20"/>
        </w:rPr>
      </w:pPr>
      <w:r w:rsidRPr="003A2D6A">
        <w:rPr>
          <w:rFonts w:ascii="Times New Roman" w:hAnsi="Times New Roman" w:cs="Times New Roman"/>
          <w:sz w:val="20"/>
          <w:szCs w:val="20"/>
        </w:rPr>
        <w:t xml:space="preserve">Our research demonstrates several significant findings regarding practical deployment of advanced AI systems for knowledge work automation. First, GraphRAG integration provides substantial improvements over vector-only retrieval for complex multi-document reasoning tasks, with particularly pronounced benefits for queries requiring understanding of entity relationships and multi-hop inference [4]. The 23 to 46 </w:t>
      </w:r>
      <w:r w:rsidR="00D13ECA">
        <w:rPr>
          <w:rFonts w:ascii="Times New Roman" w:hAnsi="Times New Roman" w:cs="Times New Roman"/>
          <w:sz w:val="20"/>
          <w:szCs w:val="20"/>
        </w:rPr>
        <w:t>%</w:t>
      </w:r>
      <w:r w:rsidRPr="003A2D6A">
        <w:rPr>
          <w:rFonts w:ascii="Times New Roman" w:hAnsi="Times New Roman" w:cs="Times New Roman"/>
          <w:sz w:val="20"/>
          <w:szCs w:val="20"/>
        </w:rPr>
        <w:t xml:space="preserve"> accuracy improvements on various benchmarks justify the additional engineering complexity and computational cost of knowledge graph construction and maintenance. Second, multi-agent architectures effectively decompose complex analytical tasks such as resume evaluation into specialized subtasks, with each agent contributing measurable value. Ablation studies confirm that removing individual agents degrades overall system performance, validating the architectural choice. The coordination overhead remains manageable through efficient inter-agent communication protocols and parallel execution where dependencies permit.</w:t>
      </w:r>
    </w:p>
    <w:p w14:paraId="6EB4A1B4" w14:textId="0E24461E"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Third, custom-trained large language models optimized for specific domains and tasks outperform general-purpose models on specialized applications. Our domain-specific fine-tuning achieved performance improvements of 8 to 15 </w:t>
      </w:r>
      <w:r w:rsidR="00D13ECA">
        <w:rPr>
          <w:rFonts w:ascii="Times New Roman" w:hAnsi="Times New Roman" w:cs="Times New Roman"/>
          <w:sz w:val="20"/>
          <w:szCs w:val="20"/>
        </w:rPr>
        <w:t>%</w:t>
      </w:r>
      <w:r w:rsidRPr="008F6905">
        <w:rPr>
          <w:rFonts w:ascii="Times New Roman" w:hAnsi="Times New Roman" w:cs="Times New Roman"/>
          <w:sz w:val="20"/>
          <w:szCs w:val="20"/>
        </w:rPr>
        <w:t>age points across various tasks compared to base model performance. While training costs are substantial, the elimination of ongoing API fees and enhanced data privacy provide compelling value propositions for organizations with sufficient scale.</w:t>
      </w:r>
    </w:p>
    <w:p w14:paraId="22AC7206" w14:textId="194B7BEC"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Fourth, schema-aware Text-to-SQL generation achieves production-ready accuracy when combined with robust safety validation. Our 94.2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accuracy on complex queries demonstrates that natural language database interfaces have matured sufficiently for real-world deployment, dramatically lowering barriers to data access for non-technical users.</w:t>
      </w:r>
    </w:p>
    <w:p w14:paraId="4C9F1EEE" w14:textId="79C781EA"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Fifth, autonomous research assistants can successfully automate significant portions of literature review and synthesis workflows, though human expertise remains valuable for nuanced interpretation and critical analysis. The 65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time reduction enables researchers to explore broader question spaces and iterate more rapidly, fundamentally changing research workflows.</w:t>
      </w:r>
    </w:p>
    <w:p w14:paraId="0F7266A2"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 Architectural Insights</w:t>
      </w:r>
    </w:p>
    <w:p w14:paraId="01D69705" w14:textId="442EE828" w:rsidR="00E016C7"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Several architectural decisions proved critical to system success. The microservices architecture enables independent scaling and deployment of different system components, proving essential given the diverse resource requirements of document processing, model inference, and database operations. Service isolation through separate databases and APIs enhances maintainability and allows specialized optimization for each component.</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hybrid storage architecture combining PostgreSQL, vector databases, and object storage optimizes for different access patterns and data characteristics. PostgreSQL excels at structured transactional data with complex query requirements. Custom vector databases provide low-latency similarity search at scale. Object storage offers cost-effective archival for infrequently accessed documents. This separation of concerns significantly improves both performance and cost efficiency compared to monolithic storage approaches.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Caching at multiple layers proves essential for acceptable performance. Redis caching of embeddings, authentication tokens, and frequent query results reduces load on downstream services by 60 to 80 </w:t>
      </w:r>
      <w:r w:rsidR="00D13ECA">
        <w:rPr>
          <w:rFonts w:ascii="Times New Roman" w:hAnsi="Times New Roman" w:cs="Times New Roman"/>
          <w:sz w:val="20"/>
          <w:szCs w:val="20"/>
        </w:rPr>
        <w:t>%</w:t>
      </w:r>
      <w:r w:rsidRPr="008F6905">
        <w:rPr>
          <w:rFonts w:ascii="Times New Roman" w:hAnsi="Times New Roman" w:cs="Times New Roman"/>
          <w:sz w:val="20"/>
          <w:szCs w:val="20"/>
        </w:rPr>
        <w:t>. The multi-tier cache hierarchy with different TTLs for different data types balances freshness requirements against performance optimization.</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The inference serving infrastructure using Triton and TensorRT optimization reduces model latency by approximately 3x compared to naive PyTorch inference. Dynamic batching aggregates concurrent requests for improved GPU utilization without sacrificing individual request latency. These optimizations prove critical for serving large models cost-effectively.</w:t>
      </w:r>
    </w:p>
    <w:p w14:paraId="7834EBB3" w14:textId="64B7E169" w:rsidR="00E016C7" w:rsidRPr="008F6905" w:rsidRDefault="00E016C7" w:rsidP="00E016C7">
      <w:pPr>
        <w:spacing w:after="0"/>
        <w:jc w:val="center"/>
        <w:rPr>
          <w:rFonts w:ascii="Times New Roman" w:hAnsi="Times New Roman" w:cs="Times New Roman"/>
          <w:sz w:val="20"/>
          <w:szCs w:val="20"/>
        </w:rPr>
      </w:pPr>
      <w:r w:rsidRPr="008F6905">
        <w:rPr>
          <w:rFonts w:ascii="Times New Roman" w:hAnsi="Times New Roman" w:cs="Times New Roman"/>
          <w:noProof/>
          <w:sz w:val="20"/>
          <w:szCs w:val="20"/>
        </w:rPr>
        <w:lastRenderedPageBreak/>
        <w:drawing>
          <wp:inline distT="0" distB="0" distL="0" distR="0" wp14:anchorId="6C9047C0" wp14:editId="25DD8640">
            <wp:extent cx="4389668" cy="3298371"/>
            <wp:effectExtent l="0" t="0" r="0" b="0"/>
            <wp:docPr id="750175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1995" cy="3300120"/>
                    </a:xfrm>
                    <a:prstGeom prst="rect">
                      <a:avLst/>
                    </a:prstGeom>
                    <a:noFill/>
                    <a:ln>
                      <a:noFill/>
                    </a:ln>
                  </pic:spPr>
                </pic:pic>
              </a:graphicData>
            </a:graphic>
          </wp:inline>
        </w:drawing>
      </w:r>
    </w:p>
    <w:p w14:paraId="37D1DA9A" w14:textId="062B62CF" w:rsidR="00E016C7" w:rsidRDefault="00E016C7" w:rsidP="00E016C7">
      <w:pPr>
        <w:jc w:val="center"/>
        <w:rPr>
          <w:rFonts w:ascii="Times New Roman" w:hAnsi="Times New Roman" w:cs="Times New Roman"/>
          <w:bCs/>
          <w:i/>
          <w:iCs/>
          <w:color w:val="000000"/>
          <w:sz w:val="18"/>
          <w:szCs w:val="18"/>
        </w:rPr>
      </w:pPr>
      <w:r w:rsidRPr="008F6905">
        <w:rPr>
          <w:rFonts w:ascii="Times New Roman" w:hAnsi="Times New Roman" w:cs="Times New Roman"/>
          <w:bCs/>
          <w:i/>
          <w:iCs/>
          <w:color w:val="000000"/>
          <w:sz w:val="18"/>
          <w:szCs w:val="18"/>
        </w:rPr>
        <w:t>Figure 10: System-Wide Performance Metrics</w:t>
      </w:r>
    </w:p>
    <w:p w14:paraId="4EF7EE54" w14:textId="01DD0EA2" w:rsidR="005E0C45" w:rsidRPr="005E0C45" w:rsidRDefault="005E0C45" w:rsidP="005E0C45">
      <w:pPr>
        <w:jc w:val="both"/>
        <w:rPr>
          <w:rFonts w:ascii="Times New Roman" w:hAnsi="Times New Roman" w:cs="Times New Roman"/>
          <w:bCs/>
          <w:color w:val="000000"/>
          <w:sz w:val="20"/>
          <w:szCs w:val="20"/>
        </w:rPr>
      </w:pPr>
      <w:r w:rsidRPr="005E0C45">
        <w:rPr>
          <w:rFonts w:ascii="Times New Roman" w:hAnsi="Times New Roman" w:cs="Times New Roman"/>
          <w:bCs/>
          <w:color w:val="000000"/>
          <w:sz w:val="20"/>
          <w:szCs w:val="20"/>
        </w:rPr>
        <w:t>Fig</w:t>
      </w:r>
      <w:r>
        <w:rPr>
          <w:rFonts w:ascii="Times New Roman" w:hAnsi="Times New Roman" w:cs="Times New Roman"/>
          <w:bCs/>
          <w:color w:val="000000"/>
          <w:sz w:val="20"/>
          <w:szCs w:val="20"/>
        </w:rPr>
        <w:t>. 10</w:t>
      </w:r>
      <w:r w:rsidRPr="005E0C45">
        <w:rPr>
          <w:rFonts w:ascii="Times New Roman" w:hAnsi="Times New Roman" w:cs="Times New Roman"/>
          <w:bCs/>
          <w:color w:val="000000"/>
          <w:sz w:val="20"/>
          <w:szCs w:val="20"/>
        </w:rPr>
        <w:t xml:space="preserve"> summarizes end-to-end system performance over a 30-day deployment. Subfigure (a) shows latency </w:t>
      </w:r>
      <w:r w:rsidR="00D13ECA">
        <w:rPr>
          <w:rFonts w:ascii="Times New Roman" w:hAnsi="Times New Roman" w:cs="Times New Roman"/>
          <w:bCs/>
          <w:color w:val="000000"/>
          <w:sz w:val="20"/>
          <w:szCs w:val="20"/>
        </w:rPr>
        <w:t>%</w:t>
      </w:r>
      <w:r w:rsidRPr="005E0C45">
        <w:rPr>
          <w:rFonts w:ascii="Times New Roman" w:hAnsi="Times New Roman" w:cs="Times New Roman"/>
          <w:bCs/>
          <w:color w:val="000000"/>
          <w:sz w:val="20"/>
          <w:szCs w:val="20"/>
        </w:rPr>
        <w:t>iles across all four core modules. Subfigure (b) provides a cost distribution breakdown by feature. Subfigure (c) reports response time and error rate trends under increasing concurrent load. Subfigure (d) illustrates usage distribution across platform components, with Text-to-SQL being the most frequently used. Subfigure (e) presents uptime monitoring, demonstrating sustained stability above the 99.5% target.</w:t>
      </w:r>
    </w:p>
    <w:p w14:paraId="2B523FEB" w14:textId="121244BC" w:rsidR="00196AFE" w:rsidRPr="008F6905" w:rsidRDefault="00196AFE" w:rsidP="00196AFE">
      <w:pPr>
        <w:spacing w:after="0"/>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 xml:space="preserve">Table </w:t>
      </w:r>
      <w:r w:rsidR="008648EF">
        <w:rPr>
          <w:rFonts w:ascii="Times New Roman" w:hAnsi="Times New Roman" w:cs="Times New Roman"/>
          <w:bCs/>
          <w:i/>
          <w:iCs/>
          <w:color w:val="000000"/>
          <w:sz w:val="18"/>
          <w:szCs w:val="18"/>
        </w:rPr>
        <w:t>XII</w:t>
      </w:r>
      <w:r w:rsidRPr="008F6905">
        <w:rPr>
          <w:rFonts w:ascii="Times New Roman" w:hAnsi="Times New Roman" w:cs="Times New Roman"/>
          <w:bCs/>
          <w:i/>
          <w:iCs/>
          <w:color w:val="000000"/>
          <w:sz w:val="18"/>
          <w:szCs w:val="18"/>
        </w:rPr>
        <w:t>.1: Custom Models versus API-Based Solutions- Reliability Metrics</w:t>
      </w:r>
    </w:p>
    <w:tbl>
      <w:tblPr>
        <w:tblStyle w:val="TableGrid"/>
        <w:tblW w:w="5000" w:type="pct"/>
        <w:tblLook w:val="04A0" w:firstRow="1" w:lastRow="0" w:firstColumn="1" w:lastColumn="0" w:noHBand="0" w:noVBand="1"/>
      </w:tblPr>
      <w:tblGrid>
        <w:gridCol w:w="3491"/>
        <w:gridCol w:w="2637"/>
        <w:gridCol w:w="2888"/>
      </w:tblGrid>
      <w:tr w:rsidR="00196AFE" w:rsidRPr="00196AFE" w14:paraId="026730B4" w14:textId="77777777" w:rsidTr="00196AFE">
        <w:tc>
          <w:tcPr>
            <w:tcW w:w="0" w:type="auto"/>
            <w:hideMark/>
          </w:tcPr>
          <w:p w14:paraId="276CD38B"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Metric</w:t>
            </w:r>
          </w:p>
        </w:tc>
        <w:tc>
          <w:tcPr>
            <w:tcW w:w="0" w:type="auto"/>
            <w:hideMark/>
          </w:tcPr>
          <w:p w14:paraId="14FC4142"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Value</w:t>
            </w:r>
          </w:p>
        </w:tc>
        <w:tc>
          <w:tcPr>
            <w:tcW w:w="0" w:type="auto"/>
            <w:hideMark/>
          </w:tcPr>
          <w:p w14:paraId="2C603893"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Target</w:t>
            </w:r>
          </w:p>
        </w:tc>
      </w:tr>
      <w:tr w:rsidR="00196AFE" w:rsidRPr="00196AFE" w14:paraId="45348C8C" w14:textId="77777777" w:rsidTr="00196AFE">
        <w:tc>
          <w:tcPr>
            <w:tcW w:w="0" w:type="auto"/>
            <w:hideMark/>
          </w:tcPr>
          <w:p w14:paraId="4BC41FF0"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System Uptime</w:t>
            </w:r>
          </w:p>
        </w:tc>
        <w:tc>
          <w:tcPr>
            <w:tcW w:w="0" w:type="auto"/>
            <w:hideMark/>
          </w:tcPr>
          <w:p w14:paraId="3E0A1D05"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99.87%</w:t>
            </w:r>
          </w:p>
        </w:tc>
        <w:tc>
          <w:tcPr>
            <w:tcW w:w="0" w:type="auto"/>
            <w:hideMark/>
          </w:tcPr>
          <w:p w14:paraId="250829B3"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99.5%</w:t>
            </w:r>
          </w:p>
        </w:tc>
      </w:tr>
      <w:tr w:rsidR="00196AFE" w:rsidRPr="00196AFE" w14:paraId="6B13FBBD" w14:textId="77777777" w:rsidTr="00196AFE">
        <w:tc>
          <w:tcPr>
            <w:tcW w:w="0" w:type="auto"/>
            <w:hideMark/>
          </w:tcPr>
          <w:p w14:paraId="0C00AC82"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Total Downtime</w:t>
            </w:r>
          </w:p>
        </w:tc>
        <w:tc>
          <w:tcPr>
            <w:tcW w:w="0" w:type="auto"/>
            <w:hideMark/>
          </w:tcPr>
          <w:p w14:paraId="10E69BF2"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56 minutes</w:t>
            </w:r>
          </w:p>
        </w:tc>
        <w:tc>
          <w:tcPr>
            <w:tcW w:w="0" w:type="auto"/>
            <w:hideMark/>
          </w:tcPr>
          <w:p w14:paraId="79F94689"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3.6 hours</w:t>
            </w:r>
          </w:p>
        </w:tc>
      </w:tr>
      <w:tr w:rsidR="00196AFE" w:rsidRPr="00196AFE" w14:paraId="13E15F29" w14:textId="77777777" w:rsidTr="00196AFE">
        <w:tc>
          <w:tcPr>
            <w:tcW w:w="0" w:type="auto"/>
            <w:hideMark/>
          </w:tcPr>
          <w:p w14:paraId="78AD792B"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MTBF</w:t>
            </w:r>
          </w:p>
        </w:tc>
        <w:tc>
          <w:tcPr>
            <w:tcW w:w="0" w:type="auto"/>
            <w:hideMark/>
          </w:tcPr>
          <w:p w14:paraId="320E5C09"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14.7 days</w:t>
            </w:r>
          </w:p>
        </w:tc>
        <w:tc>
          <w:tcPr>
            <w:tcW w:w="0" w:type="auto"/>
            <w:hideMark/>
          </w:tcPr>
          <w:p w14:paraId="6BED9105"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&gt; 7 days</w:t>
            </w:r>
          </w:p>
        </w:tc>
      </w:tr>
      <w:tr w:rsidR="00196AFE" w:rsidRPr="00196AFE" w14:paraId="65B84FEB" w14:textId="77777777" w:rsidTr="00196AFE">
        <w:tc>
          <w:tcPr>
            <w:tcW w:w="0" w:type="auto"/>
            <w:hideMark/>
          </w:tcPr>
          <w:p w14:paraId="480C6290"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MTTR</w:t>
            </w:r>
          </w:p>
        </w:tc>
        <w:tc>
          <w:tcPr>
            <w:tcW w:w="0" w:type="auto"/>
            <w:hideMark/>
          </w:tcPr>
          <w:p w14:paraId="1E2E10C5"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8.3 minutes</w:t>
            </w:r>
          </w:p>
        </w:tc>
        <w:tc>
          <w:tcPr>
            <w:tcW w:w="0" w:type="auto"/>
            <w:hideMark/>
          </w:tcPr>
          <w:p w14:paraId="684622F7"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15 minutes</w:t>
            </w:r>
          </w:p>
        </w:tc>
      </w:tr>
    </w:tbl>
    <w:p w14:paraId="0036F57B" w14:textId="6B9F0C0B" w:rsidR="00196AFE" w:rsidRPr="008F6905" w:rsidRDefault="00196AFE" w:rsidP="00196AFE">
      <w:pPr>
        <w:spacing w:before="240" w:after="0"/>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 xml:space="preserve">Table </w:t>
      </w:r>
      <w:r w:rsidR="00531E78">
        <w:rPr>
          <w:rFonts w:ascii="Times New Roman" w:hAnsi="Times New Roman" w:cs="Times New Roman"/>
          <w:bCs/>
          <w:i/>
          <w:iCs/>
          <w:color w:val="000000"/>
          <w:sz w:val="18"/>
          <w:szCs w:val="18"/>
        </w:rPr>
        <w:t>XII.</w:t>
      </w:r>
      <w:r w:rsidRPr="008F6905">
        <w:rPr>
          <w:rFonts w:ascii="Times New Roman" w:hAnsi="Times New Roman" w:cs="Times New Roman"/>
          <w:bCs/>
          <w:i/>
          <w:iCs/>
          <w:color w:val="000000"/>
          <w:sz w:val="18"/>
          <w:szCs w:val="18"/>
        </w:rPr>
        <w:t>2: Custom Models versus API-Based Solutions- Performance Metrics</w:t>
      </w:r>
    </w:p>
    <w:tbl>
      <w:tblPr>
        <w:tblStyle w:val="TableGrid"/>
        <w:tblW w:w="5000" w:type="pct"/>
        <w:tblLook w:val="04A0" w:firstRow="1" w:lastRow="0" w:firstColumn="1" w:lastColumn="0" w:noHBand="0" w:noVBand="1"/>
      </w:tblPr>
      <w:tblGrid>
        <w:gridCol w:w="5411"/>
        <w:gridCol w:w="1707"/>
        <w:gridCol w:w="1898"/>
      </w:tblGrid>
      <w:tr w:rsidR="00196AFE" w:rsidRPr="00196AFE" w14:paraId="55D749C6" w14:textId="77777777" w:rsidTr="00196AFE">
        <w:tc>
          <w:tcPr>
            <w:tcW w:w="0" w:type="auto"/>
            <w:hideMark/>
          </w:tcPr>
          <w:p w14:paraId="75145F75"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Metric</w:t>
            </w:r>
          </w:p>
        </w:tc>
        <w:tc>
          <w:tcPr>
            <w:tcW w:w="0" w:type="auto"/>
            <w:hideMark/>
          </w:tcPr>
          <w:p w14:paraId="299F0DBB"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Value</w:t>
            </w:r>
          </w:p>
        </w:tc>
        <w:tc>
          <w:tcPr>
            <w:tcW w:w="0" w:type="auto"/>
            <w:hideMark/>
          </w:tcPr>
          <w:p w14:paraId="55DE8D15"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Target</w:t>
            </w:r>
          </w:p>
        </w:tc>
      </w:tr>
      <w:tr w:rsidR="00196AFE" w:rsidRPr="00196AFE" w14:paraId="52E406E7" w14:textId="77777777" w:rsidTr="00196AFE">
        <w:tc>
          <w:tcPr>
            <w:tcW w:w="0" w:type="auto"/>
            <w:hideMark/>
          </w:tcPr>
          <w:p w14:paraId="3F362764"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p50 Latency</w:t>
            </w:r>
          </w:p>
        </w:tc>
        <w:tc>
          <w:tcPr>
            <w:tcW w:w="0" w:type="auto"/>
            <w:hideMark/>
          </w:tcPr>
          <w:p w14:paraId="1B9207D7"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0.87s</w:t>
            </w:r>
          </w:p>
        </w:tc>
        <w:tc>
          <w:tcPr>
            <w:tcW w:w="0" w:type="auto"/>
            <w:hideMark/>
          </w:tcPr>
          <w:p w14:paraId="4C4374C8"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1.0s</w:t>
            </w:r>
          </w:p>
        </w:tc>
      </w:tr>
      <w:tr w:rsidR="00196AFE" w:rsidRPr="00196AFE" w14:paraId="2795E345" w14:textId="77777777" w:rsidTr="00196AFE">
        <w:tc>
          <w:tcPr>
            <w:tcW w:w="0" w:type="auto"/>
            <w:hideMark/>
          </w:tcPr>
          <w:p w14:paraId="10E9BB7D"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p95 Latency</w:t>
            </w:r>
          </w:p>
        </w:tc>
        <w:tc>
          <w:tcPr>
            <w:tcW w:w="0" w:type="auto"/>
            <w:hideMark/>
          </w:tcPr>
          <w:p w14:paraId="71CA6FA4"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1.92s</w:t>
            </w:r>
          </w:p>
        </w:tc>
        <w:tc>
          <w:tcPr>
            <w:tcW w:w="0" w:type="auto"/>
            <w:hideMark/>
          </w:tcPr>
          <w:p w14:paraId="7E29E07C"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2.5s</w:t>
            </w:r>
          </w:p>
        </w:tc>
      </w:tr>
      <w:tr w:rsidR="00196AFE" w:rsidRPr="00196AFE" w14:paraId="5BF0AFAA" w14:textId="77777777" w:rsidTr="00196AFE">
        <w:tc>
          <w:tcPr>
            <w:tcW w:w="0" w:type="auto"/>
            <w:hideMark/>
          </w:tcPr>
          <w:p w14:paraId="3C3C8909"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p99 Latency</w:t>
            </w:r>
          </w:p>
        </w:tc>
        <w:tc>
          <w:tcPr>
            <w:tcW w:w="0" w:type="auto"/>
            <w:hideMark/>
          </w:tcPr>
          <w:p w14:paraId="7961F63B"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3.24s</w:t>
            </w:r>
          </w:p>
        </w:tc>
        <w:tc>
          <w:tcPr>
            <w:tcW w:w="0" w:type="auto"/>
            <w:hideMark/>
          </w:tcPr>
          <w:p w14:paraId="3E303F14"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5.0s</w:t>
            </w:r>
          </w:p>
        </w:tc>
      </w:tr>
      <w:tr w:rsidR="00196AFE" w:rsidRPr="00196AFE" w14:paraId="5821167D" w14:textId="77777777" w:rsidTr="00196AFE">
        <w:tc>
          <w:tcPr>
            <w:tcW w:w="0" w:type="auto"/>
            <w:hideMark/>
          </w:tcPr>
          <w:p w14:paraId="3B8FFEF3"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Peak Concurrent Users</w:t>
            </w:r>
          </w:p>
        </w:tc>
        <w:tc>
          <w:tcPr>
            <w:tcW w:w="0" w:type="auto"/>
            <w:hideMark/>
          </w:tcPr>
          <w:p w14:paraId="1E34833A"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347</w:t>
            </w:r>
          </w:p>
        </w:tc>
        <w:tc>
          <w:tcPr>
            <w:tcW w:w="0" w:type="auto"/>
            <w:hideMark/>
          </w:tcPr>
          <w:p w14:paraId="5F9AFE77"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&gt; 300</w:t>
            </w:r>
          </w:p>
        </w:tc>
      </w:tr>
    </w:tbl>
    <w:p w14:paraId="5E81C99A" w14:textId="20F01066" w:rsidR="00196AFE" w:rsidRPr="008F6905" w:rsidRDefault="00196AFE" w:rsidP="00196AFE">
      <w:pPr>
        <w:spacing w:before="240" w:after="0"/>
        <w:jc w:val="center"/>
        <w:rPr>
          <w:rFonts w:ascii="Times New Roman" w:hAnsi="Times New Roman" w:cs="Times New Roman"/>
          <w:b/>
          <w:bCs/>
          <w:sz w:val="20"/>
          <w:szCs w:val="20"/>
        </w:rPr>
      </w:pPr>
      <w:r w:rsidRPr="008F6905">
        <w:rPr>
          <w:rFonts w:ascii="Times New Roman" w:hAnsi="Times New Roman" w:cs="Times New Roman"/>
          <w:bCs/>
          <w:i/>
          <w:iCs/>
          <w:color w:val="000000"/>
          <w:sz w:val="18"/>
          <w:szCs w:val="18"/>
        </w:rPr>
        <w:t xml:space="preserve">Table </w:t>
      </w:r>
      <w:r w:rsidR="00531E78">
        <w:rPr>
          <w:rFonts w:ascii="Times New Roman" w:hAnsi="Times New Roman" w:cs="Times New Roman"/>
          <w:bCs/>
          <w:i/>
          <w:iCs/>
          <w:color w:val="000000"/>
          <w:sz w:val="18"/>
          <w:szCs w:val="18"/>
        </w:rPr>
        <w:t>XII</w:t>
      </w:r>
      <w:r w:rsidRPr="008F6905">
        <w:rPr>
          <w:rFonts w:ascii="Times New Roman" w:hAnsi="Times New Roman" w:cs="Times New Roman"/>
          <w:bCs/>
          <w:i/>
          <w:iCs/>
          <w:color w:val="000000"/>
          <w:sz w:val="18"/>
          <w:szCs w:val="18"/>
        </w:rPr>
        <w:t>.3: Custom Models versus API-Based Solutions- Usage Metrics</w:t>
      </w:r>
    </w:p>
    <w:tbl>
      <w:tblPr>
        <w:tblStyle w:val="TableGrid"/>
        <w:tblW w:w="5949" w:type="dxa"/>
        <w:jc w:val="center"/>
        <w:tblLook w:val="04A0" w:firstRow="1" w:lastRow="0" w:firstColumn="1" w:lastColumn="0" w:noHBand="0" w:noVBand="1"/>
      </w:tblPr>
      <w:tblGrid>
        <w:gridCol w:w="2405"/>
        <w:gridCol w:w="2415"/>
        <w:gridCol w:w="1129"/>
      </w:tblGrid>
      <w:tr w:rsidR="00196AFE" w:rsidRPr="00196AFE" w14:paraId="50869578" w14:textId="77777777" w:rsidTr="00196AFE">
        <w:trPr>
          <w:jc w:val="center"/>
        </w:trPr>
        <w:tc>
          <w:tcPr>
            <w:tcW w:w="2405" w:type="dxa"/>
            <w:hideMark/>
          </w:tcPr>
          <w:p w14:paraId="1974DCD6"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Metric</w:t>
            </w:r>
          </w:p>
        </w:tc>
        <w:tc>
          <w:tcPr>
            <w:tcW w:w="0" w:type="auto"/>
            <w:hideMark/>
          </w:tcPr>
          <w:p w14:paraId="3348B437"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Value</w:t>
            </w:r>
          </w:p>
        </w:tc>
        <w:tc>
          <w:tcPr>
            <w:tcW w:w="1129" w:type="dxa"/>
            <w:hideMark/>
          </w:tcPr>
          <w:p w14:paraId="07367DD9"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Target</w:t>
            </w:r>
          </w:p>
        </w:tc>
      </w:tr>
      <w:tr w:rsidR="00196AFE" w:rsidRPr="00196AFE" w14:paraId="2B3FDCE5" w14:textId="77777777" w:rsidTr="00196AFE">
        <w:trPr>
          <w:jc w:val="center"/>
        </w:trPr>
        <w:tc>
          <w:tcPr>
            <w:tcW w:w="2405" w:type="dxa"/>
            <w:hideMark/>
          </w:tcPr>
          <w:p w14:paraId="5620F9CE"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Total Requests</w:t>
            </w:r>
          </w:p>
        </w:tc>
        <w:tc>
          <w:tcPr>
            <w:tcW w:w="0" w:type="auto"/>
            <w:hideMark/>
          </w:tcPr>
          <w:p w14:paraId="4A1C2C2D"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152,847</w:t>
            </w:r>
          </w:p>
        </w:tc>
        <w:tc>
          <w:tcPr>
            <w:tcW w:w="1129" w:type="dxa"/>
            <w:hideMark/>
          </w:tcPr>
          <w:p w14:paraId="35D79A1B"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w:t>
            </w:r>
          </w:p>
        </w:tc>
      </w:tr>
      <w:tr w:rsidR="00196AFE" w:rsidRPr="00196AFE" w14:paraId="46F20B0D" w14:textId="77777777" w:rsidTr="00196AFE">
        <w:trPr>
          <w:jc w:val="center"/>
        </w:trPr>
        <w:tc>
          <w:tcPr>
            <w:tcW w:w="2405" w:type="dxa"/>
            <w:hideMark/>
          </w:tcPr>
          <w:p w14:paraId="4C0A03EC"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Total Cost ($)</w:t>
            </w:r>
          </w:p>
        </w:tc>
        <w:tc>
          <w:tcPr>
            <w:tcW w:w="0" w:type="auto"/>
            <w:hideMark/>
          </w:tcPr>
          <w:p w14:paraId="3745608F"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1,469.11</w:t>
            </w:r>
          </w:p>
        </w:tc>
        <w:tc>
          <w:tcPr>
            <w:tcW w:w="1129" w:type="dxa"/>
            <w:hideMark/>
          </w:tcPr>
          <w:p w14:paraId="7B961008"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w:t>
            </w:r>
          </w:p>
        </w:tc>
      </w:tr>
      <w:tr w:rsidR="00196AFE" w:rsidRPr="00196AFE" w14:paraId="3E8E99E0" w14:textId="77777777" w:rsidTr="00196AFE">
        <w:trPr>
          <w:jc w:val="center"/>
        </w:trPr>
        <w:tc>
          <w:tcPr>
            <w:tcW w:w="2405" w:type="dxa"/>
            <w:hideMark/>
          </w:tcPr>
          <w:p w14:paraId="4E9ECD36"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lastRenderedPageBreak/>
              <w:t>Avg Cost per Request</w:t>
            </w:r>
          </w:p>
        </w:tc>
        <w:tc>
          <w:tcPr>
            <w:tcW w:w="0" w:type="auto"/>
            <w:hideMark/>
          </w:tcPr>
          <w:p w14:paraId="3D336224"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$0.0096</w:t>
            </w:r>
          </w:p>
        </w:tc>
        <w:tc>
          <w:tcPr>
            <w:tcW w:w="1129" w:type="dxa"/>
            <w:hideMark/>
          </w:tcPr>
          <w:p w14:paraId="7748CA87" w14:textId="77777777" w:rsidR="00196AFE" w:rsidRPr="00196AFE" w:rsidRDefault="00196AFE" w:rsidP="00196AFE">
            <w:pPr>
              <w:spacing w:after="160" w:line="259" w:lineRule="auto"/>
              <w:jc w:val="both"/>
              <w:rPr>
                <w:rFonts w:ascii="Times New Roman" w:hAnsi="Times New Roman" w:cs="Times New Roman"/>
                <w:b/>
                <w:bCs/>
                <w:sz w:val="20"/>
                <w:szCs w:val="20"/>
              </w:rPr>
            </w:pPr>
            <w:r w:rsidRPr="00196AFE">
              <w:rPr>
                <w:rFonts w:ascii="Times New Roman" w:hAnsi="Times New Roman" w:cs="Times New Roman"/>
                <w:b/>
                <w:bCs/>
                <w:sz w:val="20"/>
                <w:szCs w:val="20"/>
              </w:rPr>
              <w:t>&lt; $0.015</w:t>
            </w:r>
          </w:p>
        </w:tc>
      </w:tr>
    </w:tbl>
    <w:p w14:paraId="3D94E35D" w14:textId="77777777" w:rsidR="00196AFE" w:rsidRPr="008F6905" w:rsidRDefault="00196AFE" w:rsidP="00237400">
      <w:pPr>
        <w:jc w:val="both"/>
        <w:rPr>
          <w:rFonts w:ascii="Times New Roman" w:hAnsi="Times New Roman" w:cs="Times New Roman"/>
          <w:b/>
          <w:bCs/>
          <w:sz w:val="20"/>
          <w:szCs w:val="20"/>
        </w:rPr>
      </w:pPr>
    </w:p>
    <w:p w14:paraId="221C1BE0" w14:textId="56152A89"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C. Challenges and Limitations</w:t>
      </w:r>
    </w:p>
    <w:p w14:paraId="2B663233" w14:textId="0F4286F0"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Despite promising results, our work faces several limitations and challenges. First, model hallucination remains an issue, particularly for queries outside the training distribution or requiring highly specialized domain knowledge. While GraphRAG and retrieval augmentation reduce hallucination rates, they do not eliminate the problem entirely. We observe approximately 2 to 3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responses containing factual errors even with citation support.</w:t>
      </w:r>
    </w:p>
    <w:p w14:paraId="0AA08F7E" w14:textId="667625AF"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Second, knowledge graph construction quality depends heavily on entity extraction and relationship classification accuracy. Errors in graph construction propagate to retrieval, potentially introducing irrelevant or misleading context. Our entity extraction achieves 92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F1-score, meaning approximately 8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of entities are missed or incorrectly identified. Improving extraction accuracy remains an active research direction.</w:t>
      </w:r>
    </w:p>
    <w:p w14:paraId="4CAD9AC2" w14:textId="75EEBE2B"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 xml:space="preserve">Third, computational costs for training and serving large language models remain substantial. Our </w:t>
      </w:r>
      <w:r w:rsidR="00D851D6" w:rsidRPr="00D851D6">
        <w:rPr>
          <w:rFonts w:ascii="Times New Roman" w:hAnsi="Times New Roman" w:cs="Times New Roman"/>
          <w:sz w:val="20"/>
          <w:szCs w:val="20"/>
        </w:rPr>
        <w:t>demonstrating practical feasibility of in-house model development at scale</w:t>
      </w:r>
      <w:r w:rsidRPr="008F6905">
        <w:rPr>
          <w:rFonts w:ascii="Times New Roman" w:hAnsi="Times New Roman" w:cs="Times New Roman"/>
          <w:sz w:val="20"/>
          <w:szCs w:val="20"/>
        </w:rPr>
        <w:t xml:space="preserve"> requires significant GPU resources for both training and inference, limiting accessibility for resource-constrained organizations. While parameter-efficient fine-tuning reduces adaptation costs, initial model training requires substantial investment.</w:t>
      </w:r>
    </w:p>
    <w:p w14:paraId="3B16D0FB"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Fourth, the system currently focuses primarily on English language content, limiting applicability in multilingual contexts. While our embedding model supports 95 languages for retrieval, the generation models are optimized for English. Extending capabilities to other languages requires additional training data and potentially language-specific architectural adaptations.</w:t>
      </w:r>
    </w:p>
    <w:p w14:paraId="755BF21D"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Fifth, evaluation of open-ended tasks such as research synthesis and resume feedback involves inherent subjectivity. While we employ multiple raters and established metrics, perfect ground truth does not exist for these tasks. User satisfaction and task completion metrics provide valuable signals but may not capture all quality dimensions.</w:t>
      </w:r>
    </w:p>
    <w:p w14:paraId="636446EE"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Sixth, the system assumes access to digital documents in supported formats. Handwritten content, specialized technical diagrams, and complex mathematical notation may not process correctly through our pipeline. Expanding modality support to handle images, equations, and other non-textual elements represents important future work.</w:t>
      </w:r>
    </w:p>
    <w:p w14:paraId="29487275" w14:textId="4109070B" w:rsidR="00E016C7" w:rsidRPr="008F6905" w:rsidRDefault="00E016C7" w:rsidP="00E016C7">
      <w:pPr>
        <w:spacing w:after="0"/>
        <w:jc w:val="center"/>
        <w:rPr>
          <w:rFonts w:ascii="Times New Roman" w:hAnsi="Times New Roman" w:cs="Times New Roman"/>
          <w:sz w:val="20"/>
          <w:szCs w:val="20"/>
        </w:rPr>
      </w:pPr>
      <w:r w:rsidRPr="008F6905">
        <w:rPr>
          <w:rFonts w:ascii="Times New Roman" w:hAnsi="Times New Roman" w:cs="Times New Roman"/>
          <w:noProof/>
          <w:sz w:val="20"/>
          <w:szCs w:val="20"/>
        </w:rPr>
        <w:drawing>
          <wp:inline distT="0" distB="0" distL="0" distR="0" wp14:anchorId="74C32482" wp14:editId="40E28507">
            <wp:extent cx="5402580" cy="3352800"/>
            <wp:effectExtent l="0" t="0" r="7620" b="0"/>
            <wp:docPr id="1960835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6774" cy="3380226"/>
                    </a:xfrm>
                    <a:prstGeom prst="rect">
                      <a:avLst/>
                    </a:prstGeom>
                    <a:noFill/>
                    <a:ln>
                      <a:noFill/>
                    </a:ln>
                  </pic:spPr>
                </pic:pic>
              </a:graphicData>
            </a:graphic>
          </wp:inline>
        </w:drawing>
      </w:r>
    </w:p>
    <w:p w14:paraId="2ADB1582" w14:textId="494CB873" w:rsidR="00E016C7" w:rsidRDefault="00E016C7" w:rsidP="00E016C7">
      <w:pPr>
        <w:jc w:val="center"/>
        <w:rPr>
          <w:rFonts w:ascii="Times New Roman" w:hAnsi="Times New Roman" w:cs="Times New Roman"/>
          <w:bCs/>
          <w:i/>
          <w:iCs/>
          <w:color w:val="000000"/>
          <w:sz w:val="18"/>
          <w:szCs w:val="18"/>
        </w:rPr>
      </w:pPr>
      <w:r w:rsidRPr="008F6905">
        <w:rPr>
          <w:rFonts w:ascii="Times New Roman" w:hAnsi="Times New Roman" w:cs="Times New Roman"/>
          <w:bCs/>
          <w:i/>
          <w:iCs/>
          <w:color w:val="000000"/>
          <w:sz w:val="18"/>
          <w:szCs w:val="18"/>
        </w:rPr>
        <w:t>Figure 11: Comparative Analysis with Baselines</w:t>
      </w:r>
    </w:p>
    <w:p w14:paraId="47B017CC" w14:textId="224120F9" w:rsidR="005E0C45" w:rsidRPr="005E0C45" w:rsidRDefault="005E0C45" w:rsidP="005E0C45">
      <w:pPr>
        <w:jc w:val="both"/>
        <w:rPr>
          <w:rFonts w:ascii="Times New Roman" w:hAnsi="Times New Roman" w:cs="Times New Roman"/>
          <w:sz w:val="20"/>
          <w:szCs w:val="20"/>
        </w:rPr>
      </w:pPr>
      <w:r w:rsidRPr="005E0C45">
        <w:rPr>
          <w:rFonts w:ascii="Times New Roman" w:hAnsi="Times New Roman" w:cs="Times New Roman"/>
          <w:sz w:val="20"/>
          <w:szCs w:val="20"/>
        </w:rPr>
        <w:lastRenderedPageBreak/>
        <w:t>Fig</w:t>
      </w:r>
      <w:r>
        <w:rPr>
          <w:rFonts w:ascii="Times New Roman" w:hAnsi="Times New Roman" w:cs="Times New Roman"/>
          <w:sz w:val="20"/>
          <w:szCs w:val="20"/>
        </w:rPr>
        <w:t>. 11</w:t>
      </w:r>
      <w:r w:rsidRPr="005E0C45">
        <w:rPr>
          <w:rFonts w:ascii="Times New Roman" w:hAnsi="Times New Roman" w:cs="Times New Roman"/>
          <w:sz w:val="20"/>
          <w:szCs w:val="20"/>
        </w:rPr>
        <w:t xml:space="preserve"> compares the proposed platform with commercial and open-source baselines. Subfigure (a) evaluates precision, ATS latency, research accuracy, and SQL accuracy against three commercial offerings. Subfigure (b) benchmarks setup time, RAG accuracy, query latency, and multi-agent support against popular open-source frameworks. Subfigure (c) compares performance against state-of-the-art benchmarks across four tasks, with consistent improvements of 2–8.5%. Subfigure (d) highlights cost efficiency, showing a 4–8× reduction in cost per 1,000 queries relative to commercial solutions.</w:t>
      </w:r>
    </w:p>
    <w:p w14:paraId="1902172B"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D. Ethical Considerations</w:t>
      </w:r>
    </w:p>
    <w:p w14:paraId="2005268A" w14:textId="6599D446"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Deployment of AI systems for knowledge work raises important ethical considerations that informed our design choices. Data privacy and security receive paramount attention given the sensitive nature of user documents and resumes. Our architecture processes all data within controlled infrastructure without external API calls, ensuring user content remains confidential. Row-level security policies enforce access controls at the database level, preventing unauthorized access even in the event of application-level vulnerabilities.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Resume analysis systems risk perpetuating biases present in training data, potentially disadvantaging candidates from underrepresented groups. We implemented several mitigation strategies including diverse training data spanning demographics and backgrounds, analysis focused on objective qualifications rather than protected characteristics, human review of feedback for potentially biased language, and transparency about scoring methodology enabling candidate understanding and challenge.</w:t>
      </w:r>
    </w:p>
    <w:p w14:paraId="38A6127E" w14:textId="08F55DE0"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Autonomous research systems must avoid plagiarism and ensure proper attribution. Our citation management rigorously tracks source provenance and generates properly formatted references. However, users bear ultimate responsibility for verifying citations and ensuring appropriate use of sources in downstream work. We provide clear disclaimers about verification responsibilities.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The environmental impact of training large language models warrants consideration. Our </w:t>
      </w:r>
      <w:r w:rsidR="00D851D6" w:rsidRPr="00D851D6">
        <w:rPr>
          <w:rFonts w:ascii="Times New Roman" w:hAnsi="Times New Roman" w:cs="Times New Roman"/>
          <w:sz w:val="20"/>
          <w:szCs w:val="20"/>
        </w:rPr>
        <w:t>demonstrating practical feasibility of in-house model development at scale</w:t>
      </w:r>
      <w:r w:rsidR="00D851D6">
        <w:rPr>
          <w:rFonts w:ascii="Times New Roman" w:hAnsi="Times New Roman" w:cs="Times New Roman"/>
          <w:sz w:val="20"/>
          <w:szCs w:val="20"/>
        </w:rPr>
        <w:t xml:space="preserve"> </w:t>
      </w:r>
      <w:r w:rsidRPr="008F6905">
        <w:rPr>
          <w:rFonts w:ascii="Times New Roman" w:hAnsi="Times New Roman" w:cs="Times New Roman"/>
          <w:sz w:val="20"/>
          <w:szCs w:val="20"/>
        </w:rPr>
        <w:t>training consumed approximately 1,200 MWh of electricity, with associated carbon emissions depending on energy source mix. We prioritize energy-efficient training techniques including mixed precision arithmetic and gradient checkpointing, but acknowledge the substantial environmental footprint. Offsetting strategies and renewable energy sourcing can mitigate impacts.</w:t>
      </w:r>
    </w:p>
    <w:p w14:paraId="56204F6E"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Accessibility considerations ensure the system serves users with diverse abilities. Our interface implements WCAG 2.1 Level AA compliance including keyboard navigation, screen reader compatibility, and adjustable text sizes. However, the primarily text-based nature of the system may limit accessibility for users with certain disabilities, an area requiring continued attention.</w:t>
      </w:r>
    </w:p>
    <w:p w14:paraId="3094043B"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E. Deployment Considerations and Lessons Learned</w:t>
      </w:r>
    </w:p>
    <w:p w14:paraId="4BFDAAEB" w14:textId="34A5AB52" w:rsidR="007071F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Transitioning research prototypes to production systems revealed numerous practical challenges and lessons. Production monitoring and observability proved more complex than anticipated, requiring comprehensive instrumentation across microservices, correlation of events across distributed traces, anomaly detection algorithms for identifying subtle degradations, and actionable alerting balancing sensitivity and specificity to avoid alert fatigue.</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Database schema evolution in production systems with user data requires careful planning. We adopted a migration-based approach with version-controlled schema changes, backward-compatible modifications whenever possible, and graceful degradation when new features depend on schema updates. Several incidents taught us the importance of testing migrations thoroughly against production-sized datasets before deployment.</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Model versioning and gradual rollout strategies minimize risk from model updates. We maintain multiple model versions simultaneously, routing configurable traffic </w:t>
      </w:r>
      <w:r w:rsidR="00D13ECA">
        <w:rPr>
          <w:rFonts w:ascii="Times New Roman" w:hAnsi="Times New Roman" w:cs="Times New Roman"/>
          <w:sz w:val="20"/>
          <w:szCs w:val="20"/>
        </w:rPr>
        <w:t>%</w:t>
      </w:r>
      <w:r w:rsidRPr="008F6905">
        <w:rPr>
          <w:rFonts w:ascii="Times New Roman" w:hAnsi="Times New Roman" w:cs="Times New Roman"/>
          <w:sz w:val="20"/>
          <w:szCs w:val="20"/>
        </w:rPr>
        <w:t>ages to different versions for A/B testing. Automatic rollback triggers activate if error rates or latency metrics degrade beyond thresholds. This infrastructure prevented several potentially impactful model regressions from affecting users.</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 xml:space="preserve">Cost optimization required continuous attention as usage scaled. Strategies proving effective include aggressive caching of expensive operations, query optimization reducing database load, right-sizing compute resources </w:t>
      </w:r>
      <w:r w:rsidR="00A12AA4">
        <w:rPr>
          <w:rFonts w:ascii="Times New Roman" w:hAnsi="Times New Roman" w:cs="Times New Roman"/>
          <w:sz w:val="20"/>
          <w:szCs w:val="20"/>
        </w:rPr>
        <w:t xml:space="preserve">using </w:t>
      </w:r>
      <w:r w:rsidRPr="008F6905">
        <w:rPr>
          <w:rFonts w:ascii="Times New Roman" w:hAnsi="Times New Roman" w:cs="Times New Roman"/>
          <w:sz w:val="20"/>
          <w:szCs w:val="20"/>
        </w:rPr>
        <w:t xml:space="preserve">actual utilization patterns, and tiered storage moving cold data to cheaper storage classes. These optimizations reduced per-user costs by approximately 40 </w:t>
      </w:r>
      <w:r w:rsidR="00D13ECA">
        <w:rPr>
          <w:rFonts w:ascii="Times New Roman" w:hAnsi="Times New Roman" w:cs="Times New Roman"/>
          <w:sz w:val="20"/>
          <w:szCs w:val="20"/>
        </w:rPr>
        <w:t>%</w:t>
      </w:r>
      <w:r w:rsidRPr="008F6905">
        <w:rPr>
          <w:rFonts w:ascii="Times New Roman" w:hAnsi="Times New Roman" w:cs="Times New Roman"/>
          <w:sz w:val="20"/>
          <w:szCs w:val="20"/>
        </w:rPr>
        <w:t xml:space="preserve"> from initial deployment.</w:t>
      </w:r>
      <w:r w:rsidR="00E016C7" w:rsidRPr="008F6905">
        <w:rPr>
          <w:rFonts w:ascii="Times New Roman" w:hAnsi="Times New Roman" w:cs="Times New Roman"/>
          <w:sz w:val="20"/>
          <w:szCs w:val="20"/>
        </w:rPr>
        <w:t xml:space="preserve"> </w:t>
      </w:r>
      <w:r w:rsidRPr="008F6905">
        <w:rPr>
          <w:rFonts w:ascii="Times New Roman" w:hAnsi="Times New Roman" w:cs="Times New Roman"/>
          <w:sz w:val="20"/>
          <w:szCs w:val="20"/>
        </w:rPr>
        <w:t>User onboarding and education significantly impact feature adoption. Early alpha testing revealed users often missed advanced features or misunderstood system capabilities. We invested in contextual help, interactive tutorials, and prominent feature showcases, substantially improving engagement. Clear communication of system limitations also proved important for setting appropriate expectations.</w:t>
      </w:r>
    </w:p>
    <w:p w14:paraId="6EBB830C" w14:textId="77777777" w:rsidR="00DE24C2" w:rsidRDefault="00DE24C2" w:rsidP="00237400">
      <w:pPr>
        <w:jc w:val="both"/>
        <w:rPr>
          <w:rFonts w:ascii="Times New Roman" w:hAnsi="Times New Roman" w:cs="Times New Roman"/>
          <w:sz w:val="20"/>
          <w:szCs w:val="20"/>
        </w:rPr>
      </w:pPr>
    </w:p>
    <w:p w14:paraId="3CA4E08D" w14:textId="77777777" w:rsidR="00DE24C2" w:rsidRPr="008F6905" w:rsidRDefault="00DE24C2" w:rsidP="00237400">
      <w:pPr>
        <w:jc w:val="both"/>
        <w:rPr>
          <w:rFonts w:ascii="Times New Roman" w:hAnsi="Times New Roman" w:cs="Times New Roman"/>
          <w:sz w:val="20"/>
          <w:szCs w:val="20"/>
        </w:rPr>
      </w:pPr>
    </w:p>
    <w:p w14:paraId="5D92D4C8"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VI. CONCLUSION</w:t>
      </w:r>
    </w:p>
    <w:p w14:paraId="1CB13762" w14:textId="77777777" w:rsidR="00283CA1" w:rsidRPr="00283CA1" w:rsidRDefault="00283CA1" w:rsidP="00283CA1">
      <w:pPr>
        <w:jc w:val="both"/>
        <w:rPr>
          <w:rFonts w:ascii="Times New Roman" w:hAnsi="Times New Roman" w:cs="Times New Roman"/>
          <w:sz w:val="20"/>
          <w:szCs w:val="20"/>
        </w:rPr>
      </w:pPr>
      <w:r w:rsidRPr="00283CA1">
        <w:rPr>
          <w:rFonts w:ascii="Times New Roman" w:hAnsi="Times New Roman" w:cs="Times New Roman"/>
          <w:sz w:val="20"/>
          <w:szCs w:val="20"/>
        </w:rPr>
        <w:t>This research presents a unified GenAI platform that fundamentally advances the integration of large language models into enterprise knowledge workflows. By moving beyond fragmented tools, we demonstrated that a cohesive, microservices-based architecture—anchored by custom-trained models and agentic workflows—can achieve superior accuracy, scalability, and economic efficiency.</w:t>
      </w:r>
    </w:p>
    <w:p w14:paraId="55A65FA6" w14:textId="77777777" w:rsidR="00283CA1" w:rsidRPr="00283CA1" w:rsidRDefault="00283CA1" w:rsidP="00283CA1">
      <w:pPr>
        <w:jc w:val="both"/>
        <w:rPr>
          <w:rFonts w:ascii="Times New Roman" w:hAnsi="Times New Roman" w:cs="Times New Roman"/>
          <w:sz w:val="20"/>
          <w:szCs w:val="20"/>
        </w:rPr>
      </w:pPr>
      <w:r w:rsidRPr="00283CA1">
        <w:rPr>
          <w:rFonts w:ascii="Times New Roman" w:hAnsi="Times New Roman" w:cs="Times New Roman"/>
          <w:b/>
          <w:bCs/>
          <w:sz w:val="20"/>
          <w:szCs w:val="20"/>
        </w:rPr>
        <w:t>Key Innovations and Contributions</w:t>
      </w:r>
      <w:r w:rsidRPr="00283CA1">
        <w:rPr>
          <w:rFonts w:ascii="Times New Roman" w:hAnsi="Times New Roman" w:cs="Times New Roman"/>
          <w:sz w:val="20"/>
          <w:szCs w:val="20"/>
        </w:rPr>
        <w:t xml:space="preserve"> Our work bridges the gap between theoretical LLM capabilities and production-grade reliability through four distinct technical contributions:</w:t>
      </w:r>
    </w:p>
    <w:p w14:paraId="6AB05438" w14:textId="77777777" w:rsidR="00283CA1" w:rsidRPr="00283CA1" w:rsidRDefault="00283CA1" w:rsidP="00283CA1">
      <w:pPr>
        <w:numPr>
          <w:ilvl w:val="0"/>
          <w:numId w:val="8"/>
        </w:numPr>
        <w:jc w:val="both"/>
        <w:rPr>
          <w:rFonts w:ascii="Times New Roman" w:hAnsi="Times New Roman" w:cs="Times New Roman"/>
          <w:sz w:val="20"/>
          <w:szCs w:val="20"/>
        </w:rPr>
      </w:pPr>
      <w:r w:rsidRPr="00283CA1">
        <w:rPr>
          <w:rFonts w:ascii="Times New Roman" w:hAnsi="Times New Roman" w:cs="Times New Roman"/>
          <w:b/>
          <w:bCs/>
          <w:sz w:val="20"/>
          <w:szCs w:val="20"/>
        </w:rPr>
        <w:t>Graph Retrieval-Augmented Generation (GraphRAG):</w:t>
      </w:r>
      <w:r w:rsidRPr="00283CA1">
        <w:rPr>
          <w:rFonts w:ascii="Times New Roman" w:hAnsi="Times New Roman" w:cs="Times New Roman"/>
          <w:sz w:val="20"/>
          <w:szCs w:val="20"/>
        </w:rPr>
        <w:t xml:space="preserve"> We implemented a novel retrieval architecture that explicitly models entity relationships, achieving a </w:t>
      </w:r>
      <w:r w:rsidRPr="00283CA1">
        <w:rPr>
          <w:rFonts w:ascii="Times New Roman" w:hAnsi="Times New Roman" w:cs="Times New Roman"/>
          <w:b/>
          <w:bCs/>
          <w:sz w:val="20"/>
          <w:szCs w:val="20"/>
        </w:rPr>
        <w:t>20–30% accuracy improvement</w:t>
      </w:r>
      <w:r w:rsidRPr="00283CA1">
        <w:rPr>
          <w:rFonts w:ascii="Times New Roman" w:hAnsi="Times New Roman" w:cs="Times New Roman"/>
          <w:sz w:val="20"/>
          <w:szCs w:val="20"/>
        </w:rPr>
        <w:t xml:space="preserve"> on complex reasoning tasks compared to vector-only baselines. This approach effectively overcomes the "contextual shallowness" of standard RAG by enabling multi-hop inference across disparate documents.</w:t>
      </w:r>
    </w:p>
    <w:p w14:paraId="099BDE49" w14:textId="77777777" w:rsidR="00283CA1" w:rsidRPr="00283CA1" w:rsidRDefault="00283CA1" w:rsidP="00283CA1">
      <w:pPr>
        <w:numPr>
          <w:ilvl w:val="0"/>
          <w:numId w:val="8"/>
        </w:numPr>
        <w:jc w:val="both"/>
        <w:rPr>
          <w:rFonts w:ascii="Times New Roman" w:hAnsi="Times New Roman" w:cs="Times New Roman"/>
          <w:sz w:val="20"/>
          <w:szCs w:val="20"/>
        </w:rPr>
      </w:pPr>
      <w:r w:rsidRPr="00283CA1">
        <w:rPr>
          <w:rFonts w:ascii="Times New Roman" w:hAnsi="Times New Roman" w:cs="Times New Roman"/>
          <w:b/>
          <w:bCs/>
          <w:sz w:val="20"/>
          <w:szCs w:val="20"/>
        </w:rPr>
        <w:t>Specialized Multi-Agent Orchestration:</w:t>
      </w:r>
      <w:r w:rsidRPr="00283CA1">
        <w:rPr>
          <w:rFonts w:ascii="Times New Roman" w:hAnsi="Times New Roman" w:cs="Times New Roman"/>
          <w:sz w:val="20"/>
          <w:szCs w:val="20"/>
        </w:rPr>
        <w:t xml:space="preserve"> We deployed task-specific agent swarms for high-precision workflows. The </w:t>
      </w:r>
      <w:r w:rsidRPr="00283CA1">
        <w:rPr>
          <w:rFonts w:ascii="Times New Roman" w:hAnsi="Times New Roman" w:cs="Times New Roman"/>
          <w:b/>
          <w:bCs/>
          <w:sz w:val="20"/>
          <w:szCs w:val="20"/>
        </w:rPr>
        <w:t>Applicant Tracking System (ATS)</w:t>
      </w:r>
      <w:r w:rsidRPr="00283CA1">
        <w:rPr>
          <w:rFonts w:ascii="Times New Roman" w:hAnsi="Times New Roman" w:cs="Times New Roman"/>
          <w:sz w:val="20"/>
          <w:szCs w:val="20"/>
        </w:rPr>
        <w:t xml:space="preserve"> analyzer, utilizing five specialized agents, achieved </w:t>
      </w:r>
      <w:r w:rsidRPr="00283CA1">
        <w:rPr>
          <w:rFonts w:ascii="Times New Roman" w:hAnsi="Times New Roman" w:cs="Times New Roman"/>
          <w:b/>
          <w:bCs/>
          <w:sz w:val="20"/>
          <w:szCs w:val="20"/>
        </w:rPr>
        <w:t>96.8% alignment</w:t>
      </w:r>
      <w:r w:rsidRPr="00283CA1">
        <w:rPr>
          <w:rFonts w:ascii="Times New Roman" w:hAnsi="Times New Roman" w:cs="Times New Roman"/>
          <w:sz w:val="20"/>
          <w:szCs w:val="20"/>
        </w:rPr>
        <w:t xml:space="preserve"> with professional recruiters. Similarly, the </w:t>
      </w:r>
      <w:r w:rsidRPr="00283CA1">
        <w:rPr>
          <w:rFonts w:ascii="Times New Roman" w:hAnsi="Times New Roman" w:cs="Times New Roman"/>
          <w:b/>
          <w:bCs/>
          <w:sz w:val="20"/>
          <w:szCs w:val="20"/>
        </w:rPr>
        <w:t>Autonomous Research Assistant</w:t>
      </w:r>
      <w:r w:rsidRPr="00283CA1">
        <w:rPr>
          <w:rFonts w:ascii="Times New Roman" w:hAnsi="Times New Roman" w:cs="Times New Roman"/>
          <w:sz w:val="20"/>
          <w:szCs w:val="20"/>
        </w:rPr>
        <w:t xml:space="preserve"> reduced manual research efforts by </w:t>
      </w:r>
      <w:r w:rsidRPr="00283CA1">
        <w:rPr>
          <w:rFonts w:ascii="Times New Roman" w:hAnsi="Times New Roman" w:cs="Times New Roman"/>
          <w:b/>
          <w:bCs/>
          <w:sz w:val="20"/>
          <w:szCs w:val="20"/>
        </w:rPr>
        <w:t>65%</w:t>
      </w:r>
      <w:r w:rsidRPr="00283CA1">
        <w:rPr>
          <w:rFonts w:ascii="Times New Roman" w:hAnsi="Times New Roman" w:cs="Times New Roman"/>
          <w:sz w:val="20"/>
          <w:szCs w:val="20"/>
        </w:rPr>
        <w:t xml:space="preserve"> while maintaining </w:t>
      </w:r>
      <w:r w:rsidRPr="00283CA1">
        <w:rPr>
          <w:rFonts w:ascii="Times New Roman" w:hAnsi="Times New Roman" w:cs="Times New Roman"/>
          <w:b/>
          <w:bCs/>
          <w:sz w:val="20"/>
          <w:szCs w:val="20"/>
        </w:rPr>
        <w:t>98% citation accuracy</w:t>
      </w:r>
      <w:r w:rsidRPr="00283CA1">
        <w:rPr>
          <w:rFonts w:ascii="Times New Roman" w:hAnsi="Times New Roman" w:cs="Times New Roman"/>
          <w:sz w:val="20"/>
          <w:szCs w:val="20"/>
        </w:rPr>
        <w:t>, validating the efficacy of agentic task decomposition.</w:t>
      </w:r>
    </w:p>
    <w:p w14:paraId="3BAB4640" w14:textId="77777777" w:rsidR="00283CA1" w:rsidRPr="00283CA1" w:rsidRDefault="00283CA1" w:rsidP="00283CA1">
      <w:pPr>
        <w:numPr>
          <w:ilvl w:val="0"/>
          <w:numId w:val="8"/>
        </w:numPr>
        <w:jc w:val="both"/>
        <w:rPr>
          <w:rFonts w:ascii="Times New Roman" w:hAnsi="Times New Roman" w:cs="Times New Roman"/>
          <w:sz w:val="20"/>
          <w:szCs w:val="20"/>
        </w:rPr>
      </w:pPr>
      <w:r w:rsidRPr="00283CA1">
        <w:rPr>
          <w:rFonts w:ascii="Times New Roman" w:hAnsi="Times New Roman" w:cs="Times New Roman"/>
          <w:b/>
          <w:bCs/>
          <w:sz w:val="20"/>
          <w:szCs w:val="20"/>
        </w:rPr>
        <w:t>Custom Large Language Models at Scale:</w:t>
      </w:r>
      <w:r w:rsidRPr="00283CA1">
        <w:rPr>
          <w:rFonts w:ascii="Times New Roman" w:hAnsi="Times New Roman" w:cs="Times New Roman"/>
          <w:sz w:val="20"/>
          <w:szCs w:val="20"/>
        </w:rPr>
        <w:t xml:space="preserve"> Demonstrating the viability of in-house development, we trained a suite of six models, including a </w:t>
      </w:r>
      <w:r w:rsidRPr="00283CA1">
        <w:rPr>
          <w:rFonts w:ascii="Times New Roman" w:hAnsi="Times New Roman" w:cs="Times New Roman"/>
          <w:b/>
          <w:bCs/>
          <w:sz w:val="20"/>
          <w:szCs w:val="20"/>
        </w:rPr>
        <w:t>175-billion parameter foundation model</w:t>
      </w:r>
      <w:r w:rsidRPr="00283CA1">
        <w:rPr>
          <w:rFonts w:ascii="Times New Roman" w:hAnsi="Times New Roman" w:cs="Times New Roman"/>
          <w:sz w:val="20"/>
          <w:szCs w:val="20"/>
        </w:rPr>
        <w:t xml:space="preserve">. This strategy matched GPT-4 class performance while reducing operational costs by approximately </w:t>
      </w:r>
      <w:r w:rsidRPr="00283CA1">
        <w:rPr>
          <w:rFonts w:ascii="Times New Roman" w:hAnsi="Times New Roman" w:cs="Times New Roman"/>
          <w:b/>
          <w:bCs/>
          <w:sz w:val="20"/>
          <w:szCs w:val="20"/>
        </w:rPr>
        <w:t>68%</w:t>
      </w:r>
      <w:r w:rsidRPr="00283CA1">
        <w:rPr>
          <w:rFonts w:ascii="Times New Roman" w:hAnsi="Times New Roman" w:cs="Times New Roman"/>
          <w:sz w:val="20"/>
          <w:szCs w:val="20"/>
        </w:rPr>
        <w:t>, offering a sustainable alternative to API-dependent solutions.</w:t>
      </w:r>
    </w:p>
    <w:p w14:paraId="34B2D3C7" w14:textId="77777777" w:rsidR="00283CA1" w:rsidRPr="00283CA1" w:rsidRDefault="00283CA1" w:rsidP="00283CA1">
      <w:pPr>
        <w:numPr>
          <w:ilvl w:val="0"/>
          <w:numId w:val="8"/>
        </w:numPr>
        <w:jc w:val="both"/>
        <w:rPr>
          <w:rFonts w:ascii="Times New Roman" w:hAnsi="Times New Roman" w:cs="Times New Roman"/>
          <w:sz w:val="20"/>
          <w:szCs w:val="20"/>
        </w:rPr>
      </w:pPr>
      <w:r w:rsidRPr="00283CA1">
        <w:rPr>
          <w:rFonts w:ascii="Times New Roman" w:hAnsi="Times New Roman" w:cs="Times New Roman"/>
          <w:b/>
          <w:bCs/>
          <w:sz w:val="20"/>
          <w:szCs w:val="20"/>
        </w:rPr>
        <w:t>High-Fidelity Text-to-SQL Interface:</w:t>
      </w:r>
      <w:r w:rsidRPr="00283CA1">
        <w:rPr>
          <w:rFonts w:ascii="Times New Roman" w:hAnsi="Times New Roman" w:cs="Times New Roman"/>
          <w:sz w:val="20"/>
          <w:szCs w:val="20"/>
        </w:rPr>
        <w:t xml:space="preserve"> Our schema-aware module achieved </w:t>
      </w:r>
      <w:r w:rsidRPr="00283CA1">
        <w:rPr>
          <w:rFonts w:ascii="Times New Roman" w:hAnsi="Times New Roman" w:cs="Times New Roman"/>
          <w:b/>
          <w:bCs/>
          <w:sz w:val="20"/>
          <w:szCs w:val="20"/>
        </w:rPr>
        <w:t>94.2% execution accuracy</w:t>
      </w:r>
      <w:r w:rsidRPr="00283CA1">
        <w:rPr>
          <w:rFonts w:ascii="Times New Roman" w:hAnsi="Times New Roman" w:cs="Times New Roman"/>
          <w:sz w:val="20"/>
          <w:szCs w:val="20"/>
        </w:rPr>
        <w:t xml:space="preserve"> on complex database queries, effectively bridging the gap between non-technical users and organizational data through rigorous schema grounding and safety validation.</w:t>
      </w:r>
    </w:p>
    <w:p w14:paraId="20FC0337"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A. Future Work</w:t>
      </w:r>
    </w:p>
    <w:p w14:paraId="7F142BE5"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Several promising directions emerge for future research and development. First, expanding multimodal capabilities to process images, diagrams, equations, and tables within documents would significantly broaden system applicability. Computer vision models for diagram understanding and optical character recognition for mathematical notation could enhance document processing pipelines.</w:t>
      </w:r>
    </w:p>
    <w:p w14:paraId="049EDDAB" w14:textId="729BE029"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Second, exploring more sophisticated multi-agent coordination mechanisms could improve system capabilities for complex tasks. Hierarchical agent organizations, negotiation protocols for conflicting agent conclusions, and meta-learning for agent specialization represent promising research directions.</w:t>
      </w:r>
    </w:p>
    <w:p w14:paraId="75E1A444" w14:textId="14B9F7A2" w:rsidR="007071F5" w:rsidRPr="008F6905" w:rsidRDefault="005E0C45" w:rsidP="00237400">
      <w:pPr>
        <w:jc w:val="both"/>
        <w:rPr>
          <w:rFonts w:ascii="Times New Roman" w:hAnsi="Times New Roman" w:cs="Times New Roman"/>
          <w:sz w:val="20"/>
          <w:szCs w:val="20"/>
        </w:rPr>
      </w:pPr>
      <w:r>
        <w:rPr>
          <w:rFonts w:ascii="Times New Roman" w:hAnsi="Times New Roman" w:cs="Times New Roman"/>
          <w:sz w:val="20"/>
          <w:szCs w:val="20"/>
        </w:rPr>
        <w:t>Third</w:t>
      </w:r>
      <w:r w:rsidR="007071F5" w:rsidRPr="008F6905">
        <w:rPr>
          <w:rFonts w:ascii="Times New Roman" w:hAnsi="Times New Roman" w:cs="Times New Roman"/>
          <w:sz w:val="20"/>
          <w:szCs w:val="20"/>
        </w:rPr>
        <w:t>, extending the platform to support collaborative workflows would enable team usage scenarios. Features such as shared document collections, collaborative research workspaces, team resume review workflows, and real-time collaboration could significantly expand system utility for organizational contexts.</w:t>
      </w:r>
    </w:p>
    <w:p w14:paraId="6C67CC19"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Finally, rigorous large-scale evaluation beyond alpha testing with thousands of users across diverse use cases would provide stronger evidence for system effectiveness and reveal edge cases requiring attention. Longitudinal studies examining long-term usage patterns and impacts on productivity and work quality would yield valuable insights.</w:t>
      </w:r>
    </w:p>
    <w:p w14:paraId="650DBD9C"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t>B. Broader Implications</w:t>
      </w:r>
    </w:p>
    <w:p w14:paraId="5B30047A"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This work contributes to the growing body of evidence that artificial intelligence systems can meaningfully augment human knowledge work when thoughtfully designed and deployed. The key to success lies not in attempting to fully automate complex cognitive tasks but rather in creating effective human-AI collaboration where systems handle routine information processing while humans provide judgment, creativity, and domain expertise.</w:t>
      </w:r>
    </w:p>
    <w:p w14:paraId="5C28B15B"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lastRenderedPageBreak/>
        <w:t>The demonstrated feasibility of custom model development challenges the prevailing assumption that organizations must rely on third-party API providers for language model capabilities. While our approach requires substantial upfront investment, the long-term economics favor custom models at scale, particularly when data privacy concerns and customization requirements are considered.</w:t>
      </w:r>
    </w:p>
    <w:p w14:paraId="2028E5A0"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importance of hybrid approaches combining multiple AI techniques—retrieval augmentation, knowledge graphs, multi-agent systems, and large language models—suggests that advancing AI capabilities requires integration of diverse methods rather than singular focus on ever-larger models. Architecture and systems design prove as important as algorithmic advances for practical impact.</w:t>
      </w:r>
    </w:p>
    <w:p w14:paraId="5BFDDE60"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Our findings support the position that AI augmentation of knowledge work can provide substantial productivity benefits while creating opportunities for humans to focus on higher-level cognitive tasks. Rather than wholesale automation threatening knowledge worker employment, we observe AI systems enabling workers to accomplish more in less time, exploring broader solution spaces, and delivering higher quality outputs through augmentation of human capabilities.</w:t>
      </w:r>
    </w:p>
    <w:p w14:paraId="3548EC02"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The open questions regarding optimal human-AI collaboration, trust calibration, explanation quality, and failure mode handling remain active areas requiring continued investigation. As AI capabilities expand, ensuring beneficial outcomes requires sustained attention to human factors, ethical considerations, and responsible deployment practices.</w:t>
      </w:r>
    </w:p>
    <w:p w14:paraId="593EA4D2" w14:textId="33FB344E" w:rsidR="005E0C4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In conclusion, this research demonstrates that unified AI platforms combining advanced techniques at scale can deliver substantial practical value across diverse knowledge work domains. The path forward requires continued innovation in AI methods, careful attention to system engineering and deployment, and thoughtful consideration of societal implications. We hope this work inspires further research and development advancing beneficial AI augmentation of human knowledge work.</w:t>
      </w:r>
    </w:p>
    <w:p w14:paraId="1E4E1152" w14:textId="29D45D9D" w:rsidR="007071F5" w:rsidRPr="008F6905" w:rsidRDefault="005E0C45" w:rsidP="005E0C45">
      <w:pPr>
        <w:rPr>
          <w:rFonts w:ascii="Times New Roman" w:hAnsi="Times New Roman" w:cs="Times New Roman"/>
          <w:sz w:val="20"/>
          <w:szCs w:val="20"/>
        </w:rPr>
      </w:pPr>
      <w:r>
        <w:rPr>
          <w:rFonts w:ascii="Times New Roman" w:hAnsi="Times New Roman" w:cs="Times New Roman"/>
          <w:sz w:val="20"/>
          <w:szCs w:val="20"/>
        </w:rPr>
        <w:br w:type="page"/>
      </w:r>
    </w:p>
    <w:p w14:paraId="5345EF45" w14:textId="77777777" w:rsidR="007071F5" w:rsidRPr="008F6905" w:rsidRDefault="007071F5" w:rsidP="00237400">
      <w:pPr>
        <w:jc w:val="both"/>
        <w:rPr>
          <w:rFonts w:ascii="Times New Roman" w:hAnsi="Times New Roman" w:cs="Times New Roman"/>
          <w:b/>
          <w:bCs/>
          <w:sz w:val="20"/>
          <w:szCs w:val="20"/>
        </w:rPr>
      </w:pPr>
      <w:r w:rsidRPr="008F6905">
        <w:rPr>
          <w:rFonts w:ascii="Times New Roman" w:hAnsi="Times New Roman" w:cs="Times New Roman"/>
          <w:b/>
          <w:bCs/>
          <w:sz w:val="20"/>
          <w:szCs w:val="20"/>
        </w:rPr>
        <w:lastRenderedPageBreak/>
        <w:t>REFERENCES</w:t>
      </w:r>
    </w:p>
    <w:p w14:paraId="3CF901E2"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 P. Lewis, E. Perez, A. Piktus, F. Petroni, V. Karpukhin, N. Goyal, H. Küttler, M. Lewis, W. Yih, T. Rocktäschel, S. Riedel, and D. Kiela, "Retrieval-augmented generation for knowledge-intensive NLP tasks," in </w:t>
      </w:r>
      <w:r w:rsidRPr="008F6905">
        <w:rPr>
          <w:rFonts w:ascii="Times New Roman" w:hAnsi="Times New Roman" w:cs="Times New Roman"/>
          <w:i/>
          <w:iCs/>
          <w:sz w:val="20"/>
          <w:szCs w:val="20"/>
        </w:rPr>
        <w:t>Proceedings of the Conference on Neural Information Processing Systems (NeurIPS)</w:t>
      </w:r>
      <w:r w:rsidRPr="008F6905">
        <w:rPr>
          <w:rFonts w:ascii="Times New Roman" w:hAnsi="Times New Roman" w:cs="Times New Roman"/>
          <w:sz w:val="20"/>
          <w:szCs w:val="20"/>
        </w:rPr>
        <w:t>, 2020, pp. 9459-9474.</w:t>
      </w:r>
    </w:p>
    <w:p w14:paraId="37CA1072"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 V. Karpukhin, B. Oguz, S. Min, P. Lewis, L. Wu, S. Edunov, D. Chen, and W. Yih, "Dense passage retrieval for open-domain question answering,"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2020, pp. 6769-6781.</w:t>
      </w:r>
    </w:p>
    <w:p w14:paraId="5DE5BAFB"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[3] L. Gao, X. Ma, J. Lin, and J. Callan, "Precise zero-shot dense retrieval without relevance labels," in </w:t>
      </w:r>
      <w:r w:rsidRPr="008F6905">
        <w:rPr>
          <w:rFonts w:ascii="Times New Roman" w:hAnsi="Times New Roman" w:cs="Times New Roman"/>
          <w:i/>
          <w:iCs/>
          <w:sz w:val="20"/>
          <w:szCs w:val="20"/>
        </w:rPr>
        <w:t>Proceedings of the Annual Meeting of the Association for Computational Linguistics (ACL)</w:t>
      </w:r>
      <w:r w:rsidRPr="008F6905">
        <w:rPr>
          <w:rFonts w:ascii="Times New Roman" w:hAnsi="Times New Roman" w:cs="Times New Roman"/>
          <w:sz w:val="20"/>
          <w:szCs w:val="20"/>
        </w:rPr>
        <w:t>, 2023, pp. 1762-1777.</w:t>
      </w:r>
    </w:p>
    <w:p w14:paraId="514319A8"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[4] D. Edge, H. Trinh, N. Cheng, J. Bradley, A. Chao, M. Mody, S. Truitt, and J. Larson, "From local to global: A graph RAG approach to query-focused summarization," </w:t>
      </w:r>
      <w:r w:rsidRPr="008F6905">
        <w:rPr>
          <w:rFonts w:ascii="Times New Roman" w:hAnsi="Times New Roman" w:cs="Times New Roman"/>
          <w:i/>
          <w:iCs/>
          <w:sz w:val="20"/>
          <w:szCs w:val="20"/>
        </w:rPr>
        <w:t>Microsoft Research Technical Report</w:t>
      </w:r>
      <w:r w:rsidRPr="008F6905">
        <w:rPr>
          <w:rFonts w:ascii="Times New Roman" w:hAnsi="Times New Roman" w:cs="Times New Roman"/>
          <w:sz w:val="20"/>
          <w:szCs w:val="20"/>
        </w:rPr>
        <w:t>, 2024.</w:t>
      </w:r>
    </w:p>
    <w:p w14:paraId="163C2025"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[5] S. Pan, L. Luo, Y. Wang, C. Chen, J. Wang, and X. Wu, "Unifying large language models and knowledge graphs: A roadmap," </w:t>
      </w:r>
      <w:r w:rsidRPr="008F6905">
        <w:rPr>
          <w:rFonts w:ascii="Times New Roman" w:hAnsi="Times New Roman" w:cs="Times New Roman"/>
          <w:i/>
          <w:iCs/>
          <w:sz w:val="20"/>
          <w:szCs w:val="20"/>
        </w:rPr>
        <w:t>IEEE Transactions on Knowledge and Data Engineering</w:t>
      </w:r>
      <w:r w:rsidRPr="008F6905">
        <w:rPr>
          <w:rFonts w:ascii="Times New Roman" w:hAnsi="Times New Roman" w:cs="Times New Roman"/>
          <w:sz w:val="20"/>
          <w:szCs w:val="20"/>
        </w:rPr>
        <w:t>, vol. 36, no. 7, pp. 3580-3599, 2024.</w:t>
      </w:r>
    </w:p>
    <w:p w14:paraId="1BA9E451"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[6] M. Yasunaga, H. Ren, A. Bosselut, P. Liang, and J. Leskovec, "QA-GNN: Reasoning with language models and knowledge graphs for question answering," in </w:t>
      </w:r>
      <w:r w:rsidRPr="008F6905">
        <w:rPr>
          <w:rFonts w:ascii="Times New Roman" w:hAnsi="Times New Roman" w:cs="Times New Roman"/>
          <w:i/>
          <w:iCs/>
          <w:sz w:val="20"/>
          <w:szCs w:val="20"/>
        </w:rPr>
        <w:t>Proceedings of the Conference of the North American Chapter of the Association for Computational Linguistics (NAACL)</w:t>
      </w:r>
      <w:r w:rsidRPr="008F6905">
        <w:rPr>
          <w:rFonts w:ascii="Times New Roman" w:hAnsi="Times New Roman" w:cs="Times New Roman"/>
          <w:sz w:val="20"/>
          <w:szCs w:val="20"/>
        </w:rPr>
        <w:t>, 2021, pp. 535-546.</w:t>
      </w:r>
    </w:p>
    <w:p w14:paraId="5FA8A5BB"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[7] J. S. Park, J. C. O'Brien, C. J. Cai, M. R. Morris, P. Liang, and M. S. Bernstein, "Generative agents: Interactive simulacra of human behavior," in </w:t>
      </w:r>
      <w:r w:rsidRPr="008F6905">
        <w:rPr>
          <w:rFonts w:ascii="Times New Roman" w:hAnsi="Times New Roman" w:cs="Times New Roman"/>
          <w:i/>
          <w:iCs/>
          <w:sz w:val="20"/>
          <w:szCs w:val="20"/>
        </w:rPr>
        <w:t>Proceedings of the ACM Symposium on User Interface Software and Technology (UIST)</w:t>
      </w:r>
      <w:r w:rsidRPr="008F6905">
        <w:rPr>
          <w:rFonts w:ascii="Times New Roman" w:hAnsi="Times New Roman" w:cs="Times New Roman"/>
          <w:sz w:val="20"/>
          <w:szCs w:val="20"/>
        </w:rPr>
        <w:t>, 2023, pp. 1-22.</w:t>
      </w:r>
    </w:p>
    <w:p w14:paraId="63EADA83"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[8] S. Hong, X. Zheng, J. Chen, Y. Cheng, C. Zhang, Z. Wang, S. K. S. Yau, Z. Lin, L. Zhou, C. Ran, L. Xiao, and C. Wu, "MetaGPT: Meta programming for multi-agent collaborative framework," </w:t>
      </w:r>
      <w:r w:rsidRPr="008F6905">
        <w:rPr>
          <w:rFonts w:ascii="Times New Roman" w:hAnsi="Times New Roman" w:cs="Times New Roman"/>
          <w:i/>
          <w:iCs/>
          <w:sz w:val="20"/>
          <w:szCs w:val="20"/>
        </w:rPr>
        <w:t>arXiv preprint arXiv:2308.00352</w:t>
      </w:r>
      <w:r w:rsidRPr="008F6905">
        <w:rPr>
          <w:rFonts w:ascii="Times New Roman" w:hAnsi="Times New Roman" w:cs="Times New Roman"/>
          <w:sz w:val="20"/>
          <w:szCs w:val="20"/>
        </w:rPr>
        <w:t>, 2023.</w:t>
      </w:r>
    </w:p>
    <w:p w14:paraId="43CDBCCA"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[9] Q. Wu, G. Bansal, J. Zhang, Y. Wu, S. Zhang, E. Zhu, B. Li, L. Jiang, X. Zhang, and C. Wang, "AutoGen: Enabling next-gen LLM applications via multi-agent conversation framework," </w:t>
      </w:r>
      <w:r w:rsidRPr="008F6905">
        <w:rPr>
          <w:rFonts w:ascii="Times New Roman" w:hAnsi="Times New Roman" w:cs="Times New Roman"/>
          <w:i/>
          <w:iCs/>
          <w:sz w:val="20"/>
          <w:szCs w:val="20"/>
        </w:rPr>
        <w:t>arXiv preprint arXiv:2308.08155</w:t>
      </w:r>
      <w:r w:rsidRPr="008F6905">
        <w:rPr>
          <w:rFonts w:ascii="Times New Roman" w:hAnsi="Times New Roman" w:cs="Times New Roman"/>
          <w:sz w:val="20"/>
          <w:szCs w:val="20"/>
        </w:rPr>
        <w:t>, 2023.</w:t>
      </w:r>
    </w:p>
    <w:p w14:paraId="46D06C1F"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[10] H. Li, J. Zhang, C. Li, and H. Chen, "RESDSQL: Decoupling schema linking and skeleton parsing for text-to-SQL," in </w:t>
      </w:r>
      <w:r w:rsidRPr="008F6905">
        <w:rPr>
          <w:rFonts w:ascii="Times New Roman" w:hAnsi="Times New Roman" w:cs="Times New Roman"/>
          <w:i/>
          <w:iCs/>
          <w:sz w:val="20"/>
          <w:szCs w:val="20"/>
        </w:rPr>
        <w:t>Proceedings of the AAAI Conference on Artificial Intelligence</w:t>
      </w:r>
      <w:r w:rsidRPr="008F6905">
        <w:rPr>
          <w:rFonts w:ascii="Times New Roman" w:hAnsi="Times New Roman" w:cs="Times New Roman"/>
          <w:sz w:val="20"/>
          <w:szCs w:val="20"/>
        </w:rPr>
        <w:t>, vol. 37, 2023, pp. 13067-13075.</w:t>
      </w:r>
    </w:p>
    <w:p w14:paraId="44D0B9D4"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[11] T. Scholak, N. Schucher, and D. Bahdanau, "PICARD: Parsing incrementally for constrained auto-regressive decoding from language models,"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2021, pp. 9895-9901.</w:t>
      </w:r>
    </w:p>
    <w:p w14:paraId="1675C852"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[12] M. Pourreza and D. Rafiei, "DIN-SQL: Decomposed in-context learning of text-to-SQL with self-correction," in </w:t>
      </w:r>
      <w:r w:rsidRPr="008F6905">
        <w:rPr>
          <w:rFonts w:ascii="Times New Roman" w:hAnsi="Times New Roman" w:cs="Times New Roman"/>
          <w:i/>
          <w:iCs/>
          <w:sz w:val="20"/>
          <w:szCs w:val="20"/>
        </w:rPr>
        <w:t>Proceedings of the Conference on Neural Information Processing Systems (NeurIPS)</w:t>
      </w:r>
      <w:r w:rsidRPr="008F6905">
        <w:rPr>
          <w:rFonts w:ascii="Times New Roman" w:hAnsi="Times New Roman" w:cs="Times New Roman"/>
          <w:sz w:val="20"/>
          <w:szCs w:val="20"/>
        </w:rPr>
        <w:t>, 2023, pp. 22341-22354.</w:t>
      </w:r>
    </w:p>
    <w:p w14:paraId="3F929E26"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[13] OpenAI, "GPT-4 technical report," </w:t>
      </w:r>
      <w:r w:rsidRPr="008F6905">
        <w:rPr>
          <w:rFonts w:ascii="Times New Roman" w:hAnsi="Times New Roman" w:cs="Times New Roman"/>
          <w:i/>
          <w:iCs/>
          <w:sz w:val="20"/>
          <w:szCs w:val="20"/>
        </w:rPr>
        <w:t>arXiv preprint arXiv:2303.08774</w:t>
      </w:r>
      <w:r w:rsidRPr="008F6905">
        <w:rPr>
          <w:rFonts w:ascii="Times New Roman" w:hAnsi="Times New Roman" w:cs="Times New Roman"/>
          <w:sz w:val="20"/>
          <w:szCs w:val="20"/>
        </w:rPr>
        <w:t>, 2023.</w:t>
      </w:r>
    </w:p>
    <w:p w14:paraId="76C9DFA8"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[14] H. Touvron, T. Lavril, G. Izacard, X. Martinet, M. Lachaux, T. Lacroix, B. Rozière, N. Goyal, E. Hambro, F. Azhar, A. Rodriguez, A. Joulin, E. Grave, and G. Lample, "LLaMA: Open and efficient foundation language models," </w:t>
      </w:r>
      <w:r w:rsidRPr="008F6905">
        <w:rPr>
          <w:rFonts w:ascii="Times New Roman" w:hAnsi="Times New Roman" w:cs="Times New Roman"/>
          <w:i/>
          <w:iCs/>
          <w:sz w:val="20"/>
          <w:szCs w:val="20"/>
        </w:rPr>
        <w:t>arXiv preprint arXiv:2302.13971</w:t>
      </w:r>
      <w:r w:rsidRPr="008F6905">
        <w:rPr>
          <w:rFonts w:ascii="Times New Roman" w:hAnsi="Times New Roman" w:cs="Times New Roman"/>
          <w:sz w:val="20"/>
          <w:szCs w:val="20"/>
        </w:rPr>
        <w:t>, 2023.</w:t>
      </w:r>
    </w:p>
    <w:p w14:paraId="399637A7"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[15] Y. Bai, A. Jones, K. Ndousse, A. Askell, A. Chen, N. DasSarma, D. Drain, S. Fort, D. Ganguli, T. Henighan, N. Joseph, S. Kadavath, J. Kernion, T. Conerly, S. El-Showk, N. Elhage, Z. Hatfield-Dodds, D. Hernandez, T. Hume, S. Johnston, S. Kravec, L. Lovitt, N. Nanda, C. Olsson, D. Amodei, T. Brown, J. Clark, S. McCandlish, C. Olah, B. Mann, and J. Kaplan, "Constitutional AI: Harmlessness from AI feedback," </w:t>
      </w:r>
      <w:r w:rsidRPr="008F6905">
        <w:rPr>
          <w:rFonts w:ascii="Times New Roman" w:hAnsi="Times New Roman" w:cs="Times New Roman"/>
          <w:i/>
          <w:iCs/>
          <w:sz w:val="20"/>
          <w:szCs w:val="20"/>
        </w:rPr>
        <w:t>arXiv preprint arXiv:2212.08073</w:t>
      </w:r>
      <w:r w:rsidRPr="008F6905">
        <w:rPr>
          <w:rFonts w:ascii="Times New Roman" w:hAnsi="Times New Roman" w:cs="Times New Roman"/>
          <w:sz w:val="20"/>
          <w:szCs w:val="20"/>
        </w:rPr>
        <w:t>, 2022.</w:t>
      </w:r>
    </w:p>
    <w:p w14:paraId="52E1D2D1"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[16] J. Johnson, M. Douze, and H. Jégou, "Billion-scale similarity search with GPUs," </w:t>
      </w:r>
      <w:r w:rsidRPr="008F6905">
        <w:rPr>
          <w:rFonts w:ascii="Times New Roman" w:hAnsi="Times New Roman" w:cs="Times New Roman"/>
          <w:i/>
          <w:iCs/>
          <w:sz w:val="20"/>
          <w:szCs w:val="20"/>
        </w:rPr>
        <w:t>IEEE Transactions on Big Data</w:t>
      </w:r>
      <w:r w:rsidRPr="008F6905">
        <w:rPr>
          <w:rFonts w:ascii="Times New Roman" w:hAnsi="Times New Roman" w:cs="Times New Roman"/>
          <w:sz w:val="20"/>
          <w:szCs w:val="20"/>
        </w:rPr>
        <w:t>, vol. 7, no. 3, pp. 535-547, 2019.</w:t>
      </w:r>
    </w:p>
    <w:p w14:paraId="3C616AE7"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lastRenderedPageBreak/>
        <w:t>[17] N. Reimers and I. Gurevych, "Sentence-BERT: Sentence embeddings using Siamese BERT-networks,"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2019, pp. 3982-3992.</w:t>
      </w:r>
    </w:p>
    <w:p w14:paraId="004EE4A2"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[18] T. Gao, X. Yao, and D. Chen, "SimCSE: Simple contrastive learning of sentence embeddings,"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2021, pp. 6894-6910.</w:t>
      </w:r>
    </w:p>
    <w:p w14:paraId="6DA5BD9E"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[19] J. Devlin, M. W. Chang, K. Lee, and K. Toutanova, "BERT: Pre-training of deep bidirectional transformers for language understanding," in </w:t>
      </w:r>
      <w:r w:rsidRPr="008F6905">
        <w:rPr>
          <w:rFonts w:ascii="Times New Roman" w:hAnsi="Times New Roman" w:cs="Times New Roman"/>
          <w:i/>
          <w:iCs/>
          <w:sz w:val="20"/>
          <w:szCs w:val="20"/>
        </w:rPr>
        <w:t>Proceedings of the Conference of the North American Chapter of the Association for Computational Linguistics (NAACL)</w:t>
      </w:r>
      <w:r w:rsidRPr="008F6905">
        <w:rPr>
          <w:rFonts w:ascii="Times New Roman" w:hAnsi="Times New Roman" w:cs="Times New Roman"/>
          <w:sz w:val="20"/>
          <w:szCs w:val="20"/>
        </w:rPr>
        <w:t>, 2019, pp. 4171-4186.</w:t>
      </w:r>
    </w:p>
    <w:p w14:paraId="0A683B08"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[20] I. Yamada, A. Asai, H. Shindo, H. Takeda, and Y. Matsumoto, "LUKE: Deep contextualized entity representations with entity-aware self-attention,"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2020, pp. 6442-6454.</w:t>
      </w:r>
    </w:p>
    <w:p w14:paraId="5BAD61AB"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[21] L. Ouyang, J. Wu, X. Jiang, D. Almeida, C. Wainwright, P. Mishkin, C. Zhang, S. Agarwal, K. Slama, A. Ray, J. Schulman, J. Hilton, F. Kelton, L. Miller, M. Simens, A. Askell, P. Welinder, P. Christiano, J. Leike, and R. Lowe, "Training language models to follow instructions with human feedback," in </w:t>
      </w:r>
      <w:r w:rsidRPr="008F6905">
        <w:rPr>
          <w:rFonts w:ascii="Times New Roman" w:hAnsi="Times New Roman" w:cs="Times New Roman"/>
          <w:i/>
          <w:iCs/>
          <w:sz w:val="20"/>
          <w:szCs w:val="20"/>
        </w:rPr>
        <w:t>Proceedings of the Conference on Neural Information Processing Systems (NeurIPS)</w:t>
      </w:r>
      <w:r w:rsidRPr="008F6905">
        <w:rPr>
          <w:rFonts w:ascii="Times New Roman" w:hAnsi="Times New Roman" w:cs="Times New Roman"/>
          <w:sz w:val="20"/>
          <w:szCs w:val="20"/>
        </w:rPr>
        <w:t>, 2022, pp. 27730-27744.</w:t>
      </w:r>
    </w:p>
    <w:p w14:paraId="2588CD11"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[22] R. Rafailov, A. Sharma, E. Mitchell, S. Ermon, C. D. Manning, and C. Finn, "Direct preference optimization: Your language model is secretly a reward model," </w:t>
      </w:r>
      <w:r w:rsidRPr="008F6905">
        <w:rPr>
          <w:rFonts w:ascii="Times New Roman" w:hAnsi="Times New Roman" w:cs="Times New Roman"/>
          <w:i/>
          <w:iCs/>
          <w:sz w:val="20"/>
          <w:szCs w:val="20"/>
        </w:rPr>
        <w:t>arXiv preprint arXiv:2305.18290</w:t>
      </w:r>
      <w:r w:rsidRPr="008F6905">
        <w:rPr>
          <w:rFonts w:ascii="Times New Roman" w:hAnsi="Times New Roman" w:cs="Times New Roman"/>
          <w:sz w:val="20"/>
          <w:szCs w:val="20"/>
        </w:rPr>
        <w:t>, 2023.</w:t>
      </w:r>
    </w:p>
    <w:p w14:paraId="0C2FC6E4"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[23] T. Yu, R. Zhang, K. Yang, M. Yasunaga, D. Wang, Z. Li, J. Ma, I. Li, Q. Yao, S. Roman, Z. Zhang, and D. Radev, "Spider: A large-scale human-labeled dataset for complex and cross-domain semantic parsing and text-to-SQL task," in </w:t>
      </w:r>
      <w:r w:rsidRPr="008F6905">
        <w:rPr>
          <w:rFonts w:ascii="Times New Roman" w:hAnsi="Times New Roman" w:cs="Times New Roman"/>
          <w:i/>
          <w:iCs/>
          <w:sz w:val="20"/>
          <w:szCs w:val="20"/>
        </w:rPr>
        <w:t>Proceedings of the Conference on Empirical Methods in Natural Language Processing (EMNLP)</w:t>
      </w:r>
      <w:r w:rsidRPr="008F6905">
        <w:rPr>
          <w:rFonts w:ascii="Times New Roman" w:hAnsi="Times New Roman" w:cs="Times New Roman"/>
          <w:sz w:val="20"/>
          <w:szCs w:val="20"/>
        </w:rPr>
        <w:t>, 2018, pp. 3911-3921.</w:t>
      </w:r>
    </w:p>
    <w:p w14:paraId="1FEDD7C5"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[24] V. Zhong, C. Xiong, and R. Socher, "Seq2SQL: Generating structured queries from natural language using reinforcement learning," </w:t>
      </w:r>
      <w:r w:rsidRPr="008F6905">
        <w:rPr>
          <w:rFonts w:ascii="Times New Roman" w:hAnsi="Times New Roman" w:cs="Times New Roman"/>
          <w:i/>
          <w:iCs/>
          <w:sz w:val="20"/>
          <w:szCs w:val="20"/>
        </w:rPr>
        <w:t>arXiv preprint arXiv:1709.00103</w:t>
      </w:r>
      <w:r w:rsidRPr="008F6905">
        <w:rPr>
          <w:rFonts w:ascii="Times New Roman" w:hAnsi="Times New Roman" w:cs="Times New Roman"/>
          <w:sz w:val="20"/>
          <w:szCs w:val="20"/>
        </w:rPr>
        <w:t>, 2017.</w:t>
      </w:r>
    </w:p>
    <w:p w14:paraId="027B6A3A"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[25] E. F. Tjong Kim Sang and F. De Meulder, "Introduction to the CoNLL-2003 shared task: Language-independent named entity recognition," in </w:t>
      </w:r>
      <w:r w:rsidRPr="008F6905">
        <w:rPr>
          <w:rFonts w:ascii="Times New Roman" w:hAnsi="Times New Roman" w:cs="Times New Roman"/>
          <w:i/>
          <w:iCs/>
          <w:sz w:val="20"/>
          <w:szCs w:val="20"/>
        </w:rPr>
        <w:t>Proceedings of the Conference on Natural Language Learning (CoNLL)</w:t>
      </w:r>
      <w:r w:rsidRPr="008F6905">
        <w:rPr>
          <w:rFonts w:ascii="Times New Roman" w:hAnsi="Times New Roman" w:cs="Times New Roman"/>
          <w:sz w:val="20"/>
          <w:szCs w:val="20"/>
        </w:rPr>
        <w:t>, 2003, pp. 142-147.</w:t>
      </w:r>
    </w:p>
    <w:p w14:paraId="53A6D563"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[26] S. Pradhan, A. Moschitti, N. Xue, H. T. Ng, A. Björkelund, O. Uryupina, Y. Zhang, and Z. Zhong, "Towards robust linguistic analysis using OntoNotes," in </w:t>
      </w:r>
      <w:r w:rsidRPr="008F6905">
        <w:rPr>
          <w:rFonts w:ascii="Times New Roman" w:hAnsi="Times New Roman" w:cs="Times New Roman"/>
          <w:i/>
          <w:iCs/>
          <w:sz w:val="20"/>
          <w:szCs w:val="20"/>
        </w:rPr>
        <w:t>Proceedings of the Conference on Natural Language Learning (CoNLL)</w:t>
      </w:r>
      <w:r w:rsidRPr="008F6905">
        <w:rPr>
          <w:rFonts w:ascii="Times New Roman" w:hAnsi="Times New Roman" w:cs="Times New Roman"/>
          <w:sz w:val="20"/>
          <w:szCs w:val="20"/>
        </w:rPr>
        <w:t>, 2013, pp. 143-152.</w:t>
      </w:r>
    </w:p>
    <w:p w14:paraId="42551826"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[27] A. Paszke, S. Gross, F. Massa, A. Lerer, J. Bradbury, G. Chanan, T. Killeen, Z. Lin, N. Gimelshein, L. Antiga, A. Desmaison, A. Kopf, E. Yang, Z. DeVito, M. Raison, A. Tejani, S. Chilamkurthy, B. Steiner, L. Fang, J. Bai, and S. Chintala, "PyTorch: An imperative style, high-performance deep learning library," in </w:t>
      </w:r>
      <w:r w:rsidRPr="008F6905">
        <w:rPr>
          <w:rFonts w:ascii="Times New Roman" w:hAnsi="Times New Roman" w:cs="Times New Roman"/>
          <w:i/>
          <w:iCs/>
          <w:sz w:val="20"/>
          <w:szCs w:val="20"/>
        </w:rPr>
        <w:t>Proceedings of the Conference on Neural Information Processing Systems (NeurIPS)</w:t>
      </w:r>
      <w:r w:rsidRPr="008F6905">
        <w:rPr>
          <w:rFonts w:ascii="Times New Roman" w:hAnsi="Times New Roman" w:cs="Times New Roman"/>
          <w:sz w:val="20"/>
          <w:szCs w:val="20"/>
        </w:rPr>
        <w:t>, 2019, pp. 8024-8035.</w:t>
      </w:r>
    </w:p>
    <w:p w14:paraId="558C4AD6"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[28] E. J. Hu, Y. Shen, P. Wallis, Z. Allen-Zhu, Y. Li, S. Wang, L. Wang, and W. Chen, "LoRA: Low-rank adaptation of large language models," in </w:t>
      </w:r>
      <w:r w:rsidRPr="008F6905">
        <w:rPr>
          <w:rFonts w:ascii="Times New Roman" w:hAnsi="Times New Roman" w:cs="Times New Roman"/>
          <w:i/>
          <w:iCs/>
          <w:sz w:val="20"/>
          <w:szCs w:val="20"/>
        </w:rPr>
        <w:t>Proceedings of the International Conference on Learning Representations (ICLR)</w:t>
      </w:r>
      <w:r w:rsidRPr="008F6905">
        <w:rPr>
          <w:rFonts w:ascii="Times New Roman" w:hAnsi="Times New Roman" w:cs="Times New Roman"/>
          <w:sz w:val="20"/>
          <w:szCs w:val="20"/>
        </w:rPr>
        <w:t>, 2022.</w:t>
      </w:r>
    </w:p>
    <w:p w14:paraId="021FD634"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[29] J. Howard and S. Ruder, "Universal language model fine-tuning for text classification," in </w:t>
      </w:r>
      <w:r w:rsidRPr="008F6905">
        <w:rPr>
          <w:rFonts w:ascii="Times New Roman" w:hAnsi="Times New Roman" w:cs="Times New Roman"/>
          <w:i/>
          <w:iCs/>
          <w:sz w:val="20"/>
          <w:szCs w:val="20"/>
        </w:rPr>
        <w:t>Proceedings of the Annual Meeting of the Association for Computational Linguistics (ACL)</w:t>
      </w:r>
      <w:r w:rsidRPr="008F6905">
        <w:rPr>
          <w:rFonts w:ascii="Times New Roman" w:hAnsi="Times New Roman" w:cs="Times New Roman"/>
          <w:sz w:val="20"/>
          <w:szCs w:val="20"/>
        </w:rPr>
        <w:t>, 2018, pp. 328-339.</w:t>
      </w:r>
    </w:p>
    <w:p w14:paraId="1A692FEE" w14:textId="77777777" w:rsidR="007071F5" w:rsidRPr="008F6905" w:rsidRDefault="007071F5" w:rsidP="00237400">
      <w:pPr>
        <w:jc w:val="both"/>
        <w:rPr>
          <w:rFonts w:ascii="Times New Roman" w:hAnsi="Times New Roman" w:cs="Times New Roman"/>
          <w:sz w:val="20"/>
          <w:szCs w:val="20"/>
        </w:rPr>
      </w:pPr>
      <w:r w:rsidRPr="008F6905">
        <w:rPr>
          <w:rFonts w:ascii="Times New Roman" w:hAnsi="Times New Roman" w:cs="Times New Roman"/>
          <w:sz w:val="20"/>
          <w:szCs w:val="20"/>
        </w:rPr>
        <w:t>[30] N. Muennighoff, T. Wang, L. Sutawika, A. Roberts, S. Biderman, T. L. Scao, M. S. Bari, S. Shen, Z. Yong, H. Schoelkopf, X. Tang, D. Radev, A. F. Aji, K. Almubarak, S. Albanie, Z. Alyafeai, A. Webson, E. Raff, and C. Raffel, "Crosslingual generalization through multitask finetuning," </w:t>
      </w:r>
      <w:r w:rsidRPr="008F6905">
        <w:rPr>
          <w:rFonts w:ascii="Times New Roman" w:hAnsi="Times New Roman" w:cs="Times New Roman"/>
          <w:i/>
          <w:iCs/>
          <w:sz w:val="20"/>
          <w:szCs w:val="20"/>
        </w:rPr>
        <w:t>arXiv preprint arXiv:2211.01786</w:t>
      </w:r>
      <w:r w:rsidRPr="008F6905">
        <w:rPr>
          <w:rFonts w:ascii="Times New Roman" w:hAnsi="Times New Roman" w:cs="Times New Roman"/>
          <w:sz w:val="20"/>
          <w:szCs w:val="20"/>
        </w:rPr>
        <w:t>, 2022.</w:t>
      </w:r>
    </w:p>
    <w:p w14:paraId="683DF68B" w14:textId="47CC190D" w:rsidR="005C127A" w:rsidRPr="008F6905" w:rsidRDefault="005C127A" w:rsidP="00237400">
      <w:pPr>
        <w:jc w:val="both"/>
        <w:rPr>
          <w:rFonts w:ascii="Times New Roman" w:hAnsi="Times New Roman" w:cs="Times New Roman"/>
          <w:sz w:val="20"/>
          <w:szCs w:val="20"/>
        </w:rPr>
      </w:pPr>
    </w:p>
    <w:sectPr w:rsidR="005C127A" w:rsidRPr="008F6905" w:rsidSect="007071F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06385"/>
    <w:multiLevelType w:val="multilevel"/>
    <w:tmpl w:val="778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60EDD"/>
    <w:multiLevelType w:val="multilevel"/>
    <w:tmpl w:val="DE1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AC67F9"/>
    <w:multiLevelType w:val="multilevel"/>
    <w:tmpl w:val="36A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A55B4"/>
    <w:multiLevelType w:val="multilevel"/>
    <w:tmpl w:val="299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04533"/>
    <w:multiLevelType w:val="multilevel"/>
    <w:tmpl w:val="FE9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A249B"/>
    <w:multiLevelType w:val="multilevel"/>
    <w:tmpl w:val="F9C6C4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9F545C"/>
    <w:multiLevelType w:val="multilevel"/>
    <w:tmpl w:val="0FA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6D6F76"/>
    <w:multiLevelType w:val="multilevel"/>
    <w:tmpl w:val="C08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821881">
    <w:abstractNumId w:val="1"/>
  </w:num>
  <w:num w:numId="2" w16cid:durableId="237831320">
    <w:abstractNumId w:val="0"/>
  </w:num>
  <w:num w:numId="3" w16cid:durableId="205069332">
    <w:abstractNumId w:val="3"/>
  </w:num>
  <w:num w:numId="4" w16cid:durableId="1157577100">
    <w:abstractNumId w:val="4"/>
  </w:num>
  <w:num w:numId="5" w16cid:durableId="1402288030">
    <w:abstractNumId w:val="7"/>
  </w:num>
  <w:num w:numId="6" w16cid:durableId="1630016779">
    <w:abstractNumId w:val="5"/>
  </w:num>
  <w:num w:numId="7" w16cid:durableId="969481219">
    <w:abstractNumId w:val="6"/>
  </w:num>
  <w:num w:numId="8" w16cid:durableId="1051076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F5"/>
    <w:rsid w:val="000218E8"/>
    <w:rsid w:val="0005402D"/>
    <w:rsid w:val="000837E9"/>
    <w:rsid w:val="000A378D"/>
    <w:rsid w:val="000A60B0"/>
    <w:rsid w:val="000D4A38"/>
    <w:rsid w:val="000F482A"/>
    <w:rsid w:val="000F6B1C"/>
    <w:rsid w:val="0011208F"/>
    <w:rsid w:val="001141CC"/>
    <w:rsid w:val="00150D96"/>
    <w:rsid w:val="001511E0"/>
    <w:rsid w:val="001537DF"/>
    <w:rsid w:val="00154110"/>
    <w:rsid w:val="0015454E"/>
    <w:rsid w:val="001571B4"/>
    <w:rsid w:val="00183E8E"/>
    <w:rsid w:val="00186626"/>
    <w:rsid w:val="00192277"/>
    <w:rsid w:val="001945DB"/>
    <w:rsid w:val="00196AFE"/>
    <w:rsid w:val="001A2357"/>
    <w:rsid w:val="001C5E00"/>
    <w:rsid w:val="001D10ED"/>
    <w:rsid w:val="001D71A1"/>
    <w:rsid w:val="001F00E9"/>
    <w:rsid w:val="002021A7"/>
    <w:rsid w:val="00215B09"/>
    <w:rsid w:val="00237400"/>
    <w:rsid w:val="00283CA1"/>
    <w:rsid w:val="002929E1"/>
    <w:rsid w:val="002957C9"/>
    <w:rsid w:val="00295DC4"/>
    <w:rsid w:val="002B161D"/>
    <w:rsid w:val="002B49E4"/>
    <w:rsid w:val="002D684F"/>
    <w:rsid w:val="002F1111"/>
    <w:rsid w:val="00326377"/>
    <w:rsid w:val="00377A23"/>
    <w:rsid w:val="003A08B2"/>
    <w:rsid w:val="003A2D6A"/>
    <w:rsid w:val="003C55FB"/>
    <w:rsid w:val="003C5A20"/>
    <w:rsid w:val="003C6AE1"/>
    <w:rsid w:val="00462817"/>
    <w:rsid w:val="004648C1"/>
    <w:rsid w:val="00470727"/>
    <w:rsid w:val="00483126"/>
    <w:rsid w:val="00496409"/>
    <w:rsid w:val="004A609D"/>
    <w:rsid w:val="004C3811"/>
    <w:rsid w:val="004C70CA"/>
    <w:rsid w:val="004D0863"/>
    <w:rsid w:val="004D0FF8"/>
    <w:rsid w:val="004D165A"/>
    <w:rsid w:val="004D5138"/>
    <w:rsid w:val="004D7D94"/>
    <w:rsid w:val="004F5911"/>
    <w:rsid w:val="00521043"/>
    <w:rsid w:val="005213E3"/>
    <w:rsid w:val="0052605F"/>
    <w:rsid w:val="00531E78"/>
    <w:rsid w:val="00561998"/>
    <w:rsid w:val="005668C8"/>
    <w:rsid w:val="00582D89"/>
    <w:rsid w:val="00584875"/>
    <w:rsid w:val="0059085A"/>
    <w:rsid w:val="005A6635"/>
    <w:rsid w:val="005C127A"/>
    <w:rsid w:val="005D7479"/>
    <w:rsid w:val="005E0C45"/>
    <w:rsid w:val="005E203B"/>
    <w:rsid w:val="00677509"/>
    <w:rsid w:val="006871D6"/>
    <w:rsid w:val="006962CB"/>
    <w:rsid w:val="006B6114"/>
    <w:rsid w:val="007071F5"/>
    <w:rsid w:val="007338E6"/>
    <w:rsid w:val="00733FFE"/>
    <w:rsid w:val="00737EB2"/>
    <w:rsid w:val="00785944"/>
    <w:rsid w:val="0079064F"/>
    <w:rsid w:val="007F243C"/>
    <w:rsid w:val="00816A90"/>
    <w:rsid w:val="00820BF0"/>
    <w:rsid w:val="008648EF"/>
    <w:rsid w:val="00897D0C"/>
    <w:rsid w:val="008C54A2"/>
    <w:rsid w:val="008F6905"/>
    <w:rsid w:val="00911396"/>
    <w:rsid w:val="009204AD"/>
    <w:rsid w:val="00951192"/>
    <w:rsid w:val="0097200D"/>
    <w:rsid w:val="00974108"/>
    <w:rsid w:val="0098353E"/>
    <w:rsid w:val="009933FE"/>
    <w:rsid w:val="009953B6"/>
    <w:rsid w:val="009963B8"/>
    <w:rsid w:val="009D237B"/>
    <w:rsid w:val="009D7394"/>
    <w:rsid w:val="00A12AA4"/>
    <w:rsid w:val="00A3371B"/>
    <w:rsid w:val="00A535A7"/>
    <w:rsid w:val="00A55A78"/>
    <w:rsid w:val="00A60204"/>
    <w:rsid w:val="00AB334D"/>
    <w:rsid w:val="00AE2029"/>
    <w:rsid w:val="00AF33F3"/>
    <w:rsid w:val="00AF6B6E"/>
    <w:rsid w:val="00B2572C"/>
    <w:rsid w:val="00B661C7"/>
    <w:rsid w:val="00B94233"/>
    <w:rsid w:val="00BB5042"/>
    <w:rsid w:val="00BC0E3F"/>
    <w:rsid w:val="00BC6145"/>
    <w:rsid w:val="00BE1907"/>
    <w:rsid w:val="00BF77B6"/>
    <w:rsid w:val="00C06F82"/>
    <w:rsid w:val="00C11F49"/>
    <w:rsid w:val="00C34927"/>
    <w:rsid w:val="00C378A7"/>
    <w:rsid w:val="00C672EA"/>
    <w:rsid w:val="00C67A49"/>
    <w:rsid w:val="00C72102"/>
    <w:rsid w:val="00CA5EFC"/>
    <w:rsid w:val="00CA6AFB"/>
    <w:rsid w:val="00CA7334"/>
    <w:rsid w:val="00CC0E34"/>
    <w:rsid w:val="00CC7BB8"/>
    <w:rsid w:val="00CD37BC"/>
    <w:rsid w:val="00CE12B5"/>
    <w:rsid w:val="00D04E79"/>
    <w:rsid w:val="00D13ECA"/>
    <w:rsid w:val="00D31885"/>
    <w:rsid w:val="00D32216"/>
    <w:rsid w:val="00D33D38"/>
    <w:rsid w:val="00D54C65"/>
    <w:rsid w:val="00D64E17"/>
    <w:rsid w:val="00D851D6"/>
    <w:rsid w:val="00DD1578"/>
    <w:rsid w:val="00DD758E"/>
    <w:rsid w:val="00DE24C2"/>
    <w:rsid w:val="00DE7FF0"/>
    <w:rsid w:val="00E016C7"/>
    <w:rsid w:val="00E168A0"/>
    <w:rsid w:val="00E37327"/>
    <w:rsid w:val="00E37864"/>
    <w:rsid w:val="00E55532"/>
    <w:rsid w:val="00E71789"/>
    <w:rsid w:val="00E82706"/>
    <w:rsid w:val="00E87021"/>
    <w:rsid w:val="00EA0CB6"/>
    <w:rsid w:val="00F66949"/>
    <w:rsid w:val="00F70CFF"/>
    <w:rsid w:val="00F746DE"/>
    <w:rsid w:val="00FC6B2A"/>
    <w:rsid w:val="00FD0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AD0F"/>
  <w15:chartTrackingRefBased/>
  <w15:docId w15:val="{77BE3D58-1D4A-4676-A906-EE172F02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479"/>
  </w:style>
  <w:style w:type="paragraph" w:styleId="Heading1">
    <w:name w:val="heading 1"/>
    <w:basedOn w:val="Normal"/>
    <w:next w:val="Normal"/>
    <w:link w:val="Heading1Char"/>
    <w:uiPriority w:val="9"/>
    <w:qFormat/>
    <w:rsid w:val="00707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7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07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7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7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F5"/>
    <w:rPr>
      <w:rFonts w:eastAsiaTheme="majorEastAsia" w:cstheme="majorBidi"/>
      <w:color w:val="272727" w:themeColor="text1" w:themeTint="D8"/>
    </w:rPr>
  </w:style>
  <w:style w:type="paragraph" w:styleId="Title">
    <w:name w:val="Title"/>
    <w:basedOn w:val="Normal"/>
    <w:next w:val="Normal"/>
    <w:link w:val="TitleChar"/>
    <w:uiPriority w:val="10"/>
    <w:qFormat/>
    <w:rsid w:val="0070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F5"/>
    <w:pPr>
      <w:spacing w:before="160"/>
      <w:jc w:val="center"/>
    </w:pPr>
    <w:rPr>
      <w:i/>
      <w:iCs/>
      <w:color w:val="404040" w:themeColor="text1" w:themeTint="BF"/>
    </w:rPr>
  </w:style>
  <w:style w:type="character" w:customStyle="1" w:styleId="QuoteChar">
    <w:name w:val="Quote Char"/>
    <w:basedOn w:val="DefaultParagraphFont"/>
    <w:link w:val="Quote"/>
    <w:uiPriority w:val="29"/>
    <w:rsid w:val="007071F5"/>
    <w:rPr>
      <w:i/>
      <w:iCs/>
      <w:color w:val="404040" w:themeColor="text1" w:themeTint="BF"/>
    </w:rPr>
  </w:style>
  <w:style w:type="paragraph" w:styleId="ListParagraph">
    <w:name w:val="List Paragraph"/>
    <w:basedOn w:val="Normal"/>
    <w:uiPriority w:val="34"/>
    <w:qFormat/>
    <w:rsid w:val="007071F5"/>
    <w:pPr>
      <w:ind w:left="720"/>
      <w:contextualSpacing/>
    </w:pPr>
  </w:style>
  <w:style w:type="character" w:styleId="IntenseEmphasis">
    <w:name w:val="Intense Emphasis"/>
    <w:basedOn w:val="DefaultParagraphFont"/>
    <w:uiPriority w:val="21"/>
    <w:qFormat/>
    <w:rsid w:val="007071F5"/>
    <w:rPr>
      <w:i/>
      <w:iCs/>
      <w:color w:val="2F5496" w:themeColor="accent1" w:themeShade="BF"/>
    </w:rPr>
  </w:style>
  <w:style w:type="paragraph" w:styleId="IntenseQuote">
    <w:name w:val="Intense Quote"/>
    <w:basedOn w:val="Normal"/>
    <w:next w:val="Normal"/>
    <w:link w:val="IntenseQuoteChar"/>
    <w:uiPriority w:val="30"/>
    <w:qFormat/>
    <w:rsid w:val="00707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1F5"/>
    <w:rPr>
      <w:i/>
      <w:iCs/>
      <w:color w:val="2F5496" w:themeColor="accent1" w:themeShade="BF"/>
    </w:rPr>
  </w:style>
  <w:style w:type="character" w:styleId="IntenseReference">
    <w:name w:val="Intense Reference"/>
    <w:basedOn w:val="DefaultParagraphFont"/>
    <w:uiPriority w:val="32"/>
    <w:qFormat/>
    <w:rsid w:val="007071F5"/>
    <w:rPr>
      <w:b/>
      <w:bCs/>
      <w:smallCaps/>
      <w:color w:val="2F5496" w:themeColor="accent1" w:themeShade="BF"/>
      <w:spacing w:val="5"/>
    </w:rPr>
  </w:style>
  <w:style w:type="paragraph" w:customStyle="1" w:styleId="msonormal0">
    <w:name w:val="msonormal"/>
    <w:basedOn w:val="Normal"/>
    <w:rsid w:val="007071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7071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071F5"/>
    <w:rPr>
      <w:b/>
      <w:bCs/>
    </w:rPr>
  </w:style>
  <w:style w:type="character" w:styleId="Hyperlink">
    <w:name w:val="Hyperlink"/>
    <w:basedOn w:val="DefaultParagraphFont"/>
    <w:uiPriority w:val="99"/>
    <w:unhideWhenUsed/>
    <w:rsid w:val="007071F5"/>
    <w:rPr>
      <w:color w:val="0000FF"/>
      <w:u w:val="single"/>
    </w:rPr>
  </w:style>
  <w:style w:type="character" w:styleId="FollowedHyperlink">
    <w:name w:val="FollowedHyperlink"/>
    <w:basedOn w:val="DefaultParagraphFont"/>
    <w:uiPriority w:val="99"/>
    <w:semiHidden/>
    <w:unhideWhenUsed/>
    <w:rsid w:val="007071F5"/>
    <w:rPr>
      <w:color w:val="800080"/>
      <w:u w:val="single"/>
    </w:rPr>
  </w:style>
  <w:style w:type="character" w:styleId="Emphasis">
    <w:name w:val="Emphasis"/>
    <w:basedOn w:val="DefaultParagraphFont"/>
    <w:uiPriority w:val="20"/>
    <w:qFormat/>
    <w:rsid w:val="007071F5"/>
    <w:rPr>
      <w:i/>
      <w:iCs/>
    </w:rPr>
  </w:style>
  <w:style w:type="paragraph" w:styleId="HTMLPreformatted">
    <w:name w:val="HTML Preformatted"/>
    <w:basedOn w:val="Normal"/>
    <w:link w:val="HTMLPreformattedChar"/>
    <w:uiPriority w:val="99"/>
    <w:unhideWhenUsed/>
    <w:rsid w:val="00707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071F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071F5"/>
    <w:rPr>
      <w:rFonts w:ascii="Courier New" w:eastAsia="Times New Roman" w:hAnsi="Courier New" w:cs="Courier New"/>
      <w:sz w:val="20"/>
      <w:szCs w:val="20"/>
    </w:rPr>
  </w:style>
  <w:style w:type="character" w:customStyle="1" w:styleId="token">
    <w:name w:val="token"/>
    <w:basedOn w:val="DefaultParagraphFont"/>
    <w:rsid w:val="007071F5"/>
  </w:style>
  <w:style w:type="paragraph" w:customStyle="1" w:styleId="task-list-item">
    <w:name w:val="task-list-item"/>
    <w:basedOn w:val="Normal"/>
    <w:rsid w:val="007071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7071F5"/>
    <w:rPr>
      <w:color w:val="605E5C"/>
      <w:shd w:val="clear" w:color="auto" w:fill="E1DFDD"/>
    </w:rPr>
  </w:style>
  <w:style w:type="table" w:styleId="TableGrid">
    <w:name w:val="Table Grid"/>
    <w:basedOn w:val="TableNormal"/>
    <w:uiPriority w:val="39"/>
    <w:rsid w:val="001D1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lesh.shelke@sitnagpur.siu.edu.in"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tarun.singh.btech2022@sitnagpur.siu.edu.in" TargetMode="Externa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bhupesh.dewangan@sitnagpur.siu.edu.in" TargetMode="External"/><Relationship Id="rId11" Type="http://schemas.openxmlformats.org/officeDocument/2006/relationships/image" Target="media/image1.jpeg"/><Relationship Id="rId5" Type="http://schemas.openxmlformats.org/officeDocument/2006/relationships/hyperlink" Target="mailto:bharat.parihar.btech2022@sitnagpur.siu.edu.in" TargetMode="Externa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mailto:supervisor@sitpune.edu.i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govind.gonnade.btech2022@sitnagpur.siu.edu.in"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42</Pages>
  <Words>19889</Words>
  <Characters>113370</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singh parihar</dc:creator>
  <cp:keywords/>
  <dc:description/>
  <cp:lastModifiedBy>Mahi Rajput</cp:lastModifiedBy>
  <cp:revision>90</cp:revision>
  <dcterms:created xsi:type="dcterms:W3CDTF">2025-11-16T22:03:00Z</dcterms:created>
  <dcterms:modified xsi:type="dcterms:W3CDTF">2026-02-01T14:28:00Z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39a7bccf-56cc-4d7f-bbf6-9b3cadfb0e49</vt:lpwstr>
  </property>
</Properties>
</file>