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b/>
          <w:color w:val="5B6570"/>
          <w:sz w:val="18"/>
        </w:rPr>
        <w:t>PAW  001    ENGINEERING SPECIFICATION</w:t>
      </w:r>
    </w:p>
    <w:p>
      <w:pPr>
        <w:pStyle w:val="Title"/>
      </w:pPr>
      <w:r>
        <w:t>Cloud RAG Foundation Development Requirements</w:t>
      </w:r>
    </w:p>
    <w:p>
      <w:r>
        <w:t>Version 1.0  |  28 October 2026  |  Prepared for Bharat  |  Status Proposed baseline</w:t>
      </w:r>
    </w:p>
    <w:p>
      <w:r>
        <w:t>We will deliver two separately versioned repositories and a usable cloud application. From an authenticated external browser, Bharat must be able to upload a supported document, observe ingestion, retrieve relevant source passages, and verify that data survives a deployment. This release establishes the engineering, storage, testing, and operations conventions reused by the agent platform.</w:t>
      </w:r>
    </w:p>
    <w:p>
      <w:pPr>
        <w:pStyle w:val="Heading1"/>
      </w:pPr>
      <w:r>
        <w:t>Release contract</w:t>
      </w:r>
    </w:p>
    <w:p>
      <w:r>
        <w:t>PAW 001 is one product milestone composed of independently reviewed substories 001A through 001D. Repository creation alone is not acceptance. The milestone is complete only when the hosted path works end to end and the operational controls below are demonstrated.</w:t>
      </w:r>
    </w:p>
    <w:p>
      <w:pPr>
        <w:pStyle w:val="ListBullet"/>
        <w:spacing w:after="40"/>
        <w:ind w:left="374"/>
      </w:pPr>
      <w:r>
        <w:t>The web application is reachable over HTTPS from a device outside the development network and requires authentication.</w:t>
      </w:r>
    </w:p>
    <w:p>
      <w:pPr>
        <w:pStyle w:val="ListBullet"/>
        <w:spacing w:after="40"/>
        <w:ind w:left="374"/>
      </w:pPr>
      <w:r>
        <w:t>A .txt, .md, or text-based PDF upload is stored durably, extracted, chunked, embedded, and indexed with provenance.</w:t>
      </w:r>
    </w:p>
    <w:p>
      <w:pPr>
        <w:pStyle w:val="ListBullet"/>
        <w:spacing w:after="40"/>
        <w:ind w:left="374"/>
      </w:pPr>
      <w:r>
        <w:t>A semantic or keyword query returns ranked, workspace-scoped passages with resolvable source document and page or section references.</w:t>
      </w:r>
    </w:p>
    <w:p>
      <w:pPr>
        <w:pStyle w:val="ListBullet"/>
        <w:spacing w:after="40"/>
        <w:ind w:left="374"/>
      </w:pPr>
      <w:r>
        <w:t>CI validates both repositories; a tested release is deployed; redeployment and worker restart do not lose completed documents or create duplicate chunks.</w:t>
      </w:r>
    </w:p>
    <w:p>
      <w:pPr>
        <w:pStyle w:val="ListBullet"/>
        <w:spacing w:after="40"/>
        <w:ind w:left="374"/>
      </w:pPr>
      <w:r>
        <w:t>Deployment, recovery, test execution, and local startup can be repeated using the written runbooks.</w:t>
      </w:r>
    </w:p>
    <w:p>
      <w:pPr>
        <w:pStyle w:val="Heading1"/>
      </w:pPr>
      <w:r>
        <w:t>Scope boundaries</w:t>
      </w:r>
    </w:p>
    <w:tbl>
      <w:tblPr>
        <w:tblW w:type="auto" w:w="0"/>
        <w:jc w:val="center"/>
        <w:tblLayout w:type="fixed"/>
        <w:tblLook w:firstColumn="1" w:firstRow="1" w:lastColumn="0" w:lastRow="0" w:noHBand="0" w:noVBand="1" w:val="04A0"/>
      </w:tblPr>
      <w:tblGrid>
        <w:gridCol w:w="4925"/>
        <w:gridCol w:w="4925"/>
      </w:tblGrid>
      <w:tr>
        <w:trPr>
          <w:tblHeader w:val="true"/>
        </w:trPr>
        <w:tc>
          <w:tcPr>
            <w:tcW w:type="dxa" w:w="4925"/>
            <w:shd w:fill="19354F"/>
            <w:vAlign w:val="center"/>
            <w:tcMar>
              <w:top w:w="110" w:type="dxa"/>
              <w:start w:w="120" w:type="dxa"/>
              <w:bottom w:w="110" w:type="dxa"/>
              <w:end w:w="120" w:type="dxa"/>
            </w:tcMar>
            <w:tcBorders>
              <w:top w:val="single" w:color="D9D9D9" w:sz="4"/>
              <w:left w:val="single" w:color="D9D9D9" w:sz="4"/>
              <w:bottom w:val="single" w:color="D9D9D9" w:sz="4"/>
              <w:right w:val="single" w:color="D9D9D9" w:sz="4"/>
            </w:tcBorders>
          </w:tcPr>
          <w:p>
            <w:r>
              <w:rPr>
                <w:b/>
                <w:color w:val="FFFFFF"/>
                <w:sz w:val="17"/>
              </w:rPr>
              <w:t>In scope</w:t>
            </w:r>
          </w:p>
        </w:tc>
        <w:tc>
          <w:tcPr>
            <w:tcW w:type="dxa" w:w="4925"/>
            <w:shd w:fill="19354F"/>
            <w:vAlign w:val="center"/>
            <w:tcMar>
              <w:top w:w="110" w:type="dxa"/>
              <w:start w:w="120" w:type="dxa"/>
              <w:bottom w:w="110" w:type="dxa"/>
              <w:end w:w="120" w:type="dxa"/>
            </w:tcMar>
            <w:tcBorders>
              <w:top w:val="single" w:color="D9D9D9" w:sz="4"/>
              <w:left w:val="single" w:color="D9D9D9" w:sz="4"/>
              <w:bottom w:val="single" w:color="D9D9D9" w:sz="4"/>
              <w:right w:val="single" w:color="D9D9D9" w:sz="4"/>
            </w:tcBorders>
          </w:tcPr>
          <w:p>
            <w:r>
              <w:rPr>
                <w:b/>
                <w:color w:val="FFFFFF"/>
                <w:sz w:val="17"/>
              </w:rPr>
              <w:t>Explicitly deferred</w:t>
            </w:r>
          </w:p>
        </w:tc>
      </w:tr>
      <w:tr>
        <w:tc>
          <w:tcPr>
            <w:tcW w:type="dxa" w:w="4925"/>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Two GitHub repositories and reproducible local runtime</w:t>
            </w:r>
          </w:p>
        </w:tc>
        <w:tc>
          <w:tcPr>
            <w:tcW w:type="dxa" w:w="4925"/>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Hermès orchestration or MCP agent tools</w:t>
            </w:r>
          </w:p>
        </w:tc>
      </w:tr>
      <w:tr>
        <w:tc>
          <w:tcPr>
            <w:tcW w:type="dxa" w:w="4925"/>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Authenticated browser document upload and status</w:t>
            </w:r>
          </w:p>
        </w:tc>
        <w:tc>
          <w:tcPr>
            <w:tcW w:type="dxa" w:w="4925"/>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OCR, handwritten scans, audio, video, spreadsheet ETL</w:t>
            </w:r>
          </w:p>
        </w:tc>
      </w:tr>
      <w:tr>
        <w:tc>
          <w:tcPr>
            <w:tcW w:type="dxa" w:w="4925"/>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Asynchronous ingestion for three text-oriented formats</w:t>
            </w:r>
          </w:p>
        </w:tc>
        <w:tc>
          <w:tcPr>
            <w:tcW w:type="dxa" w:w="4925"/>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LLM-generated RAG answers and agent reasoning</w:t>
            </w:r>
          </w:p>
        </w:tc>
      </w:tr>
      <w:tr>
        <w:tc>
          <w:tcPr>
            <w:tcW w:type="dxa" w:w="4925"/>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PostgreSQL records plus keyword and vector search</w:t>
            </w:r>
          </w:p>
        </w:tc>
        <w:tc>
          <w:tcPr>
            <w:tcW w:type="dxa" w:w="4925"/>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Multi-tenant billing or customer administration</w:t>
            </w:r>
          </w:p>
        </w:tc>
      </w:tr>
      <w:tr>
        <w:tc>
          <w:tcPr>
            <w:tcW w:type="dxa" w:w="4925"/>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Source-backed retrieval UI and API</w:t>
            </w:r>
          </w:p>
        </w:tc>
        <w:tc>
          <w:tcPr>
            <w:tcW w:type="dxa" w:w="4925"/>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Sophisticated autoscaling and multi-region failover</w:t>
            </w:r>
          </w:p>
        </w:tc>
      </w:tr>
      <w:tr>
        <w:tc>
          <w:tcPr>
            <w:tcW w:type="dxa" w:w="4925"/>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Cloud deployment, CI, backups, smoke checks</w:t>
            </w:r>
          </w:p>
        </w:tc>
        <w:tc>
          <w:tcPr>
            <w:tcW w:type="dxa" w:w="4925"/>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Production ingestion of arbitrary URLs or websites</w:t>
            </w:r>
          </w:p>
        </w:tc>
      </w:tr>
    </w:tbl>
    <w:p>
      <w:pPr>
        <w:spacing w:after="20"/>
      </w:pPr>
    </w:p>
    <w:p>
      <w:pPr>
        <w:pStyle w:val="Heading1"/>
      </w:pPr>
      <w:r>
        <w:t>Dependencies and engineering decisions</w:t>
      </w:r>
    </w:p>
    <w:tbl>
      <w:tblPr>
        <w:tblW w:type="auto" w:w="0"/>
        <w:jc w:val="center"/>
        <w:tblLayout w:type="fixed"/>
        <w:tblLook w:firstColumn="1" w:firstRow="1" w:lastColumn="0" w:lastRow="0" w:noHBand="0" w:noVBand="1" w:val="04A0"/>
      </w:tblPr>
      <w:tblGrid>
        <w:gridCol w:w="1195"/>
        <w:gridCol w:w="4205"/>
        <w:gridCol w:w="4450"/>
      </w:tblGrid>
      <w:tr>
        <w:trPr>
          <w:tblHeader w:val="true"/>
        </w:trPr>
        <w:tc>
          <w:tcPr>
            <w:tcW w:type="dxa" w:w="3283"/>
            <w:shd w:fill="19354F"/>
            <w:vAlign w:val="center"/>
            <w:tcMar>
              <w:top w:w="110" w:type="dxa"/>
              <w:start w:w="120" w:type="dxa"/>
              <w:bottom w:w="110" w:type="dxa"/>
              <w:end w:w="120" w:type="dxa"/>
            </w:tcMar>
            <w:tcBorders>
              <w:top w:val="single" w:color="D9D9D9" w:sz="4"/>
              <w:left w:val="single" w:color="D9D9D9" w:sz="4"/>
              <w:bottom w:val="single" w:color="D9D9D9" w:sz="4"/>
              <w:right w:val="single" w:color="D9D9D9" w:sz="4"/>
            </w:tcBorders>
          </w:tcPr>
          <w:p>
            <w:r>
              <w:rPr>
                <w:b/>
                <w:color w:val="FFFFFF"/>
                <w:sz w:val="17"/>
              </w:rPr>
              <w:t>ID</w:t>
            </w:r>
          </w:p>
        </w:tc>
        <w:tc>
          <w:tcPr>
            <w:tcW w:type="dxa" w:w="3283"/>
            <w:shd w:fill="19354F"/>
            <w:vAlign w:val="center"/>
            <w:tcMar>
              <w:top w:w="110" w:type="dxa"/>
              <w:start w:w="120" w:type="dxa"/>
              <w:bottom w:w="110" w:type="dxa"/>
              <w:end w:w="120" w:type="dxa"/>
            </w:tcMar>
            <w:tcBorders>
              <w:top w:val="single" w:color="D9D9D9" w:sz="4"/>
              <w:left w:val="single" w:color="D9D9D9" w:sz="4"/>
              <w:bottom w:val="single" w:color="D9D9D9" w:sz="4"/>
              <w:right w:val="single" w:color="D9D9D9" w:sz="4"/>
            </w:tcBorders>
          </w:tcPr>
          <w:p>
            <w:r>
              <w:rPr>
                <w:b/>
                <w:color w:val="FFFFFF"/>
                <w:sz w:val="17"/>
              </w:rPr>
              <w:t>Decision or dependency</w:t>
            </w:r>
          </w:p>
        </w:tc>
        <w:tc>
          <w:tcPr>
            <w:tcW w:type="dxa" w:w="3283"/>
            <w:shd w:fill="19354F"/>
            <w:vAlign w:val="center"/>
            <w:tcMar>
              <w:top w:w="110" w:type="dxa"/>
              <w:start w:w="120" w:type="dxa"/>
              <w:bottom w:w="110" w:type="dxa"/>
              <w:end w:w="120" w:type="dxa"/>
            </w:tcMar>
            <w:tcBorders>
              <w:top w:val="single" w:color="D9D9D9" w:sz="4"/>
              <w:left w:val="single" w:color="D9D9D9" w:sz="4"/>
              <w:bottom w:val="single" w:color="D9D9D9" w:sz="4"/>
              <w:right w:val="single" w:color="D9D9D9" w:sz="4"/>
            </w:tcBorders>
          </w:tcPr>
          <w:p>
            <w:r>
              <w:rPr>
                <w:b/>
                <w:color w:val="FFFFFF"/>
                <w:sz w:val="17"/>
              </w:rPr>
              <w:t>Status and resolution</w:t>
            </w:r>
          </w:p>
        </w:tc>
      </w:tr>
      <w:tr>
        <w:tc>
          <w:tcPr>
            <w:tcW w:type="dxa" w:w="1195"/>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D001</w:t>
            </w:r>
          </w:p>
        </w:tc>
        <w:tc>
          <w:tcPr>
            <w:tcW w:type="dxa" w:w="4205"/>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Repository ownership</w:t>
            </w:r>
          </w:p>
        </w:tc>
        <w:tc>
          <w:tcPr>
            <w:tcW w:type="dxa" w:w="4450"/>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Proposed organization-owned paw-server and paw-web; Bharat confirms GitHub organization and names.</w:t>
            </w:r>
          </w:p>
        </w:tc>
      </w:tr>
      <w:tr>
        <w:tc>
          <w:tcPr>
            <w:tcW w:type="dxa" w:w="1195"/>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D002</w:t>
            </w:r>
          </w:p>
        </w:tc>
        <w:tc>
          <w:tcPr>
            <w:tcW w:type="dxa" w:w="4205"/>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Hosting topology</w:t>
            </w:r>
          </w:p>
        </w:tc>
        <w:tc>
          <w:tcPr>
            <w:tcW w:type="dxa" w:w="4450"/>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Baseline: one VPS with Docker Compose and HTTPS reverse proxy; confirm provider, domain, budget, backup location.</w:t>
            </w:r>
          </w:p>
        </w:tc>
      </w:tr>
      <w:tr>
        <w:tc>
          <w:tcPr>
            <w:tcW w:type="dxa" w:w="1195"/>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D003</w:t>
            </w:r>
          </w:p>
        </w:tc>
        <w:tc>
          <w:tcPr>
            <w:tcW w:type="dxa" w:w="4205"/>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Persistence</w:t>
            </w:r>
          </w:p>
        </w:tc>
        <w:tc>
          <w:tcPr>
            <w:tcW w:type="dxa" w:w="4450"/>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PostgreSQL plus pgvector is authoritative for indexed data; object originals use an S3-compatible bucket.</w:t>
            </w:r>
          </w:p>
        </w:tc>
      </w:tr>
      <w:tr>
        <w:tc>
          <w:tcPr>
            <w:tcW w:type="dxa" w:w="1195"/>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D004</w:t>
            </w:r>
          </w:p>
        </w:tc>
        <w:tc>
          <w:tcPr>
            <w:tcW w:type="dxa" w:w="4205"/>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Embedding provider</w:t>
            </w:r>
          </w:p>
        </w:tc>
        <w:tc>
          <w:tcPr>
            <w:tcW w:type="dxa" w:w="4450"/>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Provider adapter is required; select a model, dimensions, limits, and price before first production indexing.</w:t>
            </w:r>
          </w:p>
        </w:tc>
      </w:tr>
      <w:tr>
        <w:tc>
          <w:tcPr>
            <w:tcW w:type="dxa" w:w="1195"/>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D005</w:t>
            </w:r>
          </w:p>
        </w:tc>
        <w:tc>
          <w:tcPr>
            <w:tcW w:type="dxa" w:w="4205"/>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Job runner</w:t>
            </w:r>
          </w:p>
        </w:tc>
        <w:tc>
          <w:tcPr>
            <w:tcW w:type="dxa" w:w="4450"/>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PostgreSQL-backed durable job mechanism, with Procrastinate as a candidate; validate recovery semantics.</w:t>
            </w:r>
          </w:p>
        </w:tc>
      </w:tr>
      <w:tr>
        <w:tc>
          <w:tcPr>
            <w:tcW w:type="dxa" w:w="1195"/>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D006</w:t>
            </w:r>
          </w:p>
        </w:tc>
        <w:tc>
          <w:tcPr>
            <w:tcW w:type="dxa" w:w="4205"/>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Authentication</w:t>
            </w:r>
          </w:p>
        </w:tc>
        <w:tc>
          <w:tcPr>
            <w:tcW w:type="dxa" w:w="4450"/>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Single-owner identity is acceptable initially; anonymous ingestion and public document search are not.</w:t>
            </w:r>
          </w:p>
        </w:tc>
      </w:tr>
      <w:tr>
        <w:tc>
          <w:tcPr>
            <w:tcW w:type="dxa" w:w="1195"/>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D007</w:t>
            </w:r>
          </w:p>
        </w:tc>
        <w:tc>
          <w:tcPr>
            <w:tcW w:type="dxa" w:w="4205"/>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Search contract</w:t>
            </w:r>
          </w:p>
        </w:tc>
        <w:tc>
          <w:tcPr>
            <w:tcW w:type="dxa" w:w="4450"/>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Hybrid keyword and vector ranking; exact scoring weights remain versioned and evaluable.</w:t>
            </w:r>
          </w:p>
        </w:tc>
      </w:tr>
    </w:tbl>
    <w:p>
      <w:pPr>
        <w:spacing w:after="20"/>
      </w:pPr>
    </w:p>
    <w:p>
      <w:pPr>
        <w:pStyle w:val="Heading1"/>
      </w:pPr>
      <w:r>
        <w:t>System architecture and responsibilities</w:t>
      </w:r>
    </w:p>
    <w:p>
      <w:r>
        <w:t>The browser sends authenticated requests to FastAPI. Metadata and normalized passages reside in PostgreSQL; exact originals reside in durable object storage. The API records an ingestion job, while a separately supervised worker performs parsing, chunking, embedding, and indexing. Search applies workspace filters in SQL and combines PostgreSQL full-text and pgvector results. The frontend never connects directly to PostgreSQL, object-store credentials, or the embedding provider. A deployment package exposes web and API over HTTPS while keeping the database and worker private.</w:t>
      </w:r>
    </w:p>
    <w:tbl>
      <w:tblPr>
        <w:tblW w:type="auto" w:w="0"/>
        <w:jc w:val="center"/>
        <w:tblLayout w:type="fixed"/>
        <w:tblLook w:firstColumn="1" w:firstRow="1" w:lastColumn="0" w:lastRow="0" w:noHBand="0" w:noVBand="1" w:val="04A0"/>
      </w:tblPr>
      <w:tblGrid>
        <w:gridCol w:w="2232"/>
        <w:gridCol w:w="4680"/>
        <w:gridCol w:w="2938"/>
      </w:tblGrid>
      <w:tr>
        <w:trPr>
          <w:tblHeader w:val="true"/>
        </w:trPr>
        <w:tc>
          <w:tcPr>
            <w:tcW w:type="dxa" w:w="3283"/>
            <w:shd w:fill="19354F"/>
            <w:vAlign w:val="center"/>
            <w:tcMar>
              <w:top w:w="110" w:type="dxa"/>
              <w:start w:w="120" w:type="dxa"/>
              <w:bottom w:w="110" w:type="dxa"/>
              <w:end w:w="120" w:type="dxa"/>
            </w:tcMar>
            <w:tcBorders>
              <w:top w:val="single" w:color="D9D9D9" w:sz="4"/>
              <w:left w:val="single" w:color="D9D9D9" w:sz="4"/>
              <w:bottom w:val="single" w:color="D9D9D9" w:sz="4"/>
              <w:right w:val="single" w:color="D9D9D9" w:sz="4"/>
            </w:tcBorders>
          </w:tcPr>
          <w:p>
            <w:r>
              <w:rPr>
                <w:b/>
                <w:color w:val="FFFFFF"/>
                <w:sz w:val="17"/>
              </w:rPr>
              <w:t>Component</w:t>
            </w:r>
          </w:p>
        </w:tc>
        <w:tc>
          <w:tcPr>
            <w:tcW w:type="dxa" w:w="3283"/>
            <w:shd w:fill="19354F"/>
            <w:vAlign w:val="center"/>
            <w:tcMar>
              <w:top w:w="110" w:type="dxa"/>
              <w:start w:w="120" w:type="dxa"/>
              <w:bottom w:w="110" w:type="dxa"/>
              <w:end w:w="120" w:type="dxa"/>
            </w:tcMar>
            <w:tcBorders>
              <w:top w:val="single" w:color="D9D9D9" w:sz="4"/>
              <w:left w:val="single" w:color="D9D9D9" w:sz="4"/>
              <w:bottom w:val="single" w:color="D9D9D9" w:sz="4"/>
              <w:right w:val="single" w:color="D9D9D9" w:sz="4"/>
            </w:tcBorders>
          </w:tcPr>
          <w:p>
            <w:r>
              <w:rPr>
                <w:b/>
                <w:color w:val="FFFFFF"/>
                <w:sz w:val="17"/>
              </w:rPr>
              <w:t>Owned responsibility</w:t>
            </w:r>
          </w:p>
        </w:tc>
        <w:tc>
          <w:tcPr>
            <w:tcW w:type="dxa" w:w="3283"/>
            <w:shd w:fill="19354F"/>
            <w:vAlign w:val="center"/>
            <w:tcMar>
              <w:top w:w="110" w:type="dxa"/>
              <w:start w:w="120" w:type="dxa"/>
              <w:bottom w:w="110" w:type="dxa"/>
              <w:end w:w="120" w:type="dxa"/>
            </w:tcMar>
            <w:tcBorders>
              <w:top w:val="single" w:color="D9D9D9" w:sz="4"/>
              <w:left w:val="single" w:color="D9D9D9" w:sz="4"/>
              <w:bottom w:val="single" w:color="D9D9D9" w:sz="4"/>
              <w:right w:val="single" w:color="D9D9D9" w:sz="4"/>
            </w:tcBorders>
          </w:tcPr>
          <w:p>
            <w:r>
              <w:rPr>
                <w:b/>
                <w:color w:val="FFFFFF"/>
                <w:sz w:val="17"/>
              </w:rPr>
              <w:t>Interface</w:t>
            </w:r>
          </w:p>
        </w:tc>
      </w:tr>
      <w:tr>
        <w:tc>
          <w:tcPr>
            <w:tcW w:type="dxa" w:w="2232"/>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paw-web</w:t>
            </w:r>
          </w:p>
        </w:tc>
        <w:tc>
          <w:tcPr>
            <w:tcW w:type="dxa" w:w="4680"/>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Authenticated upload, document list, processing status, query form, source-passage display, error states.</w:t>
            </w:r>
          </w:p>
        </w:tc>
        <w:tc>
          <w:tcPr>
            <w:tcW w:type="dxa" w:w="2938"/>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Typed HTTP client to PAW API</w:t>
            </w:r>
          </w:p>
        </w:tc>
      </w:tr>
      <w:tr>
        <w:tc>
          <w:tcPr>
            <w:tcW w:type="dxa" w:w="2232"/>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paw-server API</w:t>
            </w:r>
          </w:p>
        </w:tc>
        <w:tc>
          <w:tcPr>
            <w:tcW w:type="dxa" w:w="4680"/>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Validate requests, authorize workspace access, issue uploads, register jobs, provide retrieval endpoint.</w:t>
            </w:r>
          </w:p>
        </w:tc>
        <w:tc>
          <w:tcPr>
            <w:tcW w:type="dxa" w:w="2938"/>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Versioned REST and OpenAPI</w:t>
            </w:r>
          </w:p>
        </w:tc>
      </w:tr>
      <w:tr>
        <w:tc>
          <w:tcPr>
            <w:tcW w:type="dxa" w:w="2232"/>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ingestion worker</w:t>
            </w:r>
          </w:p>
        </w:tc>
        <w:tc>
          <w:tcPr>
            <w:tcW w:type="dxa" w:w="4680"/>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Parse, normalize, chunk, embed, checkpoint, retry, update durable lifecycle state.</w:t>
            </w:r>
          </w:p>
        </w:tc>
        <w:tc>
          <w:tcPr>
            <w:tcW w:type="dxa" w:w="2938"/>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Jobs and DB transactions</w:t>
            </w:r>
          </w:p>
        </w:tc>
      </w:tr>
      <w:tr>
        <w:tc>
          <w:tcPr>
            <w:tcW w:type="dxa" w:w="2232"/>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PostgreSQL</w:t>
            </w:r>
          </w:p>
        </w:tc>
        <w:tc>
          <w:tcPr>
            <w:tcW w:type="dxa" w:w="4680"/>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Document identity, versions, chunks, search indexes, job state, query telemetry and audit.</w:t>
            </w:r>
          </w:p>
        </w:tc>
        <w:tc>
          <w:tcPr>
            <w:tcW w:type="dxa" w:w="2938"/>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SQL via restricted roles</w:t>
            </w:r>
          </w:p>
        </w:tc>
      </w:tr>
      <w:tr>
        <w:tc>
          <w:tcPr>
            <w:tcW w:type="dxa" w:w="2232"/>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object store</w:t>
            </w:r>
          </w:p>
        </w:tc>
        <w:tc>
          <w:tcPr>
            <w:tcW w:type="dxa" w:w="4680"/>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Immutable original bytes and checksums; content addressed or versioned object keys.</w:t>
            </w:r>
          </w:p>
        </w:tc>
        <w:tc>
          <w:tcPr>
            <w:tcW w:type="dxa" w:w="2938"/>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S3-compatible API</w:t>
            </w:r>
          </w:p>
        </w:tc>
      </w:tr>
      <w:tr>
        <w:tc>
          <w:tcPr>
            <w:tcW w:type="dxa" w:w="2232"/>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CI and deploy</w:t>
            </w:r>
          </w:p>
        </w:tc>
        <w:tc>
          <w:tcPr>
            <w:tcW w:type="dxa" w:w="4680"/>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Test, build immutable images, apply safe migrations, deploy, health check, rollback.</w:t>
            </w:r>
          </w:p>
        </w:tc>
        <w:tc>
          <w:tcPr>
            <w:tcW w:type="dxa" w:w="2938"/>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GitHub Actions and registry</w:t>
            </w:r>
          </w:p>
        </w:tc>
      </w:tr>
    </w:tbl>
    <w:p>
      <w:pPr>
        <w:spacing w:after="20"/>
      </w:pPr>
    </w:p>
    <w:p>
      <w:pPr>
        <w:pStyle w:val="Heading1"/>
      </w:pPr>
      <w:r>
        <w:t>Substory specifications</w:t>
      </w:r>
    </w:p>
    <w:p>
      <w:pPr>
        <w:pStyle w:val="Heading2"/>
      </w:pPr>
      <w:r>
        <w:t>PAW-001A  Repository and connected runtime foundation</w:t>
      </w:r>
    </w:p>
    <w:p>
      <w:r>
        <w:t>A new contributor can clone both repositories, run one documented command sequence, access the web shell, and see that the backend has a healthy database connection. The same commit pair is reproducible in CI.</w:t>
      </w:r>
    </w:p>
    <w:p>
      <w:pPr>
        <w:keepNext/>
      </w:pPr>
      <w:r>
        <w:rPr>
          <w:b/>
        </w:rPr>
        <w:t>Implementation scope</w:t>
      </w:r>
    </w:p>
    <w:p>
      <w:pPr>
        <w:pStyle w:val="ListBullet"/>
        <w:spacing w:after="40"/>
        <w:ind w:left="374"/>
      </w:pPr>
      <w:r>
        <w:t>Create paw-server with application factory, environment settings validation, structured logging, dependency lock, test directory, and modular api/core/db/modules packages.</w:t>
      </w:r>
    </w:p>
    <w:p>
      <w:pPr>
        <w:pStyle w:val="ListBullet"/>
        <w:spacing w:after="40"/>
        <w:ind w:left="374"/>
      </w:pPr>
      <w:r>
        <w:t>Create paw-web with a typed API client, responsive navigation shell, accessibility baseline, loading and error components, and environment-specific API base URL.</w:t>
      </w:r>
    </w:p>
    <w:p>
      <w:pPr>
        <w:pStyle w:val="ListBullet"/>
        <w:spacing w:after="40"/>
        <w:ind w:left="374"/>
      </w:pPr>
      <w:r>
        <w:t>Provide Compose services for API, PostgreSQL with pgvector, job worker placeholder, and web; add health checks, volumes, network isolation, and example nonsecret configuration.</w:t>
      </w:r>
    </w:p>
    <w:p>
      <w:pPr>
        <w:pStyle w:val="ListBullet"/>
        <w:spacing w:after="40"/>
        <w:ind w:left="374"/>
      </w:pPr>
      <w:r>
        <w:t>Implement Alembic migration baseline, a workspaces seed for the owner, and startup readiness with explicit DB failure reporting.</w:t>
      </w:r>
    </w:p>
    <w:p>
      <w:pPr>
        <w:pStyle w:val="ListBullet"/>
        <w:spacing w:after="40"/>
        <w:ind w:left="374"/>
      </w:pPr>
      <w:r>
        <w:t>Configure GitHub Actions per repository for lint, type checks, tests, dependency installation from lockfiles, and build.</w:t>
      </w:r>
    </w:p>
    <w:p>
      <w:pPr>
        <w:pStyle w:val="Heading3"/>
      </w:pPr>
      <w:r>
        <w:t>Detailed requirements</w:t>
      </w:r>
    </w:p>
    <w:p>
      <w:pPr>
        <w:spacing w:after="60"/>
      </w:pPr>
      <w:r>
        <w:rPr>
          <w:b/>
          <w:color w:val="182D48"/>
        </w:rPr>
        <w:t xml:space="preserve">001A-R01  </w:t>
      </w:r>
      <w:r>
        <w:t>Both repositories MUST have predictable directory structures, pinned runtime versions, lockfiles, .editorconfig, ignored local secrets, and documented make or task commands. CI and local developers MUST use the same test commands.</w:t>
      </w:r>
    </w:p>
    <w:p>
      <w:pPr>
        <w:spacing w:after="120"/>
        <w:ind w:left="259"/>
      </w:pPr>
      <w:r>
        <w:rPr>
          <w:b/>
          <w:sz w:val="18"/>
        </w:rPr>
        <w:t xml:space="preserve">Verification  </w:t>
      </w:r>
      <w:r>
        <w:t>Clone to a clean host; follow README; confirm deterministic install and successful checks.</w:t>
      </w:r>
    </w:p>
    <w:p>
      <w:pPr>
        <w:spacing w:after="60"/>
      </w:pPr>
      <w:r>
        <w:rPr>
          <w:b/>
          <w:color w:val="182D48"/>
        </w:rPr>
        <w:t xml:space="preserve">001A-R02  </w:t>
      </w:r>
      <w:r>
        <w:t>Backend startup MUST verify configuration and expose separate liveness and readiness signals. Readiness MUST fail when PostgreSQL is unavailable or migrations are incompatible; liveness MUST not require external services.</w:t>
      </w:r>
    </w:p>
    <w:p>
      <w:pPr>
        <w:spacing w:after="120"/>
        <w:ind w:left="259"/>
      </w:pPr>
      <w:r>
        <w:rPr>
          <w:b/>
          <w:sz w:val="18"/>
        </w:rPr>
        <w:t xml:space="preserve">Verification  </w:t>
      </w:r>
      <w:r>
        <w:t>Start with and without DB; assert /health remains process-oriented while /ready rejects unavailable dependencies.</w:t>
      </w:r>
    </w:p>
    <w:p>
      <w:pPr>
        <w:spacing w:after="60"/>
      </w:pPr>
      <w:r>
        <w:rPr>
          <w:b/>
          <w:color w:val="182D48"/>
        </w:rPr>
        <w:t xml:space="preserve">001A-R03  </w:t>
      </w:r>
      <w:r>
        <w:t>Database access MUST use pooled connections and migrations; application request handlers MUST NOT create tables implicitly or perform schema migration.</w:t>
      </w:r>
    </w:p>
    <w:p>
      <w:pPr>
        <w:spacing w:after="120"/>
        <w:ind w:left="259"/>
      </w:pPr>
      <w:r>
        <w:rPr>
          <w:b/>
          <w:sz w:val="18"/>
        </w:rPr>
        <w:t xml:space="preserve">Verification  </w:t>
      </w:r>
      <w:r>
        <w:t>Integration test starts empty DB, applies upgrade, checks schema and reruns migration idempotently.</w:t>
      </w:r>
    </w:p>
    <w:p>
      <w:pPr>
        <w:spacing w:after="60"/>
      </w:pPr>
      <w:r>
        <w:rPr>
          <w:b/>
          <w:color w:val="182D48"/>
        </w:rPr>
        <w:t xml:space="preserve">001A-R04  </w:t>
      </w:r>
      <w:r>
        <w:t>The web shell MUST call /ready through the configured API endpoint and present a meaningful service-unavailable state without exposing server internals.</w:t>
      </w:r>
    </w:p>
    <w:p>
      <w:pPr>
        <w:spacing w:after="120"/>
        <w:ind w:left="259"/>
      </w:pPr>
      <w:r>
        <w:rPr>
          <w:b/>
          <w:sz w:val="18"/>
        </w:rPr>
        <w:t xml:space="preserve">Verification  </w:t>
      </w:r>
      <w:r>
        <w:t>Playwright checks success and simulated 503 state in desktop and mobile widths.</w:t>
      </w:r>
    </w:p>
    <w:p>
      <w:pPr>
        <w:spacing w:after="60"/>
      </w:pPr>
      <w:r>
        <w:rPr>
          <w:b/>
          <w:color w:val="182D48"/>
        </w:rPr>
        <w:t xml:space="preserve">001A-R05  </w:t>
      </w:r>
      <w:r>
        <w:t>Configuration MUST distinguish local, CI, staging, and production environments; credentials MUST be injected at runtime and never committed.</w:t>
      </w:r>
    </w:p>
    <w:p>
      <w:pPr>
        <w:spacing w:after="120"/>
        <w:ind w:left="259"/>
      </w:pPr>
      <w:r>
        <w:rPr>
          <w:b/>
          <w:sz w:val="18"/>
        </w:rPr>
        <w:t xml:space="preserve">Verification  </w:t>
      </w:r>
      <w:r>
        <w:t>Secret scan, configuration validation tests, and review of image contents pass.</w:t>
      </w:r>
    </w:p>
    <w:p>
      <w:pPr>
        <w:spacing w:after="60"/>
      </w:pPr>
      <w:r>
        <w:rPr>
          <w:b/>
          <w:color w:val="182D48"/>
        </w:rPr>
        <w:t xml:space="preserve">001A-R06  </w:t>
      </w:r>
      <w:r>
        <w:t>All API responses MUST use one error envelope with machine-readable code, user-safe message, correlation ID, and validation detail where appropriate.</w:t>
      </w:r>
    </w:p>
    <w:p>
      <w:pPr>
        <w:spacing w:after="120"/>
        <w:ind w:left="259"/>
      </w:pPr>
      <w:r>
        <w:rPr>
          <w:b/>
          <w:sz w:val="18"/>
        </w:rPr>
        <w:t xml:space="preserve">Verification  </w:t>
      </w:r>
      <w:r>
        <w:t>Contract tests exercise 400, 401, 403, 404, 409, 413, 422, 429, and 503 examples.</w:t>
      </w:r>
    </w:p>
    <w:p>
      <w:pPr>
        <w:pStyle w:val="Heading3"/>
      </w:pPr>
      <w:r>
        <w:t>Acceptance conditions</w:t>
      </w:r>
    </w:p>
    <w:p>
      <w:pPr>
        <w:pStyle w:val="ListBullet"/>
        <w:spacing w:after="40"/>
        <w:ind w:left="374"/>
      </w:pPr>
      <w:r>
        <w:t>Fresh local startup and teardown work without manual SQL or hidden environment files.</w:t>
      </w:r>
    </w:p>
    <w:p>
      <w:pPr>
        <w:pStyle w:val="ListBullet"/>
        <w:spacing w:after="40"/>
        <w:ind w:left="374"/>
      </w:pPr>
      <w:r>
        <w:t>Web can display backend and database readiness; unreachable DB is visible and CI remains diagnostic.</w:t>
      </w:r>
    </w:p>
    <w:p>
      <w:pPr>
        <w:pStyle w:val="ListBullet"/>
        <w:spacing w:after="40"/>
        <w:ind w:left="374"/>
      </w:pPr>
      <w:r>
        <w:t>Both CI pipelines pass from clean checkouts, and documented test commands match them.</w:t>
      </w:r>
    </w:p>
    <w:p>
      <w:pPr>
        <w:pStyle w:val="Heading2"/>
      </w:pPr>
      <w:r>
        <w:t>PAW-001B  Durable ingestion pipeline</w:t>
      </w:r>
    </w:p>
    <w:p>
      <w:r>
        <w:t>An authenticated user can submit one supported document, obtain a stable document identifier, follow processing state, and recover from ordinary transient failures without losing the original.</w:t>
      </w:r>
    </w:p>
    <w:p>
      <w:pPr>
        <w:keepNext/>
      </w:pPr>
      <w:r>
        <w:rPr>
          <w:b/>
        </w:rPr>
        <w:t>Implementation scope</w:t>
      </w:r>
    </w:p>
    <w:p>
      <w:pPr>
        <w:pStyle w:val="ListBullet"/>
        <w:spacing w:after="40"/>
        <w:ind w:left="374"/>
      </w:pPr>
      <w:r>
        <w:t>Implement authorized multipart upload with allowlisted extensions and MIME sniffing, bounded size, safe filenames, streaming transfer, hash calculation, and storage checksum verification.</w:t>
      </w:r>
    </w:p>
    <w:p>
      <w:pPr>
        <w:pStyle w:val="ListBullet"/>
        <w:spacing w:after="40"/>
        <w:ind w:left="374"/>
      </w:pPr>
      <w:r>
        <w:t>Create normalized document, document version, ingestion job, and chunk schema with workspace_id, parser_version, embedding_model, source offsets, and error fields.</w:t>
      </w:r>
    </w:p>
    <w:p>
      <w:pPr>
        <w:pStyle w:val="ListBullet"/>
        <w:spacing w:after="40"/>
        <w:ind w:left="374"/>
      </w:pPr>
      <w:r>
        <w:t>Parse UTF-8 text, Markdown, and text-based PDFs; detect scans with little/no extractable text and mark unsupported rather than pretending ingestion succeeded.</w:t>
      </w:r>
    </w:p>
    <w:p>
      <w:pPr>
        <w:pStyle w:val="ListBullet"/>
        <w:spacing w:after="40"/>
        <w:ind w:left="374"/>
      </w:pPr>
      <w:r>
        <w:t>Design deterministic chunking with stable order and overlap configuration; preserve PDF page identifiers and text section boundaries when available.</w:t>
      </w:r>
    </w:p>
    <w:p>
      <w:pPr>
        <w:pStyle w:val="ListBullet"/>
        <w:spacing w:after="40"/>
        <w:ind w:left="374"/>
      </w:pPr>
      <w:r>
        <w:t>Record stage checkpoints; use retryable background work with bounded exponential retry, dead-letter visibility, and idempotent finalization.</w:t>
      </w:r>
    </w:p>
    <w:p>
      <w:pPr>
        <w:pStyle w:val="Heading3"/>
      </w:pPr>
      <w:r>
        <w:t>Detailed requirements</w:t>
      </w:r>
    </w:p>
    <w:p>
      <w:pPr>
        <w:spacing w:after="60"/>
      </w:pPr>
      <w:r>
        <w:rPr>
          <w:b/>
          <w:color w:val="182D48"/>
        </w:rPr>
        <w:t xml:space="preserve">001B-R01  </w:t>
      </w:r>
      <w:r>
        <w:t>Each upload MUST be associated with an authenticated actor and workspace. Unsupported, oversized, corrupt, or maliciously named files MUST be rejected without creating a searchable document.</w:t>
      </w:r>
    </w:p>
    <w:p>
      <w:pPr>
        <w:spacing w:after="120"/>
        <w:ind w:left="259"/>
      </w:pPr>
      <w:r>
        <w:rPr>
          <w:b/>
          <w:sz w:val="18"/>
        </w:rPr>
        <w:t xml:space="preserve">Verification  </w:t>
      </w:r>
      <w:r>
        <w:t>Upload valid fixtures and invalid MIME, size, binary, traversal, and truncated PDF cases.</w:t>
      </w:r>
    </w:p>
    <w:p>
      <w:pPr>
        <w:spacing w:after="60"/>
      </w:pPr>
      <w:r>
        <w:rPr>
          <w:b/>
          <w:color w:val="182D48"/>
        </w:rPr>
        <w:t xml:space="preserve">001B-R02  </w:t>
      </w:r>
      <w:r>
        <w:t>The exact original MUST be preserved with content hash and durable object reference before processing is queued. A failed downstream parser MUST NOT erase the original.</w:t>
      </w:r>
    </w:p>
    <w:p>
      <w:pPr>
        <w:spacing w:after="120"/>
        <w:ind w:left="259"/>
      </w:pPr>
      <w:r>
        <w:rPr>
          <w:b/>
          <w:sz w:val="18"/>
        </w:rPr>
        <w:t xml:space="preserve">Verification  </w:t>
      </w:r>
      <w:r>
        <w:t>Force parser exception and inspect object and document failure record.</w:t>
      </w:r>
    </w:p>
    <w:p>
      <w:pPr>
        <w:spacing w:after="60"/>
      </w:pPr>
      <w:r>
        <w:rPr>
          <w:b/>
          <w:color w:val="182D48"/>
        </w:rPr>
        <w:t xml:space="preserve">001B-R03  </w:t>
      </w:r>
      <w:r>
        <w:t>The ingestion state machine MUST expose RECEIVED, STORED, EXTRACTING, CHUNKING, EMBEDDING, INDEXING, COMPLETED, FAILED, and UNSUPPORTED states or a documented equivalent.</w:t>
      </w:r>
    </w:p>
    <w:p>
      <w:pPr>
        <w:spacing w:after="120"/>
        <w:ind w:left="259"/>
      </w:pPr>
      <w:r>
        <w:rPr>
          <w:b/>
          <w:sz w:val="18"/>
        </w:rPr>
        <w:t xml:space="preserve">Verification  </w:t>
      </w:r>
      <w:r>
        <w:t>Integration test verifies legal states, timestamps, and terminal failure reason.</w:t>
      </w:r>
    </w:p>
    <w:p>
      <w:pPr>
        <w:spacing w:after="60"/>
      </w:pPr>
      <w:r>
        <w:rPr>
          <w:b/>
          <w:color w:val="182D48"/>
        </w:rPr>
        <w:t xml:space="preserve">001B-R04  </w:t>
      </w:r>
      <w:r>
        <w:t>Text extraction MUST retain source coordinates where available and record parser version; empty extraction MUST generate explicit UNSUPPORTED or FAILED status.</w:t>
      </w:r>
    </w:p>
    <w:p>
      <w:pPr>
        <w:spacing w:after="120"/>
        <w:ind w:left="259"/>
      </w:pPr>
      <w:r>
        <w:rPr>
          <w:b/>
          <w:sz w:val="18"/>
        </w:rPr>
        <w:t xml:space="preserve">Verification  </w:t>
      </w:r>
      <w:r>
        <w:t>Run text PDF, image-only PDF, Markdown heading, blank file, and Unicode fixtures.</w:t>
      </w:r>
    </w:p>
    <w:p>
      <w:pPr>
        <w:spacing w:after="60"/>
      </w:pPr>
      <w:r>
        <w:rPr>
          <w:b/>
          <w:color w:val="182D48"/>
        </w:rPr>
        <w:t xml:space="preserve">001B-R05  </w:t>
      </w:r>
      <w:r>
        <w:t>Reingesting identical bytes with identical processing configuration MUST be idempotent or produce an intentional new version without duplicate active chunks.</w:t>
      </w:r>
    </w:p>
    <w:p>
      <w:pPr>
        <w:spacing w:after="120"/>
        <w:ind w:left="259"/>
      </w:pPr>
      <w:r>
        <w:rPr>
          <w:b/>
          <w:sz w:val="18"/>
        </w:rPr>
        <w:t xml:space="preserve">Verification  </w:t>
      </w:r>
      <w:r>
        <w:t>Send concurrent duplicate uploads, restart worker, compare active version and chunk uniqueness.</w:t>
      </w:r>
    </w:p>
    <w:p>
      <w:pPr>
        <w:spacing w:after="60"/>
      </w:pPr>
      <w:r>
        <w:rPr>
          <w:b/>
          <w:color w:val="182D48"/>
        </w:rPr>
        <w:t xml:space="preserve">001B-R06  </w:t>
      </w:r>
      <w:r>
        <w:t>Embedding calls MUST use an adapter with timeout, retryable error classification, request budgeting, dimension validation, and model-version metadata.</w:t>
      </w:r>
    </w:p>
    <w:p>
      <w:pPr>
        <w:spacing w:after="120"/>
        <w:ind w:left="259"/>
      </w:pPr>
      <w:r>
        <w:rPr>
          <w:b/>
          <w:sz w:val="18"/>
        </w:rPr>
        <w:t xml:space="preserve">Verification  </w:t>
      </w:r>
      <w:r>
        <w:t>Mock 429, timeout, malformed dimension, and partial batch responses; assert no partial completed state.</w:t>
      </w:r>
    </w:p>
    <w:p>
      <w:pPr>
        <w:spacing w:after="60"/>
      </w:pPr>
      <w:r>
        <w:rPr>
          <w:b/>
          <w:color w:val="182D48"/>
        </w:rPr>
        <w:t xml:space="preserve">001B-R07  </w:t>
      </w:r>
      <w:r>
        <w:t>Retries MUST resume from durable checkpoints and use leases or equivalent ownership to avoid competing workers finalizing the same stage.</w:t>
      </w:r>
    </w:p>
    <w:p>
      <w:pPr>
        <w:spacing w:after="120"/>
        <w:ind w:left="259"/>
      </w:pPr>
      <w:r>
        <w:rPr>
          <w:b/>
          <w:sz w:val="18"/>
        </w:rPr>
        <w:t xml:space="preserve">Verification  </w:t>
      </w:r>
      <w:r>
        <w:t>Terminate worker mid-embedding; restart; confirm eventual consistent completion or recorded failure.</w:t>
      </w:r>
    </w:p>
    <w:p>
      <w:pPr>
        <w:pStyle w:val="Heading3"/>
      </w:pPr>
      <w:r>
        <w:t>Acceptance conditions</w:t>
      </w:r>
    </w:p>
    <w:p>
      <w:pPr>
        <w:pStyle w:val="ListBullet"/>
        <w:spacing w:after="40"/>
        <w:ind w:left="374"/>
      </w:pPr>
      <w:r>
        <w:t>A supported file becomes COMPLETED with a verifiable original, extracted text, and indexed chunks.</w:t>
      </w:r>
    </w:p>
    <w:p>
      <w:pPr>
        <w:pStyle w:val="ListBullet"/>
        <w:spacing w:after="40"/>
        <w:ind w:left="374"/>
      </w:pPr>
      <w:r>
        <w:t>An image-only PDF is rejected with understandable status rather than silently yielding zero passages.</w:t>
      </w:r>
    </w:p>
    <w:p>
      <w:pPr>
        <w:pStyle w:val="ListBullet"/>
        <w:spacing w:after="40"/>
        <w:ind w:left="374"/>
      </w:pPr>
      <w:r>
        <w:t>Worker restart and duplicate submission produce no duplicate active index entries.</w:t>
      </w:r>
    </w:p>
    <w:p>
      <w:pPr>
        <w:pStyle w:val="Heading2"/>
      </w:pPr>
      <w:r>
        <w:t>PAW-001C  Hybrid retrieval and browser workflow</w:t>
      </w:r>
    </w:p>
    <w:p>
      <w:r>
        <w:t>The user can list uploaded documents, see processing states, enter a search query, and inspect relevant passages with source locations; retrieval works independently of generative answering.</w:t>
      </w:r>
    </w:p>
    <w:p>
      <w:pPr>
        <w:keepNext/>
      </w:pPr>
      <w:r>
        <w:rPr>
          <w:b/>
        </w:rPr>
        <w:t>Implementation scope</w:t>
      </w:r>
    </w:p>
    <w:p>
      <w:pPr>
        <w:pStyle w:val="ListBullet"/>
        <w:spacing w:after="40"/>
        <w:ind w:left="374"/>
      </w:pPr>
      <w:r>
        <w:t>Implement query embedding and PostgreSQL full-text search, combine ranked candidate sets using configurable fusion with deterministic tie breaking.</w:t>
      </w:r>
    </w:p>
    <w:p>
      <w:pPr>
        <w:pStyle w:val="ListBullet"/>
        <w:spacing w:after="40"/>
        <w:ind w:left="374"/>
      </w:pPr>
      <w:r>
        <w:t>Define a retrieval contract with query, workspace filter, optional document filter, top_k bounds, pagination or cursor design, and score metadata.</w:t>
      </w:r>
    </w:p>
    <w:p>
      <w:pPr>
        <w:pStyle w:val="ListBullet"/>
        <w:spacing w:after="40"/>
        <w:ind w:left="374"/>
      </w:pPr>
      <w:r>
        <w:t>Implement a responsive document-list and upload status interface; display search results with escaped excerpts, document names, page references, and explanatory empty/error states.</w:t>
      </w:r>
    </w:p>
    <w:p>
      <w:pPr>
        <w:pStyle w:val="ListBullet"/>
        <w:spacing w:after="40"/>
        <w:ind w:left="374"/>
      </w:pPr>
      <w:r>
        <w:t>Create a fixed evaluation corpus with keyword, synonym, adversarial, duplicate, cross-workspace, and no-match queries.</w:t>
      </w:r>
    </w:p>
    <w:p>
      <w:pPr>
        <w:pStyle w:val="ListBullet"/>
        <w:spacing w:after="40"/>
        <w:ind w:left="374"/>
      </w:pPr>
      <w:r>
        <w:t>Instrument retrieval latency and selected result identifiers without indiscriminately storing sensitive query contents.</w:t>
      </w:r>
    </w:p>
    <w:p>
      <w:pPr>
        <w:pStyle w:val="Heading3"/>
      </w:pPr>
      <w:r>
        <w:t>Detailed requirements</w:t>
      </w:r>
    </w:p>
    <w:p>
      <w:pPr>
        <w:spacing w:after="60"/>
      </w:pPr>
      <w:r>
        <w:rPr>
          <w:b/>
          <w:color w:val="182D48"/>
        </w:rPr>
        <w:t xml:space="preserve">001C-R01  </w:t>
      </w:r>
      <w:r>
        <w:t>Search MUST filter by authorized workspace in SQL before returning content; a client-supplied workspace or document ID MUST NOT bypass the caller scope.</w:t>
      </w:r>
    </w:p>
    <w:p>
      <w:pPr>
        <w:spacing w:after="120"/>
        <w:ind w:left="259"/>
      </w:pPr>
      <w:r>
        <w:rPr>
          <w:b/>
          <w:sz w:val="18"/>
        </w:rPr>
        <w:t xml:space="preserve">Verification  </w:t>
      </w:r>
      <w:r>
        <w:t>Two-workspace integration tests, unauthorized ID enumeration, and direct API access assertions.</w:t>
      </w:r>
    </w:p>
    <w:p>
      <w:pPr>
        <w:spacing w:after="60"/>
      </w:pPr>
      <w:r>
        <w:rPr>
          <w:b/>
          <w:color w:val="182D48"/>
        </w:rPr>
        <w:t xml:space="preserve">001C-R02  </w:t>
      </w:r>
      <w:r>
        <w:t>Results MUST include document_id, document_version_id, chunk_id, excerpt, source location, retrieval method, and stable display metadata.</w:t>
      </w:r>
    </w:p>
    <w:p>
      <w:pPr>
        <w:spacing w:after="120"/>
        <w:ind w:left="259"/>
      </w:pPr>
      <w:r>
        <w:rPr>
          <w:b/>
          <w:sz w:val="18"/>
        </w:rPr>
        <w:t xml:space="preserve">Verification  </w:t>
      </w:r>
      <w:r>
        <w:t>Snapshot response schema and click source from browser; references resolve to the same version.</w:t>
      </w:r>
    </w:p>
    <w:p>
      <w:pPr>
        <w:spacing w:after="60"/>
      </w:pPr>
      <w:r>
        <w:rPr>
          <w:b/>
          <w:color w:val="182D48"/>
        </w:rPr>
        <w:t xml:space="preserve">001C-R03  </w:t>
      </w:r>
      <w:r>
        <w:t>Retrieval MUST handle missing embeddings and lexical fallback explicitly; scores from different methods MUST NOT be presented as calibrated probabilities.</w:t>
      </w:r>
    </w:p>
    <w:p>
      <w:pPr>
        <w:spacing w:after="120"/>
        <w:ind w:left="259"/>
      </w:pPr>
      <w:r>
        <w:rPr>
          <w:b/>
          <w:sz w:val="18"/>
        </w:rPr>
        <w:t xml:space="preserve">Verification  </w:t>
      </w:r>
      <w:r>
        <w:t>Disable embedding provider, query known lexical term, confirm typed degradation response.</w:t>
      </w:r>
    </w:p>
    <w:p>
      <w:pPr>
        <w:spacing w:after="60"/>
      </w:pPr>
      <w:r>
        <w:rPr>
          <w:b/>
          <w:color w:val="182D48"/>
        </w:rPr>
        <w:t xml:space="preserve">001C-R04  </w:t>
      </w:r>
      <w:r>
        <w:t>The UI MUST show upload progress or submission acknowledgment, then durable processing status after refresh; browser navigation MUST NOT cancel background ingestion.</w:t>
      </w:r>
    </w:p>
    <w:p>
      <w:pPr>
        <w:spacing w:after="120"/>
        <w:ind w:left="259"/>
      </w:pPr>
      <w:r>
        <w:rPr>
          <w:b/>
          <w:sz w:val="18"/>
        </w:rPr>
        <w:t xml:space="preserve">Verification  </w:t>
      </w:r>
      <w:r>
        <w:t>Playwright leaves and returns during processing and checks persisted status.</w:t>
      </w:r>
    </w:p>
    <w:p>
      <w:pPr>
        <w:spacing w:after="60"/>
      </w:pPr>
      <w:r>
        <w:rPr>
          <w:b/>
          <w:color w:val="182D48"/>
        </w:rPr>
        <w:t xml:space="preserve">001C-R05  </w:t>
      </w:r>
      <w:r>
        <w:t>Search MUST enforce nonempty query, bounded top_k, rate limits, escaped rendering, and predictable 0-result behavior.</w:t>
      </w:r>
    </w:p>
    <w:p>
      <w:pPr>
        <w:spacing w:after="120"/>
        <w:ind w:left="259"/>
      </w:pPr>
      <w:r>
        <w:rPr>
          <w:b/>
          <w:sz w:val="18"/>
        </w:rPr>
        <w:t xml:space="preserve">Verification  </w:t>
      </w:r>
      <w:r>
        <w:t>Parameter fuzz tests, rate-limit test, and an HTML-containing document fixture.</w:t>
      </w:r>
    </w:p>
    <w:p>
      <w:pPr>
        <w:spacing w:after="60"/>
      </w:pPr>
      <w:r>
        <w:rPr>
          <w:b/>
          <w:color w:val="182D48"/>
        </w:rPr>
        <w:t xml:space="preserve">001C-R06  </w:t>
      </w:r>
      <w:r>
        <w:t>Retrieval quality MUST have a regression fixture suite that records expected relevant source chunks; the benchmark MUST be rerun when chunking or embedding models change.</w:t>
      </w:r>
    </w:p>
    <w:p>
      <w:pPr>
        <w:spacing w:after="120"/>
        <w:ind w:left="259"/>
      </w:pPr>
      <w:r>
        <w:rPr>
          <w:b/>
          <w:sz w:val="18"/>
        </w:rPr>
        <w:t xml:space="preserve">Verification  </w:t>
      </w:r>
      <w:r>
        <w:t>Run fixture corpus in CI with deterministic embeddings for contract tests and a separately marked live quality smoke.</w:t>
      </w:r>
    </w:p>
    <w:p>
      <w:pPr>
        <w:pStyle w:val="Heading3"/>
      </w:pPr>
      <w:r>
        <w:t>Acceptance conditions</w:t>
      </w:r>
    </w:p>
    <w:p>
      <w:pPr>
        <w:pStyle w:val="ListBullet"/>
        <w:spacing w:after="40"/>
        <w:ind w:left="374"/>
      </w:pPr>
      <w:r>
        <w:t>An external browser retrieves a known fact from a newly uploaded document and opens the matching source reference.</w:t>
      </w:r>
    </w:p>
    <w:p>
      <w:pPr>
        <w:pStyle w:val="ListBullet"/>
        <w:spacing w:after="40"/>
        <w:ind w:left="374"/>
      </w:pPr>
      <w:r>
        <w:t>An authorized user cannot retrieve another workspace fixture by guessing its ID.</w:t>
      </w:r>
    </w:p>
    <w:p>
      <w:pPr>
        <w:pStyle w:val="ListBullet"/>
        <w:spacing w:after="40"/>
        <w:ind w:left="374"/>
      </w:pPr>
      <w:r>
        <w:t>The UI handles provider unavailability and no-result searches without crashing.</w:t>
      </w:r>
    </w:p>
    <w:p>
      <w:pPr>
        <w:pStyle w:val="Heading2"/>
      </w:pPr>
      <w:r>
        <w:t>PAW-001D  Cloud release and production operations</w:t>
      </w:r>
    </w:p>
    <w:p>
      <w:r>
        <w:t>The two-repository application runs under HTTPS in a cloud environment. Tested artifacts deploy repeatably, backups and rollbacks are exercised, and an outside-browser smoke test verifies ingestion and retrieval.</w:t>
      </w:r>
    </w:p>
    <w:p>
      <w:pPr>
        <w:keepNext/>
      </w:pPr>
      <w:r>
        <w:rPr>
          <w:b/>
        </w:rPr>
        <w:t>Implementation scope</w:t>
      </w:r>
    </w:p>
    <w:p>
      <w:pPr>
        <w:pStyle w:val="ListBullet"/>
        <w:spacing w:after="40"/>
        <w:ind w:left="374"/>
      </w:pPr>
      <w:r>
        <w:t>Provision cloud host, HTTPS reverse proxy, private DB/network, durable volumes, object bucket, nonroot containers, and firewall policy.</w:t>
      </w:r>
    </w:p>
    <w:p>
      <w:pPr>
        <w:pStyle w:val="ListBullet"/>
        <w:spacing w:after="40"/>
        <w:ind w:left="374"/>
      </w:pPr>
      <w:r>
        <w:t>Build immutable web and API images from reviewed commits; record digest, release revision, migration version, and environment configuration hash.</w:t>
      </w:r>
    </w:p>
    <w:p>
      <w:pPr>
        <w:pStyle w:val="ListBullet"/>
        <w:spacing w:after="40"/>
        <w:ind w:left="374"/>
      </w:pPr>
      <w:r>
        <w:t>Define staging or an isolated release-validation target; gate promotion on automated checks and explicit owner approval for production.</w:t>
      </w:r>
    </w:p>
    <w:p>
      <w:pPr>
        <w:pStyle w:val="ListBullet"/>
        <w:spacing w:after="40"/>
        <w:ind w:left="374"/>
      </w:pPr>
      <w:r>
        <w:t>Run remote smoke path using a synthetic authenticated test user and disposable document; verify complete ingestion, retrieval, restart persistence, and source references.</w:t>
      </w:r>
    </w:p>
    <w:p>
      <w:pPr>
        <w:pStyle w:val="ListBullet"/>
        <w:spacing w:after="40"/>
        <w:ind w:left="374"/>
      </w:pPr>
      <w:r>
        <w:t>Implement encrypted PostgreSQL backup and object storage retention policy; execute at least one restore drill and document expected data loss and recovery time.</w:t>
      </w:r>
    </w:p>
    <w:p>
      <w:pPr>
        <w:pStyle w:val="ListBullet"/>
        <w:spacing w:after="40"/>
        <w:ind w:left="374"/>
      </w:pPr>
      <w:r>
        <w:t>Publish operational runbooks for deploy, rollback, queue stalls, failed migrations, embedding outage, storage outage, credential rotation, and restore.</w:t>
      </w:r>
    </w:p>
    <w:p>
      <w:pPr>
        <w:pStyle w:val="Heading3"/>
      </w:pPr>
      <w:r>
        <w:t>Detailed requirements</w:t>
      </w:r>
    </w:p>
    <w:p>
      <w:pPr>
        <w:spacing w:after="60"/>
      </w:pPr>
      <w:r>
        <w:rPr>
          <w:b/>
          <w:color w:val="182D48"/>
        </w:rPr>
        <w:t xml:space="preserve">001D-R01  </w:t>
      </w:r>
      <w:r>
        <w:t>Production web and API endpoints MUST use HTTPS and valid hostnames; PostgreSQL, worker, admin endpoints, and management ports MUST not be publicly reachable.</w:t>
      </w:r>
    </w:p>
    <w:p>
      <w:pPr>
        <w:spacing w:after="120"/>
        <w:ind w:left="259"/>
      </w:pPr>
      <w:r>
        <w:rPr>
          <w:b/>
          <w:sz w:val="18"/>
        </w:rPr>
        <w:t xml:space="preserve">Verification  </w:t>
      </w:r>
      <w:r>
        <w:t>External network scan, TLS browser test, and firewall inspection.</w:t>
      </w:r>
    </w:p>
    <w:p>
      <w:pPr>
        <w:spacing w:after="60"/>
      </w:pPr>
      <w:r>
        <w:rPr>
          <w:b/>
          <w:color w:val="182D48"/>
        </w:rPr>
        <w:t xml:space="preserve">001D-R02  </w:t>
      </w:r>
      <w:r>
        <w:t>A release MUST identify exact frontend and backend commits and immutable image digests; CI MUST NOT deploy untested builds or expose secrets to untrusted PR jobs.</w:t>
      </w:r>
    </w:p>
    <w:p>
      <w:pPr>
        <w:spacing w:after="120"/>
        <w:ind w:left="259"/>
      </w:pPr>
      <w:r>
        <w:rPr>
          <w:b/>
          <w:sz w:val="18"/>
        </w:rPr>
        <w:t xml:space="preserve">Verification  </w:t>
      </w:r>
      <w:r>
        <w:t>Review CI logs, provenance, branch protections, and staging-to-release procedure.</w:t>
      </w:r>
    </w:p>
    <w:p>
      <w:pPr>
        <w:spacing w:after="60"/>
      </w:pPr>
      <w:r>
        <w:rPr>
          <w:b/>
          <w:color w:val="182D48"/>
        </w:rPr>
        <w:t xml:space="preserve">001D-R03  </w:t>
      </w:r>
      <w:r>
        <w:t>Database migrations MUST be versioned, forward compatible with running application version, and backed by a documented rollback/restore decision.</w:t>
      </w:r>
    </w:p>
    <w:p>
      <w:pPr>
        <w:spacing w:after="120"/>
        <w:ind w:left="259"/>
      </w:pPr>
      <w:r>
        <w:rPr>
          <w:b/>
          <w:sz w:val="18"/>
        </w:rPr>
        <w:t xml:space="preserve">Verification  </w:t>
      </w:r>
      <w:r>
        <w:t>Stage a nontrivial migration and intentionally test failure handling.</w:t>
      </w:r>
    </w:p>
    <w:p>
      <w:pPr>
        <w:spacing w:after="60"/>
      </w:pPr>
      <w:r>
        <w:rPr>
          <w:b/>
          <w:color w:val="182D48"/>
        </w:rPr>
        <w:t xml:space="preserve">001D-R04  </w:t>
      </w:r>
      <w:r>
        <w:t>Health/readiness and structured logs MUST expose failed ingest jobs, database unavailability, worker stalling, and object-store failures without logging document contents or credentials.</w:t>
      </w:r>
    </w:p>
    <w:p>
      <w:pPr>
        <w:spacing w:after="120"/>
        <w:ind w:left="259"/>
      </w:pPr>
      <w:r>
        <w:rPr>
          <w:b/>
          <w:sz w:val="18"/>
        </w:rPr>
        <w:t xml:space="preserve">Verification  </w:t>
      </w:r>
      <w:r>
        <w:t>Inject faults and confirm logs, readiness, and operational response.</w:t>
      </w:r>
    </w:p>
    <w:p>
      <w:pPr>
        <w:spacing w:after="60"/>
      </w:pPr>
      <w:r>
        <w:rPr>
          <w:b/>
          <w:color w:val="182D48"/>
        </w:rPr>
        <w:t xml:space="preserve">001D-R05  </w:t>
      </w:r>
      <w:r>
        <w:t>Completed records and objects MUST survive container replacement, application redeployment, and a planned host reboot.</w:t>
      </w:r>
    </w:p>
    <w:p>
      <w:pPr>
        <w:spacing w:after="120"/>
        <w:ind w:left="259"/>
      </w:pPr>
      <w:r>
        <w:rPr>
          <w:b/>
          <w:sz w:val="18"/>
        </w:rPr>
        <w:t xml:space="preserve">Verification  </w:t>
      </w:r>
      <w:r>
        <w:t>Perform each operation and rerun remote retrieval of known source fixture.</w:t>
      </w:r>
    </w:p>
    <w:p>
      <w:pPr>
        <w:spacing w:after="60"/>
      </w:pPr>
      <w:r>
        <w:rPr>
          <w:b/>
          <w:color w:val="182D48"/>
        </w:rPr>
        <w:t xml:space="preserve">001D-R06  </w:t>
      </w:r>
      <w:r>
        <w:t>A backup MUST restore to a separate environment and pass referential integrity and sample-retrieval checks. A backup job without a restore test is insufficient.</w:t>
      </w:r>
    </w:p>
    <w:p>
      <w:pPr>
        <w:spacing w:after="120"/>
        <w:ind w:left="259"/>
      </w:pPr>
      <w:r>
        <w:rPr>
          <w:b/>
          <w:sz w:val="18"/>
        </w:rPr>
        <w:t xml:space="preserve">Verification  </w:t>
      </w:r>
      <w:r>
        <w:t>Record restore timestamp, snapshot ID, checksums, restored row counts, and query verification.</w:t>
      </w:r>
    </w:p>
    <w:p>
      <w:pPr>
        <w:pStyle w:val="Heading3"/>
      </w:pPr>
      <w:r>
        <w:t>Acceptance conditions</w:t>
      </w:r>
    </w:p>
    <w:p>
      <w:pPr>
        <w:pStyle w:val="ListBullet"/>
        <w:spacing w:after="40"/>
        <w:ind w:left="374"/>
      </w:pPr>
      <w:r>
        <w:t>Bharat signs in from a mobile browser on another network and completes upload-to-retrieval over HTTPS.</w:t>
      </w:r>
    </w:p>
    <w:p>
      <w:pPr>
        <w:pStyle w:val="ListBullet"/>
        <w:spacing w:after="40"/>
        <w:ind w:left="374"/>
      </w:pPr>
      <w:r>
        <w:t>The release procedure records commits, image versions, CI evidence, deployment time, and rollback target.</w:t>
      </w:r>
    </w:p>
    <w:p>
      <w:pPr>
        <w:pStyle w:val="ListBullet"/>
        <w:spacing w:after="40"/>
        <w:ind w:left="374"/>
      </w:pPr>
      <w:r>
        <w:t>An application redeploy and a restore rehearsal preserve valid retrieval of seeded fixtures.</w:t>
      </w:r>
    </w:p>
    <w:p>
      <w:pPr>
        <w:pStyle w:val="Heading1"/>
      </w:pPr>
      <w:r>
        <w:t>Persistent data contracts</w:t>
      </w:r>
    </w:p>
    <w:p>
      <w:r>
        <w:t>The schema below is a contract, not a claim that every column is final. IDs are UUIDs internally; every record with user data carries a workspace scope. Original bytes, normalized passages, and derived vectors are distinct representations joined by immutable source and processing versions.</w:t>
      </w:r>
    </w:p>
    <w:tbl>
      <w:tblPr>
        <w:tblW w:type="auto" w:w="0"/>
        <w:jc w:val="center"/>
        <w:tblLayout w:type="fixed"/>
        <w:tblLook w:firstColumn="1" w:firstRow="1" w:lastColumn="0" w:lastRow="0" w:noHBand="0" w:noVBand="1" w:val="04A0"/>
      </w:tblPr>
      <w:tblGrid>
        <w:gridCol w:w="2088"/>
        <w:gridCol w:w="5112"/>
        <w:gridCol w:w="2650"/>
      </w:tblGrid>
      <w:tr>
        <w:trPr>
          <w:tblHeader w:val="true"/>
        </w:trPr>
        <w:tc>
          <w:tcPr>
            <w:tcW w:type="dxa" w:w="3283"/>
            <w:shd w:fill="19354F"/>
            <w:vAlign w:val="center"/>
            <w:tcMar>
              <w:top w:w="110" w:type="dxa"/>
              <w:start w:w="120" w:type="dxa"/>
              <w:bottom w:w="110" w:type="dxa"/>
              <w:end w:w="120" w:type="dxa"/>
            </w:tcMar>
            <w:tcBorders>
              <w:top w:val="single" w:color="D9D9D9" w:sz="4"/>
              <w:left w:val="single" w:color="D9D9D9" w:sz="4"/>
              <w:bottom w:val="single" w:color="D9D9D9" w:sz="4"/>
              <w:right w:val="single" w:color="D9D9D9" w:sz="4"/>
            </w:tcBorders>
          </w:tcPr>
          <w:p>
            <w:r>
              <w:rPr>
                <w:b/>
                <w:color w:val="FFFFFF"/>
                <w:sz w:val="17"/>
              </w:rPr>
              <w:t>Entity</w:t>
            </w:r>
          </w:p>
        </w:tc>
        <w:tc>
          <w:tcPr>
            <w:tcW w:type="dxa" w:w="3283"/>
            <w:shd w:fill="19354F"/>
            <w:vAlign w:val="center"/>
            <w:tcMar>
              <w:top w:w="110" w:type="dxa"/>
              <w:start w:w="120" w:type="dxa"/>
              <w:bottom w:w="110" w:type="dxa"/>
              <w:end w:w="120" w:type="dxa"/>
            </w:tcMar>
            <w:tcBorders>
              <w:top w:val="single" w:color="D9D9D9" w:sz="4"/>
              <w:left w:val="single" w:color="D9D9D9" w:sz="4"/>
              <w:bottom w:val="single" w:color="D9D9D9" w:sz="4"/>
              <w:right w:val="single" w:color="D9D9D9" w:sz="4"/>
            </w:tcBorders>
          </w:tcPr>
          <w:p>
            <w:r>
              <w:rPr>
                <w:b/>
                <w:color w:val="FFFFFF"/>
                <w:sz w:val="17"/>
              </w:rPr>
              <w:t>Required fields and invariants</w:t>
            </w:r>
          </w:p>
        </w:tc>
        <w:tc>
          <w:tcPr>
            <w:tcW w:type="dxa" w:w="3283"/>
            <w:shd w:fill="19354F"/>
            <w:vAlign w:val="center"/>
            <w:tcMar>
              <w:top w:w="110" w:type="dxa"/>
              <w:start w:w="120" w:type="dxa"/>
              <w:bottom w:w="110" w:type="dxa"/>
              <w:end w:w="120" w:type="dxa"/>
            </w:tcMar>
            <w:tcBorders>
              <w:top w:val="single" w:color="D9D9D9" w:sz="4"/>
              <w:left w:val="single" w:color="D9D9D9" w:sz="4"/>
              <w:bottom w:val="single" w:color="D9D9D9" w:sz="4"/>
              <w:right w:val="single" w:color="D9D9D9" w:sz="4"/>
            </w:tcBorders>
          </w:tcPr>
          <w:p>
            <w:r>
              <w:rPr>
                <w:b/>
                <w:color w:val="FFFFFF"/>
                <w:sz w:val="17"/>
              </w:rPr>
              <w:t>Lifecycle or index</w:t>
            </w:r>
          </w:p>
        </w:tc>
      </w:tr>
      <w:tr>
        <w:tc>
          <w:tcPr>
            <w:tcW w:type="dxa" w:w="2088"/>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workspaces</w:t>
            </w:r>
          </w:p>
        </w:tc>
        <w:tc>
          <w:tcPr>
            <w:tcW w:type="dxa" w:w="5112"/>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id, slug, owner_actor_id, created_at, status; provision one default workspace without special-casing all queries.</w:t>
            </w:r>
          </w:p>
        </w:tc>
        <w:tc>
          <w:tcPr>
            <w:tcW w:type="dxa" w:w="2650"/>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Unique slug; filtered access</w:t>
            </w:r>
          </w:p>
        </w:tc>
      </w:tr>
      <w:tr>
        <w:tc>
          <w:tcPr>
            <w:tcW w:type="dxa" w:w="2088"/>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documents</w:t>
            </w:r>
          </w:p>
        </w:tc>
        <w:tc>
          <w:tcPr>
            <w:tcW w:type="dxa" w:w="5112"/>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id, workspace_id, display_name, media_type, current_version_id, created_by, created_at, deleted_at.</w:t>
            </w:r>
          </w:p>
        </w:tc>
        <w:tc>
          <w:tcPr>
            <w:tcW w:type="dxa" w:w="2650"/>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Index workspace and created_at</w:t>
            </w:r>
          </w:p>
        </w:tc>
      </w:tr>
      <w:tr>
        <w:tc>
          <w:tcPr>
            <w:tcW w:type="dxa" w:w="2088"/>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document_versions</w:t>
            </w:r>
          </w:p>
        </w:tc>
        <w:tc>
          <w:tcPr>
            <w:tcW w:type="dxa" w:w="5112"/>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id, document_id, sha256, object_key, size_bytes, parser_version, status, ingest_config_hash, error_code.</w:t>
            </w:r>
          </w:p>
        </w:tc>
        <w:tc>
          <w:tcPr>
            <w:tcW w:type="dxa" w:w="2650"/>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Unique document plus version; immutable provenance</w:t>
            </w:r>
          </w:p>
        </w:tc>
      </w:tr>
      <w:tr>
        <w:tc>
          <w:tcPr>
            <w:tcW w:type="dxa" w:w="2088"/>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ingestion_jobs</w:t>
            </w:r>
          </w:p>
        </w:tc>
        <w:tc>
          <w:tcPr>
            <w:tcW w:type="dxa" w:w="5112"/>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id, version_id, stage, lease_owner, attempt_count, checkpoint, next_retry_at, started_at, finished_at.</w:t>
            </w:r>
          </w:p>
        </w:tc>
        <w:tc>
          <w:tcPr>
            <w:tcW w:type="dxa" w:w="2650"/>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Lease and retry indexes</w:t>
            </w:r>
          </w:p>
        </w:tc>
      </w:tr>
      <w:tr>
        <w:tc>
          <w:tcPr>
            <w:tcW w:type="dxa" w:w="2088"/>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document_chunks</w:t>
            </w:r>
          </w:p>
        </w:tc>
        <w:tc>
          <w:tcPr>
            <w:tcW w:type="dxa" w:w="5112"/>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id, version_id, ordinal, text, page_number, source_start, source_end, embedding, embedding_model.</w:t>
            </w:r>
          </w:p>
        </w:tc>
        <w:tc>
          <w:tcPr>
            <w:tcW w:type="dxa" w:w="2650"/>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Unique version and ordinal; FTS and vector indexes</w:t>
            </w:r>
          </w:p>
        </w:tc>
      </w:tr>
      <w:tr>
        <w:tc>
          <w:tcPr>
            <w:tcW w:type="dxa" w:w="2088"/>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retrieval_events</w:t>
            </w:r>
          </w:p>
        </w:tc>
        <w:tc>
          <w:tcPr>
            <w:tcW w:type="dxa" w:w="5112"/>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id, workspace_id, actor_id, query_hash, top_k, latency_ms, result_ids, created_at.</w:t>
            </w:r>
          </w:p>
        </w:tc>
        <w:tc>
          <w:tcPr>
            <w:tcW w:type="dxa" w:w="2650"/>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Redacted retention policy</w:t>
            </w:r>
          </w:p>
        </w:tc>
      </w:tr>
    </w:tbl>
    <w:p>
      <w:pPr>
        <w:spacing w:after="20"/>
      </w:pPr>
    </w:p>
    <w:p>
      <w:pPr>
        <w:pStyle w:val="Heading1"/>
      </w:pPr>
      <w:r>
        <w:t>External and internal API contracts</w:t>
      </w:r>
    </w:p>
    <w:p>
      <w:r>
        <w:t>Publish OpenAPI schemas and a generated/typed client where practical. All operations require identity unless expressly identified as public liveness. Error responses use code, message, correlation_id, and retryable fields. Requests and responses below are normative shapes; the final schema adds exact types, examples, and bounds.</w:t>
      </w:r>
    </w:p>
    <w:tbl>
      <w:tblPr>
        <w:tblW w:type="auto" w:w="0"/>
        <w:jc w:val="center"/>
        <w:tblLayout w:type="fixed"/>
        <w:tblLook w:firstColumn="1" w:firstRow="1" w:lastColumn="0" w:lastRow="0" w:noHBand="0" w:noVBand="1" w:val="04A0"/>
      </w:tblPr>
      <w:tblGrid>
        <w:gridCol w:w="2232"/>
        <w:gridCol w:w="3946"/>
        <w:gridCol w:w="3672"/>
      </w:tblGrid>
      <w:tr>
        <w:trPr>
          <w:tblHeader w:val="true"/>
        </w:trPr>
        <w:tc>
          <w:tcPr>
            <w:tcW w:type="dxa" w:w="3283"/>
            <w:shd w:fill="19354F"/>
            <w:vAlign w:val="center"/>
            <w:tcMar>
              <w:top w:w="110" w:type="dxa"/>
              <w:start w:w="120" w:type="dxa"/>
              <w:bottom w:w="110" w:type="dxa"/>
              <w:end w:w="120" w:type="dxa"/>
            </w:tcMar>
            <w:tcBorders>
              <w:top w:val="single" w:color="D9D9D9" w:sz="4"/>
              <w:left w:val="single" w:color="D9D9D9" w:sz="4"/>
              <w:bottom w:val="single" w:color="D9D9D9" w:sz="4"/>
              <w:right w:val="single" w:color="D9D9D9" w:sz="4"/>
            </w:tcBorders>
          </w:tcPr>
          <w:p>
            <w:r>
              <w:rPr>
                <w:b/>
                <w:color w:val="FFFFFF"/>
                <w:sz w:val="17"/>
              </w:rPr>
              <w:t>Operation</w:t>
            </w:r>
          </w:p>
        </w:tc>
        <w:tc>
          <w:tcPr>
            <w:tcW w:type="dxa" w:w="3283"/>
            <w:shd w:fill="19354F"/>
            <w:vAlign w:val="center"/>
            <w:tcMar>
              <w:top w:w="110" w:type="dxa"/>
              <w:start w:w="120" w:type="dxa"/>
              <w:bottom w:w="110" w:type="dxa"/>
              <w:end w:w="120" w:type="dxa"/>
            </w:tcMar>
            <w:tcBorders>
              <w:top w:val="single" w:color="D9D9D9" w:sz="4"/>
              <w:left w:val="single" w:color="D9D9D9" w:sz="4"/>
              <w:bottom w:val="single" w:color="D9D9D9" w:sz="4"/>
              <w:right w:val="single" w:color="D9D9D9" w:sz="4"/>
            </w:tcBorders>
          </w:tcPr>
          <w:p>
            <w:r>
              <w:rPr>
                <w:b/>
                <w:color w:val="FFFFFF"/>
                <w:sz w:val="17"/>
              </w:rPr>
              <w:t>Request and behavior</w:t>
            </w:r>
          </w:p>
        </w:tc>
        <w:tc>
          <w:tcPr>
            <w:tcW w:type="dxa" w:w="3283"/>
            <w:shd w:fill="19354F"/>
            <w:vAlign w:val="center"/>
            <w:tcMar>
              <w:top w:w="110" w:type="dxa"/>
              <w:start w:w="120" w:type="dxa"/>
              <w:bottom w:w="110" w:type="dxa"/>
              <w:end w:w="120" w:type="dxa"/>
            </w:tcMar>
            <w:tcBorders>
              <w:top w:val="single" w:color="D9D9D9" w:sz="4"/>
              <w:left w:val="single" w:color="D9D9D9" w:sz="4"/>
              <w:bottom w:val="single" w:color="D9D9D9" w:sz="4"/>
              <w:right w:val="single" w:color="D9D9D9" w:sz="4"/>
            </w:tcBorders>
          </w:tcPr>
          <w:p>
            <w:r>
              <w:rPr>
                <w:b/>
                <w:color w:val="FFFFFF"/>
                <w:sz w:val="17"/>
              </w:rPr>
              <w:t>Response and failure</w:t>
            </w:r>
          </w:p>
        </w:tc>
      </w:tr>
      <w:tr>
        <w:tc>
          <w:tcPr>
            <w:tcW w:type="dxa" w:w="2232"/>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GET /health</w:t>
            </w:r>
          </w:p>
        </w:tc>
        <w:tc>
          <w:tcPr>
            <w:tcW w:type="dxa" w:w="3946"/>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No auth; process liveness only.</w:t>
            </w:r>
          </w:p>
        </w:tc>
        <w:tc>
          <w:tcPr>
            <w:tcW w:type="dxa" w:w="3672"/>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200 process alive; no DB internals.</w:t>
            </w:r>
          </w:p>
        </w:tc>
      </w:tr>
      <w:tr>
        <w:tc>
          <w:tcPr>
            <w:tcW w:type="dxa" w:w="2232"/>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GET /ready</w:t>
            </w:r>
          </w:p>
        </w:tc>
        <w:tc>
          <w:tcPr>
            <w:tcW w:type="dxa" w:w="3946"/>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Operational readiness check; public result minimal, detailed check restricted.</w:t>
            </w:r>
          </w:p>
        </w:tc>
        <w:tc>
          <w:tcPr>
            <w:tcW w:type="dxa" w:w="3672"/>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200 ready or 503 dependency unavailable.</w:t>
            </w:r>
          </w:p>
        </w:tc>
      </w:tr>
      <w:tr>
        <w:tc>
          <w:tcPr>
            <w:tcW w:type="dxa" w:w="2232"/>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POST /v1/documents</w:t>
            </w:r>
          </w:p>
        </w:tc>
        <w:tc>
          <w:tcPr>
            <w:tcW w:type="dxa" w:w="3946"/>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Authenticated multipart upload; file and optional idempotency key; size and type validation.</w:t>
            </w:r>
          </w:p>
        </w:tc>
        <w:tc>
          <w:tcPr>
            <w:tcW w:type="dxa" w:w="3672"/>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202 id, version_id, status_url; 401, 413, 415, 422, 429.</w:t>
            </w:r>
          </w:p>
        </w:tc>
      </w:tr>
      <w:tr>
        <w:tc>
          <w:tcPr>
            <w:tcW w:type="dxa" w:w="2232"/>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GET /v1/documents</w:t>
            </w:r>
          </w:p>
        </w:tc>
        <w:tc>
          <w:tcPr>
            <w:tcW w:type="dxa" w:w="3946"/>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Authenticated workspace-scoped list, cursor and status filter.</w:t>
            </w:r>
          </w:p>
        </w:tc>
        <w:tc>
          <w:tcPr>
            <w:tcW w:type="dxa" w:w="3672"/>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200 items and next_cursor; no cross-scope leakage.</w:t>
            </w:r>
          </w:p>
        </w:tc>
      </w:tr>
      <w:tr>
        <w:tc>
          <w:tcPr>
            <w:tcW w:type="dxa" w:w="2232"/>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GET /v1/documents/{id}</w:t>
            </w:r>
          </w:p>
        </w:tc>
        <w:tc>
          <w:tcPr>
            <w:tcW w:type="dxa" w:w="3946"/>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Authenticated owner-scoped metadata, versions, stage and errors.</w:t>
            </w:r>
          </w:p>
        </w:tc>
        <w:tc>
          <w:tcPr>
            <w:tcW w:type="dxa" w:w="3672"/>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200 stable status; 403 or 404 for inaccessible document.</w:t>
            </w:r>
          </w:p>
        </w:tc>
      </w:tr>
      <w:tr>
        <w:tc>
          <w:tcPr>
            <w:tcW w:type="dxa" w:w="2232"/>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POST /v1/retrieval/search</w:t>
            </w:r>
          </w:p>
        </w:tc>
        <w:tc>
          <w:tcPr>
            <w:tcW w:type="dxa" w:w="3946"/>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Query, top_k, optional document_ids, requested fusion version.</w:t>
            </w:r>
          </w:p>
        </w:tc>
        <w:tc>
          <w:tcPr>
            <w:tcW w:type="dxa" w:w="3672"/>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200 passages plus source coordinates, method and response metadata; 422 or 503.</w:t>
            </w:r>
          </w:p>
        </w:tc>
      </w:tr>
    </w:tbl>
    <w:p>
      <w:pPr>
        <w:spacing w:after="20"/>
      </w:pPr>
    </w:p>
    <w:p>
      <w:pPr>
        <w:pStyle w:val="Heading1"/>
      </w:pPr>
      <w:r>
        <w:t>Security privacy and authorization</w:t>
      </w:r>
    </w:p>
    <w:p>
      <w:pPr>
        <w:pStyle w:val="ListBullet"/>
        <w:spacing w:after="40"/>
        <w:ind w:left="374"/>
      </w:pPr>
      <w:r>
        <w:t>Authentication is required before uploads, document listing, document downloads, or retrieval. Apply explicit workspace authorization in every relevant query and storage operation.</w:t>
      </w:r>
    </w:p>
    <w:p>
      <w:pPr>
        <w:pStyle w:val="ListBullet"/>
        <w:spacing w:after="40"/>
        <w:ind w:left="374"/>
      </w:pPr>
      <w:r>
        <w:t>Do not grant the web client object-store secret keys, database URLs, embedding API secrets, or infrastructure credentials; terminate TLS and keep the database private.</w:t>
      </w:r>
    </w:p>
    <w:p>
      <w:pPr>
        <w:pStyle w:val="ListBullet"/>
        <w:spacing w:after="40"/>
        <w:ind w:left="374"/>
      </w:pPr>
      <w:r>
        <w:t>Apply upload limits and MIME verification; reject path traversal and malformed documents; do not execute document-provided instructions or active content.</w:t>
      </w:r>
    </w:p>
    <w:p>
      <w:pPr>
        <w:pStyle w:val="ListBullet"/>
        <w:spacing w:after="40"/>
        <w:ind w:left="374"/>
      </w:pPr>
      <w:r>
        <w:t>Avoid server-side URL fetching in this story to eliminate an early SSRF surface. Sanitize excerpt rendering and return safe diagnostics rather than stack traces.</w:t>
      </w:r>
    </w:p>
    <w:p>
      <w:pPr>
        <w:pStyle w:val="ListBullet"/>
        <w:spacing w:after="40"/>
        <w:ind w:left="374"/>
      </w:pPr>
      <w:r>
        <w:t>Use separate database roles for migrations and runtime access. Redact secrets and raw document text in logs. Cap embedding tokens, retries, and per-workspace daily cost.</w:t>
      </w:r>
    </w:p>
    <w:p>
      <w:pPr>
        <w:pStyle w:val="ListBullet"/>
        <w:spacing w:after="40"/>
        <w:ind w:left="374"/>
      </w:pPr>
      <w:r>
        <w:t>Use retention and deletion rules for original files, derived chunks, backups, and audit records; validate referential cleanup without prematurely deleting originals in failed runs.</w:t>
      </w:r>
    </w:p>
    <w:p>
      <w:pPr>
        <w:pStyle w:val="Heading1"/>
      </w:pPr>
      <w:r>
        <w:t>Nonfunctional and operational requirements</w:t>
      </w:r>
    </w:p>
    <w:tbl>
      <w:tblPr>
        <w:tblW w:type="auto" w:w="0"/>
        <w:jc w:val="center"/>
        <w:tblLayout w:type="fixed"/>
        <w:tblLook w:firstColumn="1" w:firstRow="1" w:lastColumn="0" w:lastRow="0" w:noHBand="0" w:noVBand="1" w:val="04A0"/>
      </w:tblPr>
      <w:tblGrid>
        <w:gridCol w:w="2390"/>
        <w:gridCol w:w="7459"/>
      </w:tblGrid>
      <w:tr>
        <w:trPr>
          <w:tblHeader w:val="true"/>
        </w:trPr>
        <w:tc>
          <w:tcPr>
            <w:tcW w:type="dxa" w:w="4925"/>
            <w:shd w:fill="19354F"/>
            <w:vAlign w:val="center"/>
            <w:tcMar>
              <w:top w:w="110" w:type="dxa"/>
              <w:start w:w="120" w:type="dxa"/>
              <w:bottom w:w="110" w:type="dxa"/>
              <w:end w:w="120" w:type="dxa"/>
            </w:tcMar>
            <w:tcBorders>
              <w:top w:val="single" w:color="D9D9D9" w:sz="4"/>
              <w:left w:val="single" w:color="D9D9D9" w:sz="4"/>
              <w:bottom w:val="single" w:color="D9D9D9" w:sz="4"/>
              <w:right w:val="single" w:color="D9D9D9" w:sz="4"/>
            </w:tcBorders>
          </w:tcPr>
          <w:p>
            <w:r>
              <w:rPr>
                <w:b/>
                <w:color w:val="FFFFFF"/>
                <w:sz w:val="17"/>
              </w:rPr>
              <w:t>Area</w:t>
            </w:r>
          </w:p>
        </w:tc>
        <w:tc>
          <w:tcPr>
            <w:tcW w:type="dxa" w:w="4925"/>
            <w:shd w:fill="19354F"/>
            <w:vAlign w:val="center"/>
            <w:tcMar>
              <w:top w:w="110" w:type="dxa"/>
              <w:start w:w="120" w:type="dxa"/>
              <w:bottom w:w="110" w:type="dxa"/>
              <w:end w:w="120" w:type="dxa"/>
            </w:tcMar>
            <w:tcBorders>
              <w:top w:val="single" w:color="D9D9D9" w:sz="4"/>
              <w:left w:val="single" w:color="D9D9D9" w:sz="4"/>
              <w:bottom w:val="single" w:color="D9D9D9" w:sz="4"/>
              <w:right w:val="single" w:color="D9D9D9" w:sz="4"/>
            </w:tcBorders>
          </w:tcPr>
          <w:p>
            <w:r>
              <w:rPr>
                <w:b/>
                <w:color w:val="FFFFFF"/>
                <w:sz w:val="17"/>
              </w:rPr>
              <w:t>Requirement and verification</w:t>
            </w:r>
          </w:p>
        </w:tc>
      </w:tr>
      <w:tr>
        <w:tc>
          <w:tcPr>
            <w:tcW w:type="dxa" w:w="2390"/>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Availability</w:t>
            </w:r>
          </w:p>
        </w:tc>
        <w:tc>
          <w:tcPr>
            <w:tcW w:type="dxa" w:w="7459"/>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Single-host MVP, best-effort availability; measure downtime. Do not promise high availability without redundancy.</w:t>
            </w:r>
          </w:p>
        </w:tc>
      </w:tr>
      <w:tr>
        <w:tc>
          <w:tcPr>
            <w:tcW w:type="dxa" w:w="2390"/>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Performance</w:t>
            </w:r>
          </w:p>
        </w:tc>
        <w:tc>
          <w:tcPr>
            <w:tcW w:type="dxa" w:w="7459"/>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For a seeded 1,000-document evaluation corpus, target p95 retrieval API latency below 2 seconds excluding optional third-party query embedding; measure and publish environment details.</w:t>
            </w:r>
          </w:p>
        </w:tc>
      </w:tr>
      <w:tr>
        <w:tc>
          <w:tcPr>
            <w:tcW w:type="dxa" w:w="2390"/>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Ingestion limits</w:t>
            </w:r>
          </w:p>
        </w:tc>
        <w:tc>
          <w:tcPr>
            <w:tcW w:type="dxa" w:w="7459"/>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Initial per-file cap proposed at 10 MiB; upload timeout, document length, chunk count, embedding budget, and concurrent worker limits configurable.</w:t>
            </w:r>
          </w:p>
        </w:tc>
      </w:tr>
      <w:tr>
        <w:tc>
          <w:tcPr>
            <w:tcW w:type="dxa" w:w="2390"/>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Data durability</w:t>
            </w:r>
          </w:p>
        </w:tc>
        <w:tc>
          <w:tcPr>
            <w:tcW w:type="dxa" w:w="7459"/>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Proposed RPO of 24 hours and RTO of 4 hours after restore drill; revise based on deployment and verified backup frequency.</w:t>
            </w:r>
          </w:p>
        </w:tc>
      </w:tr>
      <w:tr>
        <w:tc>
          <w:tcPr>
            <w:tcW w:type="dxa" w:w="2390"/>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Observability</w:t>
            </w:r>
          </w:p>
        </w:tc>
        <w:tc>
          <w:tcPr>
            <w:tcW w:type="dxa" w:w="7459"/>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Structured JSON logs with correlation IDs, ingestion run IDs, request latency, queue depth, failure count, cost and selected release version.</w:t>
            </w:r>
          </w:p>
        </w:tc>
      </w:tr>
      <w:tr>
        <w:tc>
          <w:tcPr>
            <w:tcW w:type="dxa" w:w="2390"/>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Accessibility</w:t>
            </w:r>
          </w:p>
        </w:tc>
        <w:tc>
          <w:tcPr>
            <w:tcW w:type="dxa" w:w="7459"/>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Keyboard-accessible controls, clear labels, screen-reader status announcements, responsive layout at small mobile widths.</w:t>
            </w:r>
          </w:p>
        </w:tc>
      </w:tr>
      <w:tr>
        <w:tc>
          <w:tcPr>
            <w:tcW w:type="dxa" w:w="2390"/>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Portability</w:t>
            </w:r>
          </w:p>
        </w:tc>
        <w:tc>
          <w:tcPr>
            <w:tcW w:type="dxa" w:w="7459"/>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Use OpenAPI, SQL migrations, S3-compatible storage adapter and embedding interface; no provider-specific logic in business modules.</w:t>
            </w:r>
          </w:p>
        </w:tc>
      </w:tr>
    </w:tbl>
    <w:p>
      <w:pPr>
        <w:spacing w:after="20"/>
      </w:pPr>
    </w:p>
    <w:p>
      <w:pPr>
        <w:pStyle w:val="Heading1"/>
      </w:pPr>
      <w:r>
        <w:t>Test strategy and traceability</w:t>
      </w:r>
    </w:p>
    <w:p>
      <w:r>
        <w:t>Unit tests must not call paid services. CI integration tests run a real PostgreSQL image with pgvector and mocked object/embedding boundaries. A separate authenticated deployment smoke uses real infrastructure and a disposable fixture. All fixtures exclude personal documents.</w:t>
      </w:r>
    </w:p>
    <w:tbl>
      <w:tblPr>
        <w:tblW w:type="auto" w:w="0"/>
        <w:jc w:val="center"/>
        <w:tblLayout w:type="fixed"/>
        <w:tblLook w:firstColumn="1" w:firstRow="1" w:lastColumn="0" w:lastRow="0" w:noHBand="0" w:noVBand="1" w:val="04A0"/>
      </w:tblPr>
      <w:tblGrid>
        <w:gridCol w:w="1368"/>
        <w:gridCol w:w="3888"/>
        <w:gridCol w:w="4594"/>
      </w:tblGrid>
      <w:tr>
        <w:trPr>
          <w:tblHeader w:val="true"/>
        </w:trPr>
        <w:tc>
          <w:tcPr>
            <w:tcW w:type="dxa" w:w="3283"/>
            <w:shd w:fill="19354F"/>
            <w:vAlign w:val="center"/>
            <w:tcMar>
              <w:top w:w="110" w:type="dxa"/>
              <w:start w:w="120" w:type="dxa"/>
              <w:bottom w:w="110" w:type="dxa"/>
              <w:end w:w="120" w:type="dxa"/>
            </w:tcMar>
            <w:tcBorders>
              <w:top w:val="single" w:color="D9D9D9" w:sz="4"/>
              <w:left w:val="single" w:color="D9D9D9" w:sz="4"/>
              <w:bottom w:val="single" w:color="D9D9D9" w:sz="4"/>
              <w:right w:val="single" w:color="D9D9D9" w:sz="4"/>
            </w:tcBorders>
          </w:tcPr>
          <w:p>
            <w:r>
              <w:rPr>
                <w:b/>
                <w:color w:val="FFFFFF"/>
                <w:sz w:val="17"/>
              </w:rPr>
              <w:t>Test ID</w:t>
            </w:r>
          </w:p>
        </w:tc>
        <w:tc>
          <w:tcPr>
            <w:tcW w:type="dxa" w:w="3283"/>
            <w:shd w:fill="19354F"/>
            <w:vAlign w:val="center"/>
            <w:tcMar>
              <w:top w:w="110" w:type="dxa"/>
              <w:start w:w="120" w:type="dxa"/>
              <w:bottom w:w="110" w:type="dxa"/>
              <w:end w:w="120" w:type="dxa"/>
            </w:tcMar>
            <w:tcBorders>
              <w:top w:val="single" w:color="D9D9D9" w:sz="4"/>
              <w:left w:val="single" w:color="D9D9D9" w:sz="4"/>
              <w:bottom w:val="single" w:color="D9D9D9" w:sz="4"/>
              <w:right w:val="single" w:color="D9D9D9" w:sz="4"/>
            </w:tcBorders>
          </w:tcPr>
          <w:p>
            <w:r>
              <w:rPr>
                <w:b/>
                <w:color w:val="FFFFFF"/>
                <w:sz w:val="17"/>
              </w:rPr>
              <w:t>Scenario</w:t>
            </w:r>
          </w:p>
        </w:tc>
        <w:tc>
          <w:tcPr>
            <w:tcW w:type="dxa" w:w="3283"/>
            <w:shd w:fill="19354F"/>
            <w:vAlign w:val="center"/>
            <w:tcMar>
              <w:top w:w="110" w:type="dxa"/>
              <w:start w:w="120" w:type="dxa"/>
              <w:bottom w:w="110" w:type="dxa"/>
              <w:end w:w="120" w:type="dxa"/>
            </w:tcMar>
            <w:tcBorders>
              <w:top w:val="single" w:color="D9D9D9" w:sz="4"/>
              <w:left w:val="single" w:color="D9D9D9" w:sz="4"/>
              <w:bottom w:val="single" w:color="D9D9D9" w:sz="4"/>
              <w:right w:val="single" w:color="D9D9D9" w:sz="4"/>
            </w:tcBorders>
          </w:tcPr>
          <w:p>
            <w:r>
              <w:rPr>
                <w:b/>
                <w:color w:val="FFFFFF"/>
                <w:sz w:val="17"/>
              </w:rPr>
              <w:t>Expected result</w:t>
            </w:r>
          </w:p>
        </w:tc>
      </w:tr>
      <w:tr>
        <w:tc>
          <w:tcPr>
            <w:tcW w:type="dxa" w:w="1368"/>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T001</w:t>
            </w:r>
          </w:p>
        </w:tc>
        <w:tc>
          <w:tcPr>
            <w:tcW w:type="dxa" w:w="3888"/>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Clean clone and Compose bootstrap</w:t>
            </w:r>
          </w:p>
        </w:tc>
        <w:tc>
          <w:tcPr>
            <w:tcW w:type="dxa" w:w="4594"/>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All services ready, migration applied, web calls API.</w:t>
            </w:r>
          </w:p>
        </w:tc>
      </w:tr>
      <w:tr>
        <w:tc>
          <w:tcPr>
            <w:tcW w:type="dxa" w:w="1368"/>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T002</w:t>
            </w:r>
          </w:p>
        </w:tc>
        <w:tc>
          <w:tcPr>
            <w:tcW w:type="dxa" w:w="3888"/>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Database removed during readiness check</w:t>
            </w:r>
          </w:p>
        </w:tc>
        <w:tc>
          <w:tcPr>
            <w:tcW w:type="dxa" w:w="4594"/>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/ready is 503, /health stays process-oriented.</w:t>
            </w:r>
          </w:p>
        </w:tc>
      </w:tr>
      <w:tr>
        <w:tc>
          <w:tcPr>
            <w:tcW w:type="dxa" w:w="1368"/>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T003</w:t>
            </w:r>
          </w:p>
        </w:tc>
        <w:tc>
          <w:tcPr>
            <w:tcW w:type="dxa" w:w="3888"/>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Three supported formats</w:t>
            </w:r>
          </w:p>
        </w:tc>
        <w:tc>
          <w:tcPr>
            <w:tcW w:type="dxa" w:w="4594"/>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Status COMPLETED, stable originals and chunks.</w:t>
            </w:r>
          </w:p>
        </w:tc>
      </w:tr>
      <w:tr>
        <w:tc>
          <w:tcPr>
            <w:tcW w:type="dxa" w:w="1368"/>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T004</w:t>
            </w:r>
          </w:p>
        </w:tc>
        <w:tc>
          <w:tcPr>
            <w:tcW w:type="dxa" w:w="3888"/>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Image-only or corrupt PDF</w:t>
            </w:r>
          </w:p>
        </w:tc>
        <w:tc>
          <w:tcPr>
            <w:tcW w:type="dxa" w:w="4594"/>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Explicit UNSUPPORTED or FAILED, no misleading search result.</w:t>
            </w:r>
          </w:p>
        </w:tc>
      </w:tr>
      <w:tr>
        <w:tc>
          <w:tcPr>
            <w:tcW w:type="dxa" w:w="1368"/>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T005</w:t>
            </w:r>
          </w:p>
        </w:tc>
        <w:tc>
          <w:tcPr>
            <w:tcW w:type="dxa" w:w="3888"/>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Duplicate upload and concurrent ingestion</w:t>
            </w:r>
          </w:p>
        </w:tc>
        <w:tc>
          <w:tcPr>
            <w:tcW w:type="dxa" w:w="4594"/>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No duplicate active chunks or conflicting finalization.</w:t>
            </w:r>
          </w:p>
        </w:tc>
      </w:tr>
      <w:tr>
        <w:tc>
          <w:tcPr>
            <w:tcW w:type="dxa" w:w="1368"/>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T006</w:t>
            </w:r>
          </w:p>
        </w:tc>
        <w:tc>
          <w:tcPr>
            <w:tcW w:type="dxa" w:w="3888"/>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Worker terminated after partial embedding</w:t>
            </w:r>
          </w:p>
        </w:tc>
        <w:tc>
          <w:tcPr>
            <w:tcW w:type="dxa" w:w="4594"/>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Durable retry or terminal failure with checkpoint evidence.</w:t>
            </w:r>
          </w:p>
        </w:tc>
      </w:tr>
      <w:tr>
        <w:tc>
          <w:tcPr>
            <w:tcW w:type="dxa" w:w="1368"/>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T007</w:t>
            </w:r>
          </w:p>
        </w:tc>
        <w:tc>
          <w:tcPr>
            <w:tcW w:type="dxa" w:w="3888"/>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Embedding provider timeout or 429</w:t>
            </w:r>
          </w:p>
        </w:tc>
        <w:tc>
          <w:tcPr>
            <w:tcW w:type="dxa" w:w="4594"/>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Bounded retry, budget enforcement and stable status.</w:t>
            </w:r>
          </w:p>
        </w:tc>
      </w:tr>
      <w:tr>
        <w:tc>
          <w:tcPr>
            <w:tcW w:type="dxa" w:w="1368"/>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T008</w:t>
            </w:r>
          </w:p>
        </w:tc>
        <w:tc>
          <w:tcPr>
            <w:tcW w:type="dxa" w:w="3888"/>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Cross-workspace read and guessed IDs</w:t>
            </w:r>
          </w:p>
        </w:tc>
        <w:tc>
          <w:tcPr>
            <w:tcW w:type="dxa" w:w="4594"/>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Access denied and content absent from search.</w:t>
            </w:r>
          </w:p>
        </w:tc>
      </w:tr>
      <w:tr>
        <w:tc>
          <w:tcPr>
            <w:tcW w:type="dxa" w:w="1368"/>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T009</w:t>
            </w:r>
          </w:p>
        </w:tc>
        <w:tc>
          <w:tcPr>
            <w:tcW w:type="dxa" w:w="3888"/>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Hybrid relevance fixture</w:t>
            </w:r>
          </w:p>
        </w:tc>
        <w:tc>
          <w:tcPr>
            <w:tcW w:type="dxa" w:w="4594"/>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Expected source appears in top-k under pinned search settings.</w:t>
            </w:r>
          </w:p>
        </w:tc>
      </w:tr>
      <w:tr>
        <w:tc>
          <w:tcPr>
            <w:tcW w:type="dxa" w:w="1368"/>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T010</w:t>
            </w:r>
          </w:p>
        </w:tc>
        <w:tc>
          <w:tcPr>
            <w:tcW w:type="dxa" w:w="3888"/>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Query contains markup and invalid top_k</w:t>
            </w:r>
          </w:p>
        </w:tc>
        <w:tc>
          <w:tcPr>
            <w:tcW w:type="dxa" w:w="4594"/>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Escaped UI; 422 for invalid parameters.</w:t>
            </w:r>
          </w:p>
        </w:tc>
      </w:tr>
      <w:tr>
        <w:tc>
          <w:tcPr>
            <w:tcW w:type="dxa" w:w="1368"/>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T011</w:t>
            </w:r>
          </w:p>
        </w:tc>
        <w:tc>
          <w:tcPr>
            <w:tcW w:type="dxa" w:w="3888"/>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Deployment replacement and reboot</w:t>
            </w:r>
          </w:p>
        </w:tc>
        <w:tc>
          <w:tcPr>
            <w:tcW w:type="dxa" w:w="4594"/>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Records, originals and search remain available.</w:t>
            </w:r>
          </w:p>
        </w:tc>
      </w:tr>
      <w:tr>
        <w:tc>
          <w:tcPr>
            <w:tcW w:type="dxa" w:w="1368"/>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T012</w:t>
            </w:r>
          </w:p>
        </w:tc>
        <w:tc>
          <w:tcPr>
            <w:tcW w:type="dxa" w:w="3888"/>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Backup restore to isolated environment</w:t>
            </w:r>
          </w:p>
        </w:tc>
        <w:tc>
          <w:tcPr>
            <w:tcW w:type="dxa" w:w="4594"/>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Verified integrity and repeatable known-answer retrieval.</w:t>
            </w:r>
          </w:p>
        </w:tc>
      </w:tr>
    </w:tbl>
    <w:p>
      <w:pPr>
        <w:spacing w:after="20"/>
      </w:pPr>
    </w:p>
    <w:p>
      <w:pPr>
        <w:pStyle w:val="Heading1"/>
      </w:pPr>
      <w:r>
        <w:t>CI deployment and operations</w:t>
      </w:r>
    </w:p>
    <w:p>
      <w:pPr>
        <w:pStyle w:val="Heading2"/>
      </w:pPr>
      <w:r>
        <w:t>Pull request validation</w:t>
      </w:r>
    </w:p>
    <w:p>
      <w:r>
        <w:t>Each repository runs its own lint, type, test, dependency and build pipeline. Any change to shared API contracts should trigger compatible consumer validation.</w:t>
      </w:r>
    </w:p>
    <w:p>
      <w:pPr>
        <w:pStyle w:val="ListBullet"/>
        <w:spacing w:after="40"/>
        <w:ind w:left="374"/>
      </w:pPr>
      <w:r>
        <w:t>Pin CI action and dependency versions, use least-privilege workflow tokens, and keep deployment secrets out of pull request jobs.</w:t>
      </w:r>
    </w:p>
    <w:p>
      <w:pPr>
        <w:pStyle w:val="ListBullet"/>
        <w:spacing w:after="40"/>
        <w:ind w:left="374"/>
      </w:pPr>
      <w:r>
        <w:t>Block merge on tests, type checks, migration smoke, and security checks relevant to changed files.</w:t>
      </w:r>
    </w:p>
    <w:p>
      <w:pPr>
        <w:pStyle w:val="ListBullet"/>
        <w:spacing w:after="40"/>
        <w:ind w:left="374"/>
      </w:pPr>
      <w:r>
        <w:t>Record API schema and migration changes in the PR description; do not allow unreviewed manual production changes.</w:t>
      </w:r>
    </w:p>
    <w:p>
      <w:pPr>
        <w:pStyle w:val="Heading2"/>
      </w:pPr>
      <w:r>
        <w:t>Deployment and promotion</w:t>
      </w:r>
    </w:p>
    <w:p>
      <w:r>
        <w:t>Use immutable container images, per-environment configuration and an explicit release manifest listing both repo revisions.</w:t>
      </w:r>
    </w:p>
    <w:p>
      <w:pPr>
        <w:pStyle w:val="ListBullet"/>
        <w:spacing w:after="40"/>
        <w:ind w:left="374"/>
      </w:pPr>
      <w:r>
        <w:t>Take a backup or restore checkpoint before schema changes; use backward-compatible migration sequence.</w:t>
      </w:r>
    </w:p>
    <w:p>
      <w:pPr>
        <w:pStyle w:val="ListBullet"/>
        <w:spacing w:after="40"/>
        <w:ind w:left="374"/>
      </w:pPr>
      <w:r>
        <w:t>Deploy web, API and worker, inspect readiness, then perform authenticated upload and retrieval smoke from the public route.</w:t>
      </w:r>
    </w:p>
    <w:p>
      <w:pPr>
        <w:pStyle w:val="ListBullet"/>
        <w:spacing w:after="40"/>
        <w:ind w:left="374"/>
      </w:pPr>
      <w:r>
        <w:t>Document previous known-good image digests and the criteria for rollback versus forward repair.</w:t>
      </w:r>
    </w:p>
    <w:p>
      <w:pPr>
        <w:pStyle w:val="Heading2"/>
      </w:pPr>
      <w:r>
        <w:t>Operational runbooks</w:t>
      </w:r>
    </w:p>
    <w:p>
      <w:r>
        <w:t>A new operator should recover the system without relying on undocumented creator knowledge.</w:t>
      </w:r>
    </w:p>
    <w:p>
      <w:pPr>
        <w:pStyle w:val="ListBullet"/>
        <w:spacing w:after="40"/>
        <w:ind w:left="374"/>
      </w:pPr>
      <w:r>
        <w:t>Provide commands for local setup, cloud provisioning, log inspection, queue retry, token rotation, backup verification and restore.</w:t>
      </w:r>
    </w:p>
    <w:p>
      <w:pPr>
        <w:pStyle w:val="ListBullet"/>
        <w:spacing w:after="40"/>
        <w:ind w:left="374"/>
      </w:pPr>
      <w:r>
        <w:t>Maintain an incident checklist for unavailable Postgres, object storage, embedding provider or stuck worker.</w:t>
      </w:r>
    </w:p>
    <w:p>
      <w:pPr>
        <w:pStyle w:val="ListBullet"/>
        <w:spacing w:after="40"/>
        <w:ind w:left="374"/>
      </w:pPr>
      <w:r>
        <w:t>Record ongoing cost categories and enforce a configurable budget threshold for embeddings and infrastructure.</w:t>
      </w:r>
    </w:p>
    <w:p>
      <w:pPr>
        <w:pStyle w:val="Heading1"/>
      </w:pPr>
      <w:r>
        <w:t>Definition of done and handoff</w:t>
      </w:r>
    </w:p>
    <w:p>
      <w:pPr>
        <w:pStyle w:val="ListBullet"/>
        <w:spacing w:after="40"/>
        <w:ind w:left="374"/>
      </w:pPr>
      <w:r>
        <w:t>All four substories have passing linked tests and reviewed PRs in their respective repositories.</w:t>
      </w:r>
    </w:p>
    <w:p>
      <w:pPr>
        <w:pStyle w:val="ListBullet"/>
        <w:spacing w:after="40"/>
        <w:ind w:left="374"/>
      </w:pPr>
      <w:r>
        <w:t>OpenAPI documentation, architecture decision records, local developer guide, environment variable reference, operations guide and deployment procedure are current.</w:t>
      </w:r>
    </w:p>
    <w:p>
      <w:pPr>
        <w:pStyle w:val="ListBullet"/>
        <w:spacing w:after="40"/>
        <w:ind w:left="374"/>
      </w:pPr>
      <w:r>
        <w:t>Browser E2E demonstrates authenticated upload, status, search, source reference, redeployment persistence and understandable errors.</w:t>
      </w:r>
    </w:p>
    <w:p>
      <w:pPr>
        <w:pStyle w:val="ListBullet"/>
        <w:spacing w:after="40"/>
        <w:ind w:left="374"/>
      </w:pPr>
      <w:r>
        <w:t>Restore drill evidence and deployment revision report are attached to the release; no known critical authorization or data-loss defect remains.</w:t>
      </w:r>
    </w:p>
    <w:p>
      <w:pPr>
        <w:pStyle w:val="ListBullet"/>
        <w:spacing w:after="40"/>
        <w:ind w:left="374"/>
      </w:pPr>
      <w:r>
        <w:t>The Story 2 integration contract is ready: /v1/retrieval/search can become a scoped tool without direct database access.</w:t>
      </w:r>
    </w:p>
    <w:p>
      <w:pPr>
        <w:pStyle w:val="Heading1"/>
      </w:pPr>
      <w:r>
        <w:t>Risks and open decisions</w:t>
      </w:r>
    </w:p>
    <w:tbl>
      <w:tblPr>
        <w:tblW w:type="auto" w:w="0"/>
        <w:jc w:val="center"/>
        <w:tblLayout w:type="fixed"/>
        <w:tblLook w:firstColumn="1" w:firstRow="1" w:lastColumn="0" w:lastRow="0" w:noHBand="0" w:noVBand="1" w:val="04A0"/>
      </w:tblPr>
      <w:tblGrid>
        <w:gridCol w:w="2966"/>
        <w:gridCol w:w="1944"/>
        <w:gridCol w:w="4939"/>
      </w:tblGrid>
      <w:tr>
        <w:trPr>
          <w:tblHeader w:val="true"/>
        </w:trPr>
        <w:tc>
          <w:tcPr>
            <w:tcW w:type="dxa" w:w="3283"/>
            <w:shd w:fill="19354F"/>
            <w:vAlign w:val="center"/>
            <w:tcMar>
              <w:top w:w="110" w:type="dxa"/>
              <w:start w:w="120" w:type="dxa"/>
              <w:bottom w:w="110" w:type="dxa"/>
              <w:end w:w="120" w:type="dxa"/>
            </w:tcMar>
            <w:tcBorders>
              <w:top w:val="single" w:color="D9D9D9" w:sz="4"/>
              <w:left w:val="single" w:color="D9D9D9" w:sz="4"/>
              <w:bottom w:val="single" w:color="D9D9D9" w:sz="4"/>
              <w:right w:val="single" w:color="D9D9D9" w:sz="4"/>
            </w:tcBorders>
          </w:tcPr>
          <w:p>
            <w:r>
              <w:rPr>
                <w:b/>
                <w:color w:val="FFFFFF"/>
                <w:sz w:val="17"/>
              </w:rPr>
              <w:t>Risk or question</w:t>
            </w:r>
          </w:p>
        </w:tc>
        <w:tc>
          <w:tcPr>
            <w:tcW w:type="dxa" w:w="3283"/>
            <w:shd w:fill="19354F"/>
            <w:vAlign w:val="center"/>
            <w:tcMar>
              <w:top w:w="110" w:type="dxa"/>
              <w:start w:w="120" w:type="dxa"/>
              <w:bottom w:w="110" w:type="dxa"/>
              <w:end w:w="120" w:type="dxa"/>
            </w:tcMar>
            <w:tcBorders>
              <w:top w:val="single" w:color="D9D9D9" w:sz="4"/>
              <w:left w:val="single" w:color="D9D9D9" w:sz="4"/>
              <w:bottom w:val="single" w:color="D9D9D9" w:sz="4"/>
              <w:right w:val="single" w:color="D9D9D9" w:sz="4"/>
            </w:tcBorders>
          </w:tcPr>
          <w:p>
            <w:r>
              <w:rPr>
                <w:b/>
                <w:color w:val="FFFFFF"/>
                <w:sz w:val="17"/>
              </w:rPr>
              <w:t>Impact</w:t>
            </w:r>
          </w:p>
        </w:tc>
        <w:tc>
          <w:tcPr>
            <w:tcW w:type="dxa" w:w="3283"/>
            <w:shd w:fill="19354F"/>
            <w:vAlign w:val="center"/>
            <w:tcMar>
              <w:top w:w="110" w:type="dxa"/>
              <w:start w:w="120" w:type="dxa"/>
              <w:bottom w:w="110" w:type="dxa"/>
              <w:end w:w="120" w:type="dxa"/>
            </w:tcMar>
            <w:tcBorders>
              <w:top w:val="single" w:color="D9D9D9" w:sz="4"/>
              <w:left w:val="single" w:color="D9D9D9" w:sz="4"/>
              <w:bottom w:val="single" w:color="D9D9D9" w:sz="4"/>
              <w:right w:val="single" w:color="D9D9D9" w:sz="4"/>
            </w:tcBorders>
          </w:tcPr>
          <w:p>
            <w:r>
              <w:rPr>
                <w:b/>
                <w:color w:val="FFFFFF"/>
                <w:sz w:val="17"/>
              </w:rPr>
              <w:t>Mitigation or owner decision</w:t>
            </w:r>
          </w:p>
        </w:tc>
      </w:tr>
      <w:tr>
        <w:tc>
          <w:tcPr>
            <w:tcW w:type="dxa" w:w="2966"/>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Cloud host, domain and TLS provider undecided</w:t>
            </w:r>
          </w:p>
        </w:tc>
        <w:tc>
          <w:tcPr>
            <w:tcW w:type="dxa" w:w="1944"/>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Deployment cannot finish</w:t>
            </w:r>
          </w:p>
        </w:tc>
        <w:tc>
          <w:tcPr>
            <w:tcW w:type="dxa" w:w="4939"/>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Bharat selects provider, hostname, DNS ownership and spending cap before 001D.</w:t>
            </w:r>
          </w:p>
        </w:tc>
      </w:tr>
      <w:tr>
        <w:tc>
          <w:tcPr>
            <w:tcW w:type="dxa" w:w="2966"/>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Embedding dimensions or model changed later</w:t>
            </w:r>
          </w:p>
        </w:tc>
        <w:tc>
          <w:tcPr>
            <w:tcW w:type="dxa" w:w="1944"/>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Reindex cost and schema mismatch</w:t>
            </w:r>
          </w:p>
        </w:tc>
        <w:tc>
          <w:tcPr>
            <w:tcW w:type="dxa" w:w="4939"/>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Store embedding model and dimension; version indexes and schedule controlled reprocessing.</w:t>
            </w:r>
          </w:p>
        </w:tc>
      </w:tr>
      <w:tr>
        <w:tc>
          <w:tcPr>
            <w:tcW w:type="dxa" w:w="2966"/>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PDF extraction quality varies</w:t>
            </w:r>
          </w:p>
        </w:tc>
        <w:tc>
          <w:tcPr>
            <w:tcW w:type="dxa" w:w="1944"/>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Wrong source text</w:t>
            </w:r>
          </w:p>
        </w:tc>
        <w:tc>
          <w:tcPr>
            <w:tcW w:type="dxa" w:w="4939"/>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Text-PDF-only acceptance, source-page fixtures; add OCR in a later story.</w:t>
            </w:r>
          </w:p>
        </w:tc>
      </w:tr>
      <w:tr>
        <w:tc>
          <w:tcPr>
            <w:tcW w:type="dxa" w:w="2966"/>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One VPS is a single failure domain</w:t>
            </w:r>
          </w:p>
        </w:tc>
        <w:tc>
          <w:tcPr>
            <w:tcW w:type="dxa" w:w="1944"/>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Outage and data loss</w:t>
            </w:r>
          </w:p>
        </w:tc>
        <w:tc>
          <w:tcPr>
            <w:tcW w:type="dxa" w:w="4939"/>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Off-host backups, restore drill, measured RPO/RTO, documented upgrade path.</w:t>
            </w:r>
          </w:p>
        </w:tc>
      </w:tr>
      <w:tr>
        <w:tc>
          <w:tcPr>
            <w:tcW w:type="dxa" w:w="2966"/>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Cross-repository release drift</w:t>
            </w:r>
          </w:p>
        </w:tc>
        <w:tc>
          <w:tcPr>
            <w:tcW w:type="dxa" w:w="1944"/>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Web and API mismatch</w:t>
            </w:r>
          </w:p>
        </w:tc>
        <w:tc>
          <w:tcPr>
            <w:tcW w:type="dxa" w:w="4939"/>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Versioned OpenAPI contracts and coordinated release manifest.</w:t>
            </w:r>
          </w:p>
        </w:tc>
      </w:tr>
    </w:tbl>
    <w:p>
      <w:pPr>
        <w:spacing w:after="20"/>
      </w:pPr>
    </w:p>
    <w:p>
      <w:pPr>
        <w:pStyle w:val="Heading1"/>
      </w:pPr>
      <w:r>
        <w:t>Primary references</w:t>
      </w:r>
    </w:p>
    <w:p>
      <w:r>
        <w:t>External documentation is a verification aid for implementation. Pin tested dependency versions and confirm provider requirements again before deployment.</w:t>
      </w:r>
    </w:p>
    <w:p>
      <w:pPr>
        <w:pStyle w:val="ListBullet"/>
        <w:spacing w:after="20"/>
      </w:pPr>
      <w:hyperlink r:id="rId11">
        <w:r>
          <w:rPr>
            <w:color w:val="1F4B70"/>
          </w:rPr>
          <w:t>PostgreSQL full-text search</w:t>
        </w:r>
      </w:hyperlink>
    </w:p>
    <w:p>
      <w:pPr>
        <w:pStyle w:val="ListBullet"/>
        <w:spacing w:after="20"/>
      </w:pPr>
      <w:hyperlink r:id="rId12">
        <w:r>
          <w:rPr>
            <w:color w:val="1F4B70"/>
          </w:rPr>
          <w:t>pgvector and hybrid search</w:t>
        </w:r>
      </w:hyperlink>
    </w:p>
    <w:p>
      <w:pPr>
        <w:pStyle w:val="ListBullet"/>
        <w:spacing w:after="20"/>
      </w:pPr>
      <w:hyperlink r:id="rId13">
        <w:r>
          <w:rPr>
            <w:color w:val="1F4B70"/>
          </w:rPr>
          <w:t>FastAPI</w:t>
        </w:r>
      </w:hyperlink>
    </w:p>
    <w:p>
      <w:pPr>
        <w:pStyle w:val="ListBullet"/>
        <w:spacing w:after="20"/>
      </w:pPr>
      <w:hyperlink r:id="rId14">
        <w:r>
          <w:rPr>
            <w:color w:val="1F4B70"/>
          </w:rPr>
          <w:t>Cloudflare R2 S3 API</w:t>
        </w:r>
      </w:hyperlink>
    </w:p>
    <w:p>
      <w:pPr>
        <w:pStyle w:val="ListBullet"/>
        <w:spacing w:after="20"/>
      </w:pPr>
      <w:hyperlink r:id="rId15">
        <w:r>
          <w:rPr>
            <w:color w:val="1F4B70"/>
          </w:rPr>
          <w:t>Docker Compose in production</w:t>
        </w:r>
      </w:hyperlink>
    </w:p>
    <w:p>
      <w:pPr>
        <w:pStyle w:val="ListBullet"/>
        <w:spacing w:after="20"/>
      </w:pPr>
      <w:hyperlink r:id="rId16">
        <w:r>
          <w:rPr>
            <w:color w:val="1F4B70"/>
          </w:rPr>
          <w:t>GitHub deployment environments</w:t>
        </w:r>
      </w:hyperlink>
    </w:p>
    <w:p>
      <w:pPr>
        <w:pStyle w:val="ListBullet"/>
        <w:spacing w:after="20"/>
      </w:pPr>
      <w:hyperlink r:id="rId17">
        <w:r>
          <w:rPr>
            <w:color w:val="1F4B70"/>
          </w:rPr>
          <w:t>OWASP ASVS</w:t>
        </w:r>
      </w:hyperlink>
    </w:p>
    <w:p>
      <w:pPr>
        <w:pStyle w:val="Heading1"/>
      </w:pPr>
      <w:r>
        <w:t>Implementation evidence worksheet</w:t>
      </w:r>
    </w:p>
    <w:p>
      <w:r>
        <w:t>Complete this register during execution. A substory remains open until its linked acceptance checks pass and a reviewer can reproduce the evidence. Keep evidence URLs in project records; avoid copying credentials or personal test data into this document.</w:t>
      </w:r>
    </w:p>
    <w:tbl>
      <w:tblPr>
        <w:tblW w:type="auto" w:w="0"/>
        <w:jc w:val="center"/>
        <w:tblLayout w:type="fixed"/>
        <w:tblLook w:firstColumn="1" w:firstRow="1" w:lastColumn="0" w:lastRow="0" w:noHBand="0" w:noVBand="1" w:val="04A0"/>
      </w:tblPr>
      <w:tblGrid>
        <w:gridCol w:w="1469"/>
        <w:gridCol w:w="5011"/>
        <w:gridCol w:w="3370"/>
      </w:tblGrid>
      <w:tr>
        <w:trPr>
          <w:tblHeader w:val="true"/>
        </w:trPr>
        <w:tc>
          <w:tcPr>
            <w:tcW w:type="dxa" w:w="3283"/>
            <w:shd w:fill="19354F"/>
            <w:vAlign w:val="center"/>
            <w:tcMar>
              <w:top w:w="110" w:type="dxa"/>
              <w:start w:w="120" w:type="dxa"/>
              <w:bottom w:w="110" w:type="dxa"/>
              <w:end w:w="120" w:type="dxa"/>
            </w:tcMar>
            <w:tcBorders>
              <w:top w:val="single" w:color="D9D9D9" w:sz="4"/>
              <w:left w:val="single" w:color="D9D9D9" w:sz="4"/>
              <w:bottom w:val="single" w:color="D9D9D9" w:sz="4"/>
              <w:right w:val="single" w:color="D9D9D9" w:sz="4"/>
            </w:tcBorders>
          </w:tcPr>
          <w:p>
            <w:r>
              <w:rPr>
                <w:b/>
                <w:color w:val="FFFFFF"/>
                <w:sz w:val="17"/>
              </w:rPr>
              <w:t>Substory</w:t>
            </w:r>
          </w:p>
        </w:tc>
        <w:tc>
          <w:tcPr>
            <w:tcW w:type="dxa" w:w="3283"/>
            <w:shd w:fill="19354F"/>
            <w:vAlign w:val="center"/>
            <w:tcMar>
              <w:top w:w="110" w:type="dxa"/>
              <w:start w:w="120" w:type="dxa"/>
              <w:bottom w:w="110" w:type="dxa"/>
              <w:end w:w="120" w:type="dxa"/>
            </w:tcMar>
            <w:tcBorders>
              <w:top w:val="single" w:color="D9D9D9" w:sz="4"/>
              <w:left w:val="single" w:color="D9D9D9" w:sz="4"/>
              <w:bottom w:val="single" w:color="D9D9D9" w:sz="4"/>
              <w:right w:val="single" w:color="D9D9D9" w:sz="4"/>
            </w:tcBorders>
          </w:tcPr>
          <w:p>
            <w:r>
              <w:rPr>
                <w:b/>
                <w:color w:val="FFFFFF"/>
                <w:sz w:val="17"/>
              </w:rPr>
              <w:t>Required demonstration</w:t>
            </w:r>
          </w:p>
        </w:tc>
        <w:tc>
          <w:tcPr>
            <w:tcW w:type="dxa" w:w="3283"/>
            <w:shd w:fill="19354F"/>
            <w:vAlign w:val="center"/>
            <w:tcMar>
              <w:top w:w="110" w:type="dxa"/>
              <w:start w:w="120" w:type="dxa"/>
              <w:bottom w:w="110" w:type="dxa"/>
              <w:end w:w="120" w:type="dxa"/>
            </w:tcMar>
            <w:tcBorders>
              <w:top w:val="single" w:color="D9D9D9" w:sz="4"/>
              <w:left w:val="single" w:color="D9D9D9" w:sz="4"/>
              <w:bottom w:val="single" w:color="D9D9D9" w:sz="4"/>
              <w:right w:val="single" w:color="D9D9D9" w:sz="4"/>
            </w:tcBorders>
          </w:tcPr>
          <w:p>
            <w:r>
              <w:rPr>
                <w:b/>
                <w:color w:val="FFFFFF"/>
                <w:sz w:val="17"/>
              </w:rPr>
              <w:t>Evidence and signoff</w:t>
            </w:r>
          </w:p>
        </w:tc>
      </w:tr>
      <w:tr>
        <w:tc>
          <w:tcPr>
            <w:tcW w:type="dxa" w:w="1469"/>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PAW-001A</w:t>
            </w:r>
          </w:p>
        </w:tc>
        <w:tc>
          <w:tcPr>
            <w:tcW w:type="dxa" w:w="5011"/>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Fresh local startup and teardown work without manual SQL or hidden environment files.</w:t>
            </w:r>
          </w:p>
        </w:tc>
        <w:tc>
          <w:tcPr>
            <w:tcW w:type="dxa" w:w="3370"/>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PR and CI link  ______</w:t>
              <w:br/>
              <w:t>Reviewer and date  ______</w:t>
            </w:r>
          </w:p>
        </w:tc>
      </w:tr>
      <w:tr>
        <w:tc>
          <w:tcPr>
            <w:tcW w:type="dxa" w:w="1469"/>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PAW-001B</w:t>
            </w:r>
          </w:p>
        </w:tc>
        <w:tc>
          <w:tcPr>
            <w:tcW w:type="dxa" w:w="5011"/>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A supported file becomes COMPLETED with a verifiable original, extracted text, and indexed chunks.</w:t>
            </w:r>
          </w:p>
        </w:tc>
        <w:tc>
          <w:tcPr>
            <w:tcW w:type="dxa" w:w="3370"/>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PR and CI link  ______</w:t>
              <w:br/>
              <w:t>Reviewer and date  ______</w:t>
            </w:r>
          </w:p>
        </w:tc>
      </w:tr>
      <w:tr>
        <w:tc>
          <w:tcPr>
            <w:tcW w:type="dxa" w:w="1469"/>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PAW-001C</w:t>
            </w:r>
          </w:p>
        </w:tc>
        <w:tc>
          <w:tcPr>
            <w:tcW w:type="dxa" w:w="5011"/>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An external browser retrieves a known fact from a newly uploaded document and opens the matching source reference.</w:t>
            </w:r>
          </w:p>
        </w:tc>
        <w:tc>
          <w:tcPr>
            <w:tcW w:type="dxa" w:w="3370"/>
            <w:vAlign w:val="center"/>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PR and CI link  ______</w:t>
              <w:br/>
              <w:t>Reviewer and date  ______</w:t>
            </w:r>
          </w:p>
        </w:tc>
      </w:tr>
      <w:tr>
        <w:tc>
          <w:tcPr>
            <w:tcW w:type="dxa" w:w="1469"/>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PAW-001D</w:t>
            </w:r>
          </w:p>
        </w:tc>
        <w:tc>
          <w:tcPr>
            <w:tcW w:type="dxa" w:w="5011"/>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Bharat signs in from a mobile browser on another network and completes upload-to-retrieval over HTTPS.</w:t>
            </w:r>
          </w:p>
        </w:tc>
        <w:tc>
          <w:tcPr>
            <w:tcW w:type="dxa" w:w="3370"/>
            <w:vAlign w:val="center"/>
            <w:shd w:fill="F4F7FB"/>
            <w:tcMar>
              <w:top w:w="95" w:type="dxa"/>
              <w:start w:w="115" w:type="dxa"/>
              <w:bottom w:w="95" w:type="dxa"/>
              <w:end w:w="115" w:type="dxa"/>
            </w:tcMar>
            <w:tcBorders>
              <w:top w:val="single" w:color="D9D9D9" w:sz="4"/>
              <w:left w:val="single" w:color="D9D9D9" w:sz="4"/>
              <w:bottom w:val="single" w:color="D9D9D9" w:sz="4"/>
              <w:right w:val="single" w:color="D9D9D9" w:sz="4"/>
            </w:tcBorders>
          </w:tcPr>
          <w:p>
            <w:pPr>
              <w:spacing w:after="0" w:line="264" w:lineRule="auto"/>
            </w:pPr>
            <w:r>
              <w:rPr>
                <w:sz w:val="17"/>
              </w:rPr>
              <w:t>PR and CI link  ______</w:t>
              <w:br/>
              <w:t>Reviewer and date  ______</w:t>
            </w:r>
          </w:p>
        </w:tc>
      </w:tr>
    </w:tbl>
    <w:p>
      <w:pPr>
        <w:spacing w:after="20"/>
      </w:pPr>
    </w:p>
    <w:p>
      <w:r>
        <w:t>Release decision  ______    Release revision  ______    Hosted smoke result  ______    Owner approval  ______</w:t>
      </w:r>
    </w:p>
    <w:sectPr w:rsidR="00FC693F" w:rsidRPr="0006063C" w:rsidSect="00034616">
      <w:headerReference w:type="default" r:id="rId9"/>
      <w:footerReference w:type="default" r:id="rId10"/>
      <w:pgSz w:w="12240" w:h="15840"/>
      <w:pgMar w:top="1123" w:right="1195" w:bottom="1109" w:left="1195"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0"/>
        <w:sz w:val="16"/>
      </w:rPr>
      <w:t xml:space="preserve">DEVELOPMENT REQUIREMENTS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DejaVu Sans" w:hAnsi="DejaVu Sans"/>
        <w:color w:val="000000"/>
        <w:sz w:val="16"/>
      </w:rPr>
      <w:t>PERSONAL AUTOMATION WEAPONRY    /    STORY 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DejaVu Sans" w:hAnsi="DejaVu Sans"/>
      <w:color w:val="141B2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DejaVu Sans" w:hAnsi="DejaVu San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DejaVu Sans" w:hAnsi="DejaVu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DejaVu Sans" w:hAnsi="DejaVu San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60" w:line="240" w:lineRule="auto" w:before="0"/>
      <w:contextualSpacing/>
    </w:pPr>
    <w:rPr>
      <w:rFonts w:asciiTheme="majorHAnsi" w:eastAsiaTheme="majorEastAsia" w:hAnsiTheme="majorHAnsi" w:cstheme="majorBidi" w:ascii="DejaVu Sans" w:hAnsi="DejaVu Sans"/>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postgresql.org/docs/current/textsearch.html" TargetMode="External"/><Relationship Id="rId12" Type="http://schemas.openxmlformats.org/officeDocument/2006/relationships/hyperlink" Target="https://github.com/pgvector/pgvector" TargetMode="External"/><Relationship Id="rId13" Type="http://schemas.openxmlformats.org/officeDocument/2006/relationships/hyperlink" Target="https://fastapi.tiangolo.com/" TargetMode="External"/><Relationship Id="rId14" Type="http://schemas.openxmlformats.org/officeDocument/2006/relationships/hyperlink" Target="https://developers.cloudflare.com/r2/get-started/s3/" TargetMode="External"/><Relationship Id="rId15" Type="http://schemas.openxmlformats.org/officeDocument/2006/relationships/hyperlink" Target="https://docs.docker.com/compose/how-tos/production/" TargetMode="External"/><Relationship Id="rId16" Type="http://schemas.openxmlformats.org/officeDocument/2006/relationships/hyperlink" Target="https://docs.github.com/en/actions/concepts/workflows-and-actions/deployment-environments" TargetMode="External"/><Relationship Id="rId17" Type="http://schemas.openxmlformats.org/officeDocument/2006/relationships/hyperlink" Target="https://owasp.org/projects/asv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Implementation requirements and acceptance criteria</dc:subject>
  <dc:creator>Personal Automation Weaponry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