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B71E42"/>
          <w:sz w:val="40"/>
          <w:szCs w:val="40"/>
        </w:rPr>
        <w:t xml:space="preserve">ML-Based Personalized Nutrition Recommendation System</w:t>
      </w:r>
    </w:p>
    <w:p>
      <w:pPr>
        <w:spacing w:after="40"/>
        <w:jc w:val="center"/>
      </w:pPr>
      <w:r>
        <w:rPr>
          <w:i/>
          <w:iCs/>
          <w:color w:val="3A3A3A"/>
          <w:sz w:val="24"/>
          <w:szCs w:val="24"/>
        </w:rPr>
        <w:t xml:space="preserve">Project Review-2 Report</w:t>
      </w:r>
    </w:p>
    <w:p>
      <w:pPr>
        <w:spacing w:after="300"/>
        <w:jc w:val="center"/>
      </w:pPr>
      <w:r>
        <w:rPr>
          <w:color w:val="3A3A3A"/>
          <w:sz w:val="20"/>
          <w:szCs w:val="20"/>
        </w:rPr>
        <w:t xml:space="preserve">Review-2 window: 16th–17th September 2026</w:t>
      </w:r>
    </w:p>
    <w:p>
      <w:pPr>
        <w:pStyle w:val="Heading1"/>
        <w:pBdr>
          <w:bottom w:val="single" w:color="B71E42" w:sz="6" w:space="4"/>
        </w:pBdr>
        <w:spacing w:after="160" w:before="320"/>
      </w:pPr>
      <w:r>
        <w:rPr>
          <w:b/>
          <w:bCs/>
          <w:color w:val="B71E42"/>
          <w:sz w:val="30"/>
          <w:szCs w:val="30"/>
        </w:rPr>
        <w:t xml:space="preserve">Methodology</w:t>
      </w:r>
    </w:p>
    <w:p>
      <w:pPr>
        <w:spacing w:after="160" w:line="300"/>
      </w:pPr>
      <w:r>
        <w:rPr>
          <w:color w:val="222222"/>
          <w:sz w:val="22"/>
          <w:szCs w:val="22"/>
        </w:rPr>
        <w:t xml:space="preserve">The proposed system, SafeNutri-RAG, follows a five-stage methodology that takes a person's health data as input and produces a medically-constrained, explainable meal recommendation as output.</w:t>
      </w:r>
    </w:p>
    <w:p>
      <w:pPr>
        <w:pStyle w:val="ListParagraph"/>
        <w:numPr>
          <w:ilvl w:val="0"/>
          <w:numId w:val="2"/>
        </w:numPr>
        <w:spacing w:after="100" w:line="280"/>
      </w:pPr>
      <w:r>
        <w:rPr>
          <w:b w:val="false"/>
          <w:bCs w:val="false"/>
          <w:color w:val="222222"/>
          <w:sz w:val="22"/>
          <w:szCs w:val="22"/>
        </w:rPr>
        <w:t xml:space="preserve">Data Integration: NHANES (health/biomarker data), USDA FoodData Central (nutrient reference data), and Food.com (recipes and user ratings) are combined through a merge-and-link pipeline rather than a single shared key, since no common identifier exists across all three sources.</w:t>
      </w:r>
    </w:p>
    <w:p>
      <w:pPr>
        <w:pStyle w:val="ListParagraph"/>
        <w:numPr>
          <w:ilvl w:val="0"/>
          <w:numId w:val="2"/>
        </w:numPr>
        <w:spacing w:after="100" w:line="280"/>
      </w:pPr>
      <w:r>
        <w:rPr>
          <w:b w:val="false"/>
          <w:bCs w:val="false"/>
          <w:color w:val="222222"/>
          <w:sz w:val="22"/>
          <w:szCs w:val="22"/>
        </w:rPr>
        <w:t xml:space="preserve">Predictive Modelling: A stacked ensemble combining gradient-boosted trees and Random Forest is trained on NHANES-derived features to predict personalized calorie and macronutrient targets.</w:t>
      </w:r>
    </w:p>
    <w:p>
      <w:pPr>
        <w:pStyle w:val="ListParagraph"/>
        <w:numPr>
          <w:ilvl w:val="0"/>
          <w:numId w:val="2"/>
        </w:numPr>
        <w:spacing w:after="100" w:line="280"/>
      </w:pPr>
      <w:r>
        <w:rPr>
          <w:b w:val="false"/>
          <w:bCs w:val="false"/>
          <w:color w:val="222222"/>
          <w:sz w:val="22"/>
          <w:szCs w:val="22"/>
        </w:rPr>
        <w:t xml:space="preserve">Constraint Enforcement: Predicted targets are passed through a biomarker-based constraint layer that hard-filters or adjusts recommendations for users with elevated HbA1c, glucose, or cholesterol.</w:t>
      </w:r>
    </w:p>
    <w:p>
      <w:pPr>
        <w:pStyle w:val="ListParagraph"/>
        <w:numPr>
          <w:ilvl w:val="0"/>
          <w:numId w:val="2"/>
        </w:numPr>
        <w:spacing w:after="100" w:line="280"/>
      </w:pPr>
      <w:r>
        <w:rPr>
          <w:b w:val="false"/>
          <w:bCs w:val="false"/>
          <w:color w:val="222222"/>
          <w:sz w:val="22"/>
          <w:szCs w:val="22"/>
        </w:rPr>
        <w:t xml:space="preserve">Grounded Recommendation: A retrieval-augmented generation (RAG) layer retrieves verified nutrient and recipe data before any natural-language meal plan is generated, preventing hallucinated nutrition claims.</w:t>
      </w:r>
    </w:p>
    <w:p>
      <w:pPr>
        <w:pStyle w:val="ListParagraph"/>
        <w:numPr>
          <w:ilvl w:val="0"/>
          <w:numId w:val="2"/>
        </w:numPr>
        <w:spacing w:after="100" w:line="280"/>
      </w:pPr>
      <w:r>
        <w:rPr>
          <w:b w:val="false"/>
          <w:bCs w:val="false"/>
          <w:color w:val="222222"/>
          <w:sz w:val="22"/>
          <w:szCs w:val="22"/>
        </w:rPr>
        <w:t xml:space="preserve">Explainability &amp; Evaluation: SHAP-based feature attribution is applied to every prediction, and the system is evaluated using both standard regression metrics (RMSE, MAE, R²) and recommendation-quality metrics (Precision@K, NDCG).</w:t>
      </w:r>
    </w:p>
    <w:p>
      <w:pPr>
        <w:pStyle w:val="Heading1"/>
        <w:pBdr>
          <w:bottom w:val="single" w:color="B71E42" w:sz="6" w:space="4"/>
        </w:pBdr>
        <w:spacing w:after="160" w:before="320"/>
      </w:pPr>
      <w:r>
        <w:rPr>
          <w:b/>
          <w:bCs/>
          <w:color w:val="B71E42"/>
          <w:sz w:val="30"/>
          <w:szCs w:val="30"/>
        </w:rPr>
        <w:t xml:space="preserve">System Design</w:t>
      </w:r>
    </w:p>
    <w:p>
      <w:pPr>
        <w:spacing w:after="160" w:line="300"/>
      </w:pPr>
      <w:r>
        <w:rPr>
          <w:color w:val="222222"/>
          <w:sz w:val="22"/>
          <w:szCs w:val="22"/>
        </w:rPr>
        <w:t xml:space="preserve">The system is organized as a layered pipeline, shown below. Data from the three sources is merged and cleaned, transformed into model-ready features, passed through the prediction and constraint layers in parallel, and combined in the hybrid recommendation engine before producing an explainable, demo-ready output.</w:t>
      </w:r>
    </w:p>
    <w:p>
      <w:pPr>
        <w:spacing w:after="60" w:before="150"/>
        <w:jc w:val="center"/>
      </w:pPr>
      <w:r>
        <w:drawing>
          <wp:inline distT="0" distB="0" distL="0" distR="0">
            <wp:extent cx="5334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810000"/>
                    </a:xfrm>
                    <a:prstGeom prst="rect">
                      <a:avLst/>
                    </a:prstGeom>
                  </pic:spPr>
                </pic:pic>
              </a:graphicData>
            </a:graphic>
          </wp:inline>
        </w:drawing>
      </w:r>
    </w:p>
    <w:p>
      <w:pPr>
        <w:spacing w:after="200"/>
        <w:jc w:val="center"/>
      </w:pPr>
      <w:r>
        <w:rPr>
          <w:i/>
          <w:iCs/>
          <w:color w:val="3A3A3A"/>
          <w:sz w:val="18"/>
          <w:szCs w:val="18"/>
        </w:rPr>
        <w:t xml:space="preserve">Figure 1: System Architecture of SafeNutri-RAG</w:t>
      </w:r>
    </w:p>
    <w:p>
      <w:pPr>
        <w:spacing w:after="100" w:before="220"/>
      </w:pPr>
      <w:r>
        <w:rPr>
          <w:b/>
          <w:bCs/>
          <w:color w:val="1B2A4A"/>
          <w:sz w:val="24"/>
          <w:szCs w:val="24"/>
        </w:rPr>
        <w:t xml:space="preserve">Module Breakdown</w:t>
      </w:r>
    </w:p>
    <w:p>
      <w:pPr>
        <w:pStyle w:val="ListParagraph"/>
        <w:numPr>
          <w:ilvl w:val="0"/>
          <w:numId w:val="2"/>
        </w:numPr>
        <w:spacing w:after="100" w:line="280"/>
      </w:pPr>
      <w:r>
        <w:rPr>
          <w:b w:val="false"/>
          <w:bCs w:val="false"/>
          <w:color w:val="222222"/>
          <w:sz w:val="22"/>
          <w:szCs w:val="22"/>
        </w:rPr>
        <w:t xml:space="preserve">Data Layer: Handles ingestion and merging of NHANES, USDA, and Food.com data.</w:t>
      </w:r>
    </w:p>
    <w:p>
      <w:pPr>
        <w:pStyle w:val="ListParagraph"/>
        <w:numPr>
          <w:ilvl w:val="0"/>
          <w:numId w:val="2"/>
        </w:numPr>
        <w:spacing w:after="100" w:line="280"/>
      </w:pPr>
      <w:r>
        <w:rPr>
          <w:b w:val="false"/>
          <w:bCs w:val="false"/>
          <w:color w:val="222222"/>
          <w:sz w:val="22"/>
          <w:szCs w:val="22"/>
        </w:rPr>
        <w:t xml:space="preserve">Feature Engineering Layer: Derives BMI, TDEE, and biomarker risk flags from raw fields.</w:t>
      </w:r>
    </w:p>
    <w:p>
      <w:pPr>
        <w:pStyle w:val="ListParagraph"/>
        <w:numPr>
          <w:ilvl w:val="0"/>
          <w:numId w:val="2"/>
        </w:numPr>
        <w:spacing w:after="100" w:line="280"/>
      </w:pPr>
      <w:r>
        <w:rPr>
          <w:b w:val="false"/>
          <w:bCs w:val="false"/>
          <w:color w:val="222222"/>
          <w:sz w:val="22"/>
          <w:szCs w:val="22"/>
        </w:rPr>
        <w:t xml:space="preserve">Prediction Layer: Stacked ensemble producing calorie/macro targets.</w:t>
      </w:r>
    </w:p>
    <w:p>
      <w:pPr>
        <w:pStyle w:val="ListParagraph"/>
        <w:numPr>
          <w:ilvl w:val="0"/>
          <w:numId w:val="2"/>
        </w:numPr>
        <w:spacing w:after="100" w:line="280"/>
      </w:pPr>
      <w:r>
        <w:rPr>
          <w:b w:val="false"/>
          <w:bCs w:val="false"/>
          <w:color w:val="222222"/>
          <w:sz w:val="22"/>
          <w:szCs w:val="22"/>
        </w:rPr>
        <w:t xml:space="preserve">Constraint Layer: Enforces medical safety rules independently of the prediction layer, then merges with it.</w:t>
      </w:r>
    </w:p>
    <w:p>
      <w:pPr>
        <w:pStyle w:val="ListParagraph"/>
        <w:numPr>
          <w:ilvl w:val="0"/>
          <w:numId w:val="2"/>
        </w:numPr>
        <w:spacing w:after="100" w:line="280"/>
      </w:pPr>
      <w:r>
        <w:rPr>
          <w:b w:val="false"/>
          <w:bCs w:val="false"/>
          <w:color w:val="222222"/>
          <w:sz w:val="22"/>
          <w:szCs w:val="22"/>
        </w:rPr>
        <w:t xml:space="preserve">Recommendation Layer: Hybrid content + collaborative + RAG-grounded retrieval.</w:t>
      </w:r>
    </w:p>
    <w:p>
      <w:pPr>
        <w:pStyle w:val="ListParagraph"/>
        <w:numPr>
          <w:ilvl w:val="0"/>
          <w:numId w:val="2"/>
        </w:numPr>
        <w:spacing w:after="100" w:line="280"/>
      </w:pPr>
      <w:r>
        <w:rPr>
          <w:b w:val="false"/>
          <w:bCs w:val="false"/>
          <w:color w:val="222222"/>
          <w:sz w:val="22"/>
          <w:szCs w:val="22"/>
        </w:rPr>
        <w:t xml:space="preserve">Output Layer: Explainability (SHAP) and the Streamlit demo / evaluation report.</w:t>
      </w:r>
    </w:p>
    <w:p>
      <w:pPr>
        <w:pStyle w:val="Heading1"/>
        <w:pBdr>
          <w:bottom w:val="single" w:color="B71E42" w:sz="6" w:space="4"/>
        </w:pBdr>
        <w:spacing w:after="160" w:before="320"/>
      </w:pPr>
      <w:r>
        <w:rPr>
          <w:b/>
          <w:bCs/>
          <w:color w:val="B71E42"/>
          <w:sz w:val="30"/>
          <w:szCs w:val="30"/>
        </w:rPr>
        <w:t xml:space="preserve">Modern Tools and Technologies</w:t>
      </w:r>
    </w:p>
    <w:p>
      <w:pPr>
        <w:spacing w:after="160" w:line="300"/>
      </w:pPr>
      <w:r>
        <w:rPr>
          <w:color w:val="222222"/>
          <w:sz w:val="22"/>
          <w:szCs w:val="22"/>
        </w:rPr>
        <w:t xml:space="preserve">The following tools and libraries are used across the pipeline. Where the current implementation environment could not install internet-dependent packages, a documented same-family substitute was used (see Implementation section).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4200"/>
      </w:tblGrid>
      <w:tr>
        <w:trPr>
          <w:cantSplit/>
          <w:tblHeader/>
        </w:trPr>
        <w:tc>
          <w:tcPr>
            <w:tcW w:type="dxa" w:w="2400"/>
            <w:shd w:fill="B71E42" w:val="clear"/>
            <w:tcMar>
              <w:top w:type="dxa" w:w="80"/>
              <w:left w:type="dxa" w:w="100"/>
              <w:bottom w:type="dxa" w:w="80"/>
              <w:right w:type="dxa" w:w="100"/>
            </w:tcMar>
          </w:tcPr>
          <w:p>
            <w:r>
              <w:rPr>
                <w:b/>
                <w:bCs/>
                <w:color w:val="FFFFFF"/>
                <w:sz w:val="19"/>
                <w:szCs w:val="19"/>
              </w:rPr>
              <w:t xml:space="preserve">Category</w:t>
            </w:r>
          </w:p>
        </w:tc>
        <w:tc>
          <w:tcPr>
            <w:tcW w:type="dxa" w:w="4200"/>
            <w:shd w:fill="B71E42" w:val="clear"/>
            <w:tcMar>
              <w:top w:type="dxa" w:w="80"/>
              <w:left w:type="dxa" w:w="100"/>
              <w:bottom w:type="dxa" w:w="80"/>
              <w:right w:type="dxa" w:w="100"/>
            </w:tcMar>
          </w:tcPr>
          <w:p>
            <w:r>
              <w:rPr>
                <w:b/>
                <w:bCs/>
                <w:color w:val="FFFFFF"/>
                <w:sz w:val="19"/>
                <w:szCs w:val="19"/>
              </w:rPr>
              <w:t xml:space="preserve">Tool / Library</w:t>
            </w:r>
          </w:p>
        </w:tc>
        <w:tc>
          <w:tcPr>
            <w:tcW w:type="dxa" w:w="4200"/>
            <w:shd w:fill="B71E42" w:val="clear"/>
            <w:tcMar>
              <w:top w:type="dxa" w:w="80"/>
              <w:left w:type="dxa" w:w="100"/>
              <w:bottom w:type="dxa" w:w="80"/>
              <w:right w:type="dxa" w:w="100"/>
            </w:tcMar>
          </w:tcPr>
          <w:p>
            <w:r>
              <w:rPr>
                <w:b/>
                <w:bCs/>
                <w:color w:val="FFFFFF"/>
                <w:sz w:val="19"/>
                <w:szCs w:val="19"/>
              </w:rPr>
              <w:t xml:space="preserve">Role in Project</w:t>
            </w:r>
          </w:p>
        </w:tc>
      </w:tr>
      <w:tr>
        <w:trPr>
          <w:cantSplit/>
        </w:trPr>
        <w:tc>
          <w:tcPr>
            <w:tcW w:type="dxa" w:w="2400"/>
            <w:shd w:fill="F4F1EC" w:val="clear"/>
            <w:tcMar>
              <w:top w:type="dxa" w:w="80"/>
              <w:left w:type="dxa" w:w="100"/>
              <w:bottom w:type="dxa" w:w="80"/>
              <w:right w:type="dxa" w:w="100"/>
            </w:tcMar>
          </w:tcPr>
          <w:p>
            <w:r>
              <w:rPr>
                <w:b w:val="false"/>
                <w:bCs w:val="false"/>
                <w:color w:val="111111"/>
                <w:sz w:val="18"/>
                <w:szCs w:val="18"/>
              </w:rPr>
              <w:t xml:space="preserve">Data Handling</w:t>
            </w:r>
          </w:p>
        </w:tc>
        <w:tc>
          <w:tcPr>
            <w:tcW w:type="dxa" w:w="4200"/>
            <w:shd w:fill="F4F1EC" w:val="clear"/>
            <w:tcMar>
              <w:top w:type="dxa" w:w="80"/>
              <w:left w:type="dxa" w:w="100"/>
              <w:bottom w:type="dxa" w:w="80"/>
              <w:right w:type="dxa" w:w="100"/>
            </w:tcMar>
          </w:tcPr>
          <w:p>
            <w:r>
              <w:rPr>
                <w:b w:val="false"/>
                <w:bCs w:val="false"/>
                <w:color w:val="111111"/>
                <w:sz w:val="18"/>
                <w:szCs w:val="18"/>
              </w:rPr>
              <w:t xml:space="preserve">pandas, NumPy</w:t>
            </w:r>
          </w:p>
        </w:tc>
        <w:tc>
          <w:tcPr>
            <w:tcW w:type="dxa" w:w="4200"/>
            <w:shd w:fill="F4F1EC" w:val="clear"/>
            <w:tcMar>
              <w:top w:type="dxa" w:w="80"/>
              <w:left w:type="dxa" w:w="100"/>
              <w:bottom w:type="dxa" w:w="80"/>
              <w:right w:type="dxa" w:w="100"/>
            </w:tcMar>
          </w:tcPr>
          <w:p>
            <w:r>
              <w:rPr>
                <w:b w:val="false"/>
                <w:bCs w:val="false"/>
                <w:color w:val="111111"/>
                <w:sz w:val="18"/>
                <w:szCs w:val="18"/>
              </w:rPr>
              <w:t xml:space="preserve">Merging NHANES files, feature engineering, cleaning</w:t>
            </w:r>
          </w:p>
        </w:tc>
      </w:tr>
      <w:tr>
        <w:trPr>
          <w:cantSplit/>
        </w:trPr>
        <w:tc>
          <w:tcPr>
            <w:tcW w:type="dxa" w:w="2400"/>
            <w:shd w:fill="FFFFFF" w:val="clear"/>
            <w:tcMar>
              <w:top w:type="dxa" w:w="80"/>
              <w:left w:type="dxa" w:w="100"/>
              <w:bottom w:type="dxa" w:w="80"/>
              <w:right w:type="dxa" w:w="100"/>
            </w:tcMar>
          </w:tcPr>
          <w:p>
            <w:r>
              <w:rPr>
                <w:b w:val="false"/>
                <w:bCs w:val="false"/>
                <w:color w:val="111111"/>
                <w:sz w:val="18"/>
                <w:szCs w:val="18"/>
              </w:rPr>
              <w:t xml:space="preserve">Machine Learning</w:t>
            </w:r>
          </w:p>
        </w:tc>
        <w:tc>
          <w:tcPr>
            <w:tcW w:type="dxa" w:w="4200"/>
            <w:shd w:fill="FFFFFF" w:val="clear"/>
            <w:tcMar>
              <w:top w:type="dxa" w:w="80"/>
              <w:left w:type="dxa" w:w="100"/>
              <w:bottom w:type="dxa" w:w="80"/>
              <w:right w:type="dxa" w:w="100"/>
            </w:tcMar>
          </w:tcPr>
          <w:p>
            <w:r>
              <w:rPr>
                <w:b w:val="false"/>
                <w:bCs w:val="false"/>
                <w:color w:val="111111"/>
                <w:sz w:val="18"/>
                <w:szCs w:val="18"/>
              </w:rPr>
              <w:t xml:space="preserve">scikit-learn (RandomForest, GradientBoosting, HistGradientBoosting, StackingRegressor)</w:t>
            </w:r>
          </w:p>
        </w:tc>
        <w:tc>
          <w:tcPr>
            <w:tcW w:type="dxa" w:w="4200"/>
            <w:shd w:fill="FFFFFF" w:val="clear"/>
            <w:tcMar>
              <w:top w:type="dxa" w:w="80"/>
              <w:left w:type="dxa" w:w="100"/>
              <w:bottom w:type="dxa" w:w="80"/>
              <w:right w:type="dxa" w:w="100"/>
            </w:tcMar>
          </w:tcPr>
          <w:p>
            <w:r>
              <w:rPr>
                <w:b w:val="false"/>
                <w:bCs w:val="false"/>
                <w:color w:val="111111"/>
                <w:sz w:val="18"/>
                <w:szCs w:val="18"/>
              </w:rPr>
              <w:t xml:space="preserve">Base learners + stacked ensemble; production version swaps in LightGBM/XGBoost</w:t>
            </w:r>
          </w:p>
        </w:tc>
      </w:tr>
      <w:tr>
        <w:trPr>
          <w:cantSplit/>
        </w:trPr>
        <w:tc>
          <w:tcPr>
            <w:tcW w:type="dxa" w:w="2400"/>
            <w:shd w:fill="F4F1EC" w:val="clear"/>
            <w:tcMar>
              <w:top w:type="dxa" w:w="80"/>
              <w:left w:type="dxa" w:w="100"/>
              <w:bottom w:type="dxa" w:w="80"/>
              <w:right w:type="dxa" w:w="100"/>
            </w:tcMar>
          </w:tcPr>
          <w:p>
            <w:r>
              <w:rPr>
                <w:b w:val="false"/>
                <w:bCs w:val="false"/>
                <w:color w:val="111111"/>
                <w:sz w:val="18"/>
                <w:szCs w:val="18"/>
              </w:rPr>
              <w:t xml:space="preserve">Explainability</w:t>
            </w:r>
          </w:p>
        </w:tc>
        <w:tc>
          <w:tcPr>
            <w:tcW w:type="dxa" w:w="4200"/>
            <w:shd w:fill="F4F1EC" w:val="clear"/>
            <w:tcMar>
              <w:top w:type="dxa" w:w="80"/>
              <w:left w:type="dxa" w:w="100"/>
              <w:bottom w:type="dxa" w:w="80"/>
              <w:right w:type="dxa" w:w="100"/>
            </w:tcMar>
          </w:tcPr>
          <w:p>
            <w:r>
              <w:rPr>
                <w:b w:val="false"/>
                <w:bCs w:val="false"/>
                <w:color w:val="111111"/>
                <w:sz w:val="18"/>
                <w:szCs w:val="18"/>
              </w:rPr>
              <w:t xml:space="preserve">scikit-learn permutation_importance (SHAP in production)</w:t>
            </w:r>
          </w:p>
        </w:tc>
        <w:tc>
          <w:tcPr>
            <w:tcW w:type="dxa" w:w="4200"/>
            <w:shd w:fill="F4F1EC" w:val="clear"/>
            <w:tcMar>
              <w:top w:type="dxa" w:w="80"/>
              <w:left w:type="dxa" w:w="100"/>
              <w:bottom w:type="dxa" w:w="80"/>
              <w:right w:type="dxa" w:w="100"/>
            </w:tcMar>
          </w:tcPr>
          <w:p>
            <w:r>
              <w:rPr>
                <w:b w:val="false"/>
                <w:bCs w:val="false"/>
                <w:color w:val="111111"/>
                <w:sz w:val="18"/>
                <w:szCs w:val="18"/>
              </w:rPr>
              <w:t xml:space="preserve">Feature attribution for predictions</w:t>
            </w:r>
          </w:p>
        </w:tc>
      </w:tr>
      <w:tr>
        <w:trPr>
          <w:cantSplit/>
        </w:trPr>
        <w:tc>
          <w:tcPr>
            <w:tcW w:type="dxa" w:w="2400"/>
            <w:shd w:fill="FFFFFF" w:val="clear"/>
            <w:tcMar>
              <w:top w:type="dxa" w:w="80"/>
              <w:left w:type="dxa" w:w="100"/>
              <w:bottom w:type="dxa" w:w="80"/>
              <w:right w:type="dxa" w:w="100"/>
            </w:tcMar>
          </w:tcPr>
          <w:p>
            <w:r>
              <w:rPr>
                <w:b w:val="false"/>
                <w:bCs w:val="false"/>
                <w:color w:val="111111"/>
                <w:sz w:val="18"/>
                <w:szCs w:val="18"/>
              </w:rPr>
              <w:t xml:space="preserve">Retrieval / RAG</w:t>
            </w:r>
          </w:p>
        </w:tc>
        <w:tc>
          <w:tcPr>
            <w:tcW w:type="dxa" w:w="4200"/>
            <w:shd w:fill="FFFFFF" w:val="clear"/>
            <w:tcMar>
              <w:top w:type="dxa" w:w="80"/>
              <w:left w:type="dxa" w:w="100"/>
              <w:bottom w:type="dxa" w:w="80"/>
              <w:right w:type="dxa" w:w="100"/>
            </w:tcMar>
          </w:tcPr>
          <w:p>
            <w:r>
              <w:rPr>
                <w:b w:val="false"/>
                <w:bCs w:val="false"/>
                <w:color w:val="111111"/>
                <w:sz w:val="18"/>
                <w:szCs w:val="18"/>
              </w:rPr>
              <w:t xml:space="preserve">sentence-transformers, FAISS</w:t>
            </w:r>
          </w:p>
        </w:tc>
        <w:tc>
          <w:tcPr>
            <w:tcW w:type="dxa" w:w="4200"/>
            <w:shd w:fill="FFFFFF" w:val="clear"/>
            <w:tcMar>
              <w:top w:type="dxa" w:w="80"/>
              <w:left w:type="dxa" w:w="100"/>
              <w:bottom w:type="dxa" w:w="80"/>
              <w:right w:type="dxa" w:w="100"/>
            </w:tcMar>
          </w:tcPr>
          <w:p>
            <w:r>
              <w:rPr>
                <w:b w:val="false"/>
                <w:bCs w:val="false"/>
                <w:color w:val="111111"/>
                <w:sz w:val="18"/>
                <w:szCs w:val="18"/>
              </w:rPr>
              <w:t xml:space="preserve">Embedding food/recipe text and grounded retrieval</w:t>
            </w:r>
          </w:p>
        </w:tc>
      </w:tr>
      <w:tr>
        <w:trPr>
          <w:cantSplit/>
        </w:trPr>
        <w:tc>
          <w:tcPr>
            <w:tcW w:type="dxa" w:w="2400"/>
            <w:shd w:fill="F4F1EC" w:val="clear"/>
            <w:tcMar>
              <w:top w:type="dxa" w:w="80"/>
              <w:left w:type="dxa" w:w="100"/>
              <w:bottom w:type="dxa" w:w="80"/>
              <w:right w:type="dxa" w:w="100"/>
            </w:tcMar>
          </w:tcPr>
          <w:p>
            <w:r>
              <w:rPr>
                <w:b w:val="false"/>
                <w:bCs w:val="false"/>
                <w:color w:val="111111"/>
                <w:sz w:val="18"/>
                <w:szCs w:val="18"/>
              </w:rPr>
              <w:t xml:space="preserve">Visualization</w:t>
            </w:r>
          </w:p>
        </w:tc>
        <w:tc>
          <w:tcPr>
            <w:tcW w:type="dxa" w:w="4200"/>
            <w:shd w:fill="F4F1EC" w:val="clear"/>
            <w:tcMar>
              <w:top w:type="dxa" w:w="80"/>
              <w:left w:type="dxa" w:w="100"/>
              <w:bottom w:type="dxa" w:w="80"/>
              <w:right w:type="dxa" w:w="100"/>
            </w:tcMar>
          </w:tcPr>
          <w:p>
            <w:r>
              <w:rPr>
                <w:b w:val="false"/>
                <w:bCs w:val="false"/>
                <w:color w:val="111111"/>
                <w:sz w:val="18"/>
                <w:szCs w:val="18"/>
              </w:rPr>
              <w:t xml:space="preserve">Matplotlib</w:t>
            </w:r>
          </w:p>
        </w:tc>
        <w:tc>
          <w:tcPr>
            <w:tcW w:type="dxa" w:w="4200"/>
            <w:shd w:fill="F4F1EC" w:val="clear"/>
            <w:tcMar>
              <w:top w:type="dxa" w:w="80"/>
              <w:left w:type="dxa" w:w="100"/>
              <w:bottom w:type="dxa" w:w="80"/>
              <w:right w:type="dxa" w:w="100"/>
            </w:tcMar>
          </w:tcPr>
          <w:p>
            <w:r>
              <w:rPr>
                <w:b w:val="false"/>
                <w:bCs w:val="false"/>
                <w:color w:val="111111"/>
                <w:sz w:val="18"/>
                <w:szCs w:val="18"/>
              </w:rPr>
              <w:t xml:space="preserve">Evaluation plots, architecture diagrams</w:t>
            </w:r>
          </w:p>
        </w:tc>
      </w:tr>
      <w:tr>
        <w:trPr>
          <w:cantSplit/>
        </w:trPr>
        <w:tc>
          <w:tcPr>
            <w:tcW w:type="dxa" w:w="2400"/>
            <w:shd w:fill="FFFFFF" w:val="clear"/>
            <w:tcMar>
              <w:top w:type="dxa" w:w="80"/>
              <w:left w:type="dxa" w:w="100"/>
              <w:bottom w:type="dxa" w:w="80"/>
              <w:right w:type="dxa" w:w="100"/>
            </w:tcMar>
          </w:tcPr>
          <w:p>
            <w:r>
              <w:rPr>
                <w:b w:val="false"/>
                <w:bCs w:val="false"/>
                <w:color w:val="111111"/>
                <w:sz w:val="18"/>
                <w:szCs w:val="18"/>
              </w:rPr>
              <w:t xml:space="preserve">Demo / Deployment</w:t>
            </w:r>
          </w:p>
        </w:tc>
        <w:tc>
          <w:tcPr>
            <w:tcW w:type="dxa" w:w="4200"/>
            <w:shd w:fill="FFFFFF" w:val="clear"/>
            <w:tcMar>
              <w:top w:type="dxa" w:w="80"/>
              <w:left w:type="dxa" w:w="100"/>
              <w:bottom w:type="dxa" w:w="80"/>
              <w:right w:type="dxa" w:w="100"/>
            </w:tcMar>
          </w:tcPr>
          <w:p>
            <w:r>
              <w:rPr>
                <w:b w:val="false"/>
                <w:bCs w:val="false"/>
                <w:color w:val="111111"/>
                <w:sz w:val="18"/>
                <w:szCs w:val="18"/>
              </w:rPr>
              <w:t xml:space="preserve">Streamlit</w:t>
            </w:r>
          </w:p>
        </w:tc>
        <w:tc>
          <w:tcPr>
            <w:tcW w:type="dxa" w:w="4200"/>
            <w:shd w:fill="FFFFFF" w:val="clear"/>
            <w:tcMar>
              <w:top w:type="dxa" w:w="80"/>
              <w:left w:type="dxa" w:w="100"/>
              <w:bottom w:type="dxa" w:w="80"/>
              <w:right w:type="dxa" w:w="100"/>
            </w:tcMar>
          </w:tcPr>
          <w:p>
            <w:r>
              <w:rPr>
                <w:b w:val="false"/>
                <w:bCs w:val="false"/>
                <w:color w:val="111111"/>
                <w:sz w:val="18"/>
                <w:szCs w:val="18"/>
              </w:rPr>
              <w:t xml:space="preserve">Interactive end-to-end demo application</w:t>
            </w:r>
          </w:p>
        </w:tc>
      </w:tr>
      <w:tr>
        <w:trPr>
          <w:cantSplit/>
        </w:trPr>
        <w:tc>
          <w:tcPr>
            <w:tcW w:type="dxa" w:w="2400"/>
            <w:shd w:fill="F4F1EC" w:val="clear"/>
            <w:tcMar>
              <w:top w:type="dxa" w:w="80"/>
              <w:left w:type="dxa" w:w="100"/>
              <w:bottom w:type="dxa" w:w="80"/>
              <w:right w:type="dxa" w:w="100"/>
            </w:tcMar>
          </w:tcPr>
          <w:p>
            <w:r>
              <w:rPr>
                <w:b w:val="false"/>
                <w:bCs w:val="false"/>
                <w:color w:val="111111"/>
                <w:sz w:val="18"/>
                <w:szCs w:val="18"/>
              </w:rPr>
              <w:t xml:space="preserve">Model Persistence</w:t>
            </w:r>
          </w:p>
        </w:tc>
        <w:tc>
          <w:tcPr>
            <w:tcW w:type="dxa" w:w="4200"/>
            <w:shd w:fill="F4F1EC" w:val="clear"/>
            <w:tcMar>
              <w:top w:type="dxa" w:w="80"/>
              <w:left w:type="dxa" w:w="100"/>
              <w:bottom w:type="dxa" w:w="80"/>
              <w:right w:type="dxa" w:w="100"/>
            </w:tcMar>
          </w:tcPr>
          <w:p>
            <w:r>
              <w:rPr>
                <w:b w:val="false"/>
                <w:bCs w:val="false"/>
                <w:color w:val="111111"/>
                <w:sz w:val="18"/>
                <w:szCs w:val="18"/>
              </w:rPr>
              <w:t xml:space="preserve">joblib</w:t>
            </w:r>
          </w:p>
        </w:tc>
        <w:tc>
          <w:tcPr>
            <w:tcW w:type="dxa" w:w="4200"/>
            <w:shd w:fill="F4F1EC" w:val="clear"/>
            <w:tcMar>
              <w:top w:type="dxa" w:w="80"/>
              <w:left w:type="dxa" w:w="100"/>
              <w:bottom w:type="dxa" w:w="80"/>
              <w:right w:type="dxa" w:w="100"/>
            </w:tcMar>
          </w:tcPr>
          <w:p>
            <w:r>
              <w:rPr>
                <w:b w:val="false"/>
                <w:bCs w:val="false"/>
                <w:color w:val="111111"/>
                <w:sz w:val="18"/>
                <w:szCs w:val="18"/>
              </w:rPr>
              <w:t xml:space="preserve">Saving/loading trained models</w:t>
            </w:r>
          </w:p>
        </w:tc>
      </w:tr>
    </w:tbl>
    <w:p>
      <w:r>
        <w:br w:type="page"/>
      </w:r>
    </w:p>
    <w:p>
      <w:pPr>
        <w:pStyle w:val="Heading1"/>
        <w:pBdr>
          <w:bottom w:val="single" w:color="B71E42" w:sz="6" w:space="4"/>
        </w:pBdr>
        <w:spacing w:after="160" w:before="320"/>
      </w:pPr>
      <w:r>
        <w:rPr>
          <w:b/>
          <w:bCs/>
          <w:color w:val="B71E42"/>
          <w:sz w:val="30"/>
          <w:szCs w:val="30"/>
        </w:rPr>
        <w:t xml:space="preserve">Implementation</w:t>
      </w:r>
    </w:p>
    <w:p>
      <w:pPr>
        <w:spacing w:after="160" w:line="300"/>
      </w:pPr>
      <w:r>
        <w:rPr>
          <w:color w:val="222222"/>
          <w:sz w:val="22"/>
          <w:szCs w:val="22"/>
        </w:rPr>
        <w:t xml:space="preserve">The core pipeline has been implemented and executed end-to-end in Python. Six modules were built: synthetic/real data loading, feature engineering, stacked ensemble training, the biomarker constraint layer, explainability, and evaluation/visualization.</w:t>
      </w:r>
    </w:p>
    <w:p>
      <w:pPr>
        <w:spacing w:after="100" w:before="220"/>
      </w:pPr>
      <w:r>
        <w:rPr>
          <w:b/>
          <w:bCs/>
          <w:color w:val="1B2A4A"/>
          <w:sz w:val="24"/>
          <w:szCs w:val="24"/>
        </w:rPr>
        <w:t xml:space="preserve">Implementation Note on Data and Libraries</w:t>
      </w:r>
    </w:p>
    <w:p>
      <w:pPr>
        <w:spacing w:after="160" w:line="300"/>
      </w:pPr>
      <w:r>
        <w:rPr>
          <w:color w:val="222222"/>
          <w:sz w:val="22"/>
          <w:szCs w:val="22"/>
        </w:rPr>
        <w:t xml:space="preserve">The development environment used for this stage does not have internet access, so two substitutions were made to keep the pipeline fully runnable and produce real, executed results rather than only planned pseudocode:</w:t>
      </w:r>
    </w:p>
    <w:p>
      <w:pPr>
        <w:pStyle w:val="ListParagraph"/>
        <w:numPr>
          <w:ilvl w:val="0"/>
          <w:numId w:val="2"/>
        </w:numPr>
        <w:spacing w:after="100" w:line="280"/>
      </w:pPr>
      <w:r>
        <w:rPr>
          <w:b w:val="false"/>
          <w:bCs w:val="false"/>
          <w:color w:val="222222"/>
          <w:sz w:val="22"/>
          <w:szCs w:val="22"/>
        </w:rPr>
        <w:t xml:space="preserve">Real NHANES download → a synthetic dataset generated with the same field structure and realistic statistical relationships (e.g., BMI-linked biomarkers, Mifflin-St Jeor based calorie targets). This will be replaced with the actual NHANES .XPT files once downloaded.</w:t>
      </w:r>
    </w:p>
    <w:p>
      <w:pPr>
        <w:pStyle w:val="ListParagraph"/>
        <w:numPr>
          <w:ilvl w:val="0"/>
          <w:numId w:val="2"/>
        </w:numPr>
        <w:spacing w:after="100" w:line="280"/>
      </w:pPr>
      <w:r>
        <w:rPr>
          <w:b w:val="false"/>
          <w:bCs w:val="false"/>
          <w:color w:val="222222"/>
          <w:sz w:val="22"/>
          <w:szCs w:val="22"/>
        </w:rPr>
        <w:t xml:space="preserve">LightGBM / XGBoost / SHAP (require internet to install) → same-family scikit-learn equivalents: HistGradientBoostingRegressor (LightGBM-analog), GradientBoostingRegressor (XGBoost-analog), and permutation_importance (SHAP-analog). The architecture (stacked ensemble + meta-learner) is unchanged; only the specific library call is swapped.</w:t>
      </w:r>
    </w:p>
    <w:p>
      <w:pPr>
        <w:spacing w:after="100" w:before="220"/>
      </w:pPr>
      <w:r>
        <w:rPr>
          <w:b/>
          <w:bCs/>
          <w:color w:val="1B2A4A"/>
          <w:sz w:val="24"/>
          <w:szCs w:val="24"/>
        </w:rPr>
        <w:t xml:space="preserve">Stacked Ensemble (core code excerpt)</w:t>
      </w:r>
    </w:p>
    <w:p>
      <w:pPr>
        <w:spacing w:after="160" w:line="300"/>
      </w:pPr>
      <w:r>
        <w:rPr>
          <w:color w:val="222222"/>
          <w:sz w:val="22"/>
          <w:szCs w:val="22"/>
        </w:rPr>
        <w:t xml:space="preserve">The stacking architecture is implemented directly via scikit-learn's StackingRegressor, combining three base learners with a Ridge meta-learner:</w:t>
      </w:r>
    </w:p>
    <w:p>
      <w:pPr>
        <w:shd w:fill="F4F1EC" w:val="clear"/>
        <w:spacing w:after="200"/>
      </w:pPr>
      <w:r>
        <w:rPr>
          <w:rFonts w:ascii="Consolas" w:cs="Consolas" w:eastAsia="Consolas" w:hAnsi="Consolas"/>
          <w:color w:val="222222"/>
          <w:sz w:val="19"/>
          <w:szCs w:val="19"/>
        </w:rPr>
        <w:t xml:space="preserve">base_learners = [</w:t>
      </w:r>
      <w:r>
        <w:br/>
        <w:t xml:space="preserve"/>
      </w:r>
      <w:r>
        <w:rPr>
          <w:rFonts w:ascii="Consolas" w:cs="Consolas" w:eastAsia="Consolas" w:hAnsi="Consolas"/>
          <w:color w:val="222222"/>
          <w:sz w:val="19"/>
          <w:szCs w:val="19"/>
        </w:rPr>
        <w:t xml:space="preserve">    ("hist_gb", HistGradientBoostingRegressor(max_depth=5)),</w:t>
      </w:r>
      <w:r>
        <w:br/>
        <w:t xml:space="preserve"/>
      </w:r>
      <w:r>
        <w:rPr>
          <w:rFonts w:ascii="Consolas" w:cs="Consolas" w:eastAsia="Consolas" w:hAnsi="Consolas"/>
          <w:color w:val="222222"/>
          <w:sz w:val="19"/>
          <w:szCs w:val="19"/>
        </w:rPr>
        <w:t xml:space="preserve">    ("grad_b", GradientBoostingRegressor(n_estimators=200, max_depth=3)),</w:t>
      </w:r>
      <w:r>
        <w:br/>
        <w:t xml:space="preserve"/>
      </w:r>
      <w:r>
        <w:rPr>
          <w:rFonts w:ascii="Consolas" w:cs="Consolas" w:eastAsia="Consolas" w:hAnsi="Consolas"/>
          <w:color w:val="222222"/>
          <w:sz w:val="19"/>
          <w:szCs w:val="19"/>
        </w:rPr>
        <w:t xml:space="preserve">    ("rf", RandomForestRegressor(n_estimators=300, max_depth=8)),</w:t>
      </w:r>
      <w:r>
        <w:br/>
        <w:t xml:space="preserve"/>
      </w:r>
      <w:r>
        <w:rPr>
          <w:rFonts w:ascii="Consolas" w:cs="Consolas" w:eastAsia="Consolas" w:hAnsi="Consolas"/>
          <w:color w:val="222222"/>
          <w:sz w:val="19"/>
          <w:szCs w:val="19"/>
        </w:rPr>
        <w:t xml:space="preserve">]</w:t>
      </w:r>
      <w:r>
        <w:br/>
        <w:t xml:space="preserve"/>
      </w:r>
      <w:r>
        <w:rPr>
          <w:rFonts w:ascii="Consolas" w:cs="Consolas" w:eastAsia="Consolas" w:hAnsi="Consolas"/>
          <w:color w:val="222222"/>
          <w:sz w:val="19"/>
          <w:szCs w:val="19"/>
        </w:rPr>
        <w:t xml:space="preserve">model = StackingRegressor(estimators=base_learners,</w:t>
      </w:r>
      <w:r>
        <w:br/>
        <w:t xml:space="preserve"/>
      </w:r>
      <w:r>
        <w:rPr>
          <w:rFonts w:ascii="Consolas" w:cs="Consolas" w:eastAsia="Consolas" w:hAnsi="Consolas"/>
          <w:color w:val="222222"/>
          <w:sz w:val="19"/>
          <w:szCs w:val="19"/>
        </w:rPr>
        <w:t xml:space="preserve">                           final_estimator=Ridge(alpha=1.0), cv=5)</w:t>
      </w:r>
      <w:r>
        <w:br/>
        <w:t xml:space="preserve"/>
      </w:r>
      <w:r>
        <w:rPr>
          <w:rFonts w:ascii="Consolas" w:cs="Consolas" w:eastAsia="Consolas" w:hAnsi="Consolas"/>
          <w:color w:val="222222"/>
          <w:sz w:val="19"/>
          <w:szCs w:val="19"/>
        </w:rPr>
        <w:t xml:space="preserve">model.fit(X_train, y_train)</w:t>
      </w:r>
    </w:p>
    <w:p>
      <w:pPr>
        <w:spacing w:after="100" w:before="220"/>
      </w:pPr>
      <w:r>
        <w:rPr>
          <w:b/>
          <w:bCs/>
          <w:color w:val="1B2A4A"/>
          <w:sz w:val="24"/>
          <w:szCs w:val="24"/>
        </w:rPr>
        <w:t xml:space="preserve">Constraint Layer (core code excerpt)</w:t>
      </w:r>
    </w:p>
    <w:p>
      <w:pPr>
        <w:shd w:fill="F4F1EC" w:val="clear"/>
        <w:spacing w:after="200"/>
      </w:pPr>
      <w:r>
        <w:rPr>
          <w:rFonts w:ascii="Consolas" w:cs="Consolas" w:eastAsia="Consolas" w:hAnsi="Consolas"/>
          <w:color w:val="222222"/>
          <w:sz w:val="19"/>
          <w:szCs w:val="19"/>
        </w:rPr>
        <w:t xml:space="preserve">if row["HBA1C"] &gt;= 6.5:</w:t>
      </w:r>
      <w:r>
        <w:br/>
        <w:t xml:space="preserve"/>
      </w:r>
      <w:r>
        <w:rPr>
          <w:rFonts w:ascii="Consolas" w:cs="Consolas" w:eastAsia="Consolas" w:hAnsi="Consolas"/>
          <w:color w:val="222222"/>
          <w:sz w:val="19"/>
          <w:szCs w:val="19"/>
        </w:rPr>
        <w:t xml:space="preserve">    cap = predicted_carbs_g * 0.75</w:t>
      </w:r>
      <w:r>
        <w:br/>
        <w:t xml:space="preserve"/>
      </w:r>
      <w:r>
        <w:rPr>
          <w:rFonts w:ascii="Consolas" w:cs="Consolas" w:eastAsia="Consolas" w:hAnsi="Consolas"/>
          <w:color w:val="222222"/>
          <w:sz w:val="19"/>
          <w:szCs w:val="19"/>
        </w:rPr>
        <w:t xml:space="preserve">    if predicted_carbs_g &gt; cap:</w:t>
      </w:r>
      <w:r>
        <w:br/>
        <w:t xml:space="preserve"/>
      </w:r>
      <w:r>
        <w:rPr>
          <w:rFonts w:ascii="Consolas" w:cs="Consolas" w:eastAsia="Consolas" w:hAnsi="Consolas"/>
          <w:color w:val="222222"/>
          <w:sz w:val="19"/>
          <w:szCs w:val="19"/>
        </w:rPr>
        <w:t xml:space="preserve">        adj_carbs = cap  # hard safety constraint, not a soft feature</w:t>
      </w:r>
    </w:p>
    <w:p>
      <w:pPr>
        <w:spacing w:after="160" w:line="300"/>
      </w:pPr>
      <w:r>
        <w:rPr>
          <w:color w:val="222222"/>
          <w:sz w:val="22"/>
          <w:szCs w:val="22"/>
        </w:rPr>
        <w:t xml:space="preserve">Verified with test cases: a diabetic profile (HbA1c 7.2%) had its carbohydrate target reduced from 220g to 165g, while a healthy profile (HbA1c 5.1%) passed through with no adjustment — confirming the constraint layer activates only when medically appropriate.</w:t>
      </w:r>
    </w:p>
    <w:p>
      <w:pPr>
        <w:pStyle w:val="Heading1"/>
        <w:pBdr>
          <w:bottom w:val="single" w:color="B71E42" w:sz="6" w:space="4"/>
        </w:pBdr>
        <w:spacing w:after="160" w:before="320"/>
      </w:pPr>
      <w:r>
        <w:rPr>
          <w:b/>
          <w:bCs/>
          <w:color w:val="B71E42"/>
          <w:sz w:val="30"/>
          <w:szCs w:val="30"/>
        </w:rPr>
        <w:t xml:space="preserve">Results</w:t>
      </w:r>
    </w:p>
    <w:p>
      <w:pPr>
        <w:spacing w:after="160" w:line="300"/>
      </w:pPr>
      <w:r>
        <w:rPr>
          <w:color w:val="222222"/>
          <w:sz w:val="22"/>
          <w:szCs w:val="22"/>
        </w:rPr>
        <w:t xml:space="preserve">The stacked ensemble was trained and evaluated on an 80/20 train-test split of the (synthetic) dataset, predicting personalized daily calorie targets. Results below are real outputs from the executed code, not projected figures.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2200"/>
        <w:gridCol w:w="2200"/>
      </w:tblGrid>
      <w:tr>
        <w:trPr>
          <w:cantSplit/>
          <w:tblHeader/>
        </w:trPr>
        <w:tc>
          <w:tcPr>
            <w:tcW w:type="dxa" w:w="4000"/>
            <w:shd w:fill="B71E42" w:val="clear"/>
            <w:tcMar>
              <w:top w:type="dxa" w:w="80"/>
              <w:left w:type="dxa" w:w="100"/>
              <w:bottom w:type="dxa" w:w="80"/>
              <w:right w:type="dxa" w:w="100"/>
            </w:tcMar>
          </w:tcPr>
          <w:p>
            <w:r>
              <w:rPr>
                <w:b/>
                <w:bCs/>
                <w:color w:val="FFFFFF"/>
                <w:sz w:val="19"/>
                <w:szCs w:val="19"/>
              </w:rPr>
              <w:t xml:space="preserve">Model</w:t>
            </w:r>
          </w:p>
        </w:tc>
        <w:tc>
          <w:tcPr>
            <w:tcW w:type="dxa" w:w="2200"/>
            <w:shd w:fill="B71E42" w:val="clear"/>
            <w:tcMar>
              <w:top w:type="dxa" w:w="80"/>
              <w:left w:type="dxa" w:w="100"/>
              <w:bottom w:type="dxa" w:w="80"/>
              <w:right w:type="dxa" w:w="100"/>
            </w:tcMar>
          </w:tcPr>
          <w:p>
            <w:r>
              <w:rPr>
                <w:b/>
                <w:bCs/>
                <w:color w:val="FFFFFF"/>
                <w:sz w:val="19"/>
                <w:szCs w:val="19"/>
              </w:rPr>
              <w:t xml:space="preserve">RMSE</w:t>
            </w:r>
          </w:p>
        </w:tc>
        <w:tc>
          <w:tcPr>
            <w:tcW w:type="dxa" w:w="2200"/>
            <w:shd w:fill="B71E42" w:val="clear"/>
            <w:tcMar>
              <w:top w:type="dxa" w:w="80"/>
              <w:left w:type="dxa" w:w="100"/>
              <w:bottom w:type="dxa" w:w="80"/>
              <w:right w:type="dxa" w:w="100"/>
            </w:tcMar>
          </w:tcPr>
          <w:p>
            <w:r>
              <w:rPr>
                <w:b/>
                <w:bCs/>
                <w:color w:val="FFFFFF"/>
                <w:sz w:val="19"/>
                <w:szCs w:val="19"/>
              </w:rPr>
              <w:t xml:space="preserve">MAE</w:t>
            </w:r>
          </w:p>
        </w:tc>
        <w:tc>
          <w:tcPr>
            <w:tcW w:type="dxa" w:w="2200"/>
            <w:shd w:fill="B71E42" w:val="clear"/>
            <w:tcMar>
              <w:top w:type="dxa" w:w="80"/>
              <w:left w:type="dxa" w:w="100"/>
              <w:bottom w:type="dxa" w:w="80"/>
              <w:right w:type="dxa" w:w="100"/>
            </w:tcMar>
          </w:tcPr>
          <w:p>
            <w:r>
              <w:rPr>
                <w:b/>
                <w:bCs/>
                <w:color w:val="FFFFFF"/>
                <w:sz w:val="19"/>
                <w:szCs w:val="19"/>
              </w:rPr>
              <w:t xml:space="preserve">R²</w:t>
            </w:r>
          </w:p>
        </w:tc>
      </w:tr>
      <w:tr>
        <w:trPr>
          <w:cantSplit/>
        </w:trPr>
        <w:tc>
          <w:tcPr>
            <w:tcW w:type="dxa" w:w="4000"/>
            <w:shd w:fill="F4F1EC" w:val="clear"/>
            <w:tcMar>
              <w:top w:type="dxa" w:w="80"/>
              <w:left w:type="dxa" w:w="100"/>
              <w:bottom w:type="dxa" w:w="80"/>
              <w:right w:type="dxa" w:w="100"/>
            </w:tcMar>
          </w:tcPr>
          <w:p>
            <w:r>
              <w:rPr>
                <w:b w:val="false"/>
                <w:bCs w:val="false"/>
                <w:color w:val="111111"/>
                <w:sz w:val="18"/>
                <w:szCs w:val="18"/>
              </w:rPr>
              <w:t xml:space="preserve">hist_gb (LightGBM-analog)</w:t>
            </w:r>
          </w:p>
        </w:tc>
        <w:tc>
          <w:tcPr>
            <w:tcW w:type="dxa" w:w="2200"/>
            <w:shd w:fill="F4F1EC" w:val="clear"/>
            <w:tcMar>
              <w:top w:type="dxa" w:w="80"/>
              <w:left w:type="dxa" w:w="100"/>
              <w:bottom w:type="dxa" w:w="80"/>
              <w:right w:type="dxa" w:w="100"/>
            </w:tcMar>
          </w:tcPr>
          <w:p>
            <w:r>
              <w:rPr>
                <w:b w:val="false"/>
                <w:bCs w:val="false"/>
                <w:color w:val="111111"/>
                <w:sz w:val="18"/>
                <w:szCs w:val="18"/>
              </w:rPr>
              <w:t xml:space="preserve">213.24</w:t>
            </w:r>
          </w:p>
        </w:tc>
        <w:tc>
          <w:tcPr>
            <w:tcW w:type="dxa" w:w="2200"/>
            <w:shd w:fill="F4F1EC" w:val="clear"/>
            <w:tcMar>
              <w:top w:type="dxa" w:w="80"/>
              <w:left w:type="dxa" w:w="100"/>
              <w:bottom w:type="dxa" w:w="80"/>
              <w:right w:type="dxa" w:w="100"/>
            </w:tcMar>
          </w:tcPr>
          <w:p>
            <w:r>
              <w:rPr>
                <w:b w:val="false"/>
                <w:bCs w:val="false"/>
                <w:color w:val="111111"/>
                <w:sz w:val="18"/>
                <w:szCs w:val="18"/>
              </w:rPr>
              <w:t xml:space="preserve">170.88</w:t>
            </w:r>
          </w:p>
        </w:tc>
        <w:tc>
          <w:tcPr>
            <w:tcW w:type="dxa" w:w="2200"/>
            <w:shd w:fill="F4F1EC" w:val="clear"/>
            <w:tcMar>
              <w:top w:type="dxa" w:w="80"/>
              <w:left w:type="dxa" w:w="100"/>
              <w:bottom w:type="dxa" w:w="80"/>
              <w:right w:type="dxa" w:w="100"/>
            </w:tcMar>
          </w:tcPr>
          <w:p>
            <w:r>
              <w:rPr>
                <w:b w:val="false"/>
                <w:bCs w:val="false"/>
                <w:color w:val="111111"/>
                <w:sz w:val="18"/>
                <w:szCs w:val="18"/>
              </w:rPr>
              <w:t xml:space="preserve">0.739</w:t>
            </w:r>
          </w:p>
        </w:tc>
      </w:tr>
      <w:tr>
        <w:trPr>
          <w:cantSplit/>
        </w:trPr>
        <w:tc>
          <w:tcPr>
            <w:tcW w:type="dxa" w:w="4000"/>
            <w:shd w:fill="FFFFFF" w:val="clear"/>
            <w:tcMar>
              <w:top w:type="dxa" w:w="80"/>
              <w:left w:type="dxa" w:w="100"/>
              <w:bottom w:type="dxa" w:w="80"/>
              <w:right w:type="dxa" w:w="100"/>
            </w:tcMar>
          </w:tcPr>
          <w:p>
            <w:r>
              <w:rPr>
                <w:b w:val="false"/>
                <w:bCs w:val="false"/>
                <w:color w:val="111111"/>
                <w:sz w:val="18"/>
                <w:szCs w:val="18"/>
              </w:rPr>
              <w:t xml:space="preserve">grad_b (XGBoost-analog)</w:t>
            </w:r>
          </w:p>
        </w:tc>
        <w:tc>
          <w:tcPr>
            <w:tcW w:type="dxa" w:w="2200"/>
            <w:shd w:fill="FFFFFF" w:val="clear"/>
            <w:tcMar>
              <w:top w:type="dxa" w:w="80"/>
              <w:left w:type="dxa" w:w="100"/>
              <w:bottom w:type="dxa" w:w="80"/>
              <w:right w:type="dxa" w:w="100"/>
            </w:tcMar>
          </w:tcPr>
          <w:p>
            <w:r>
              <w:rPr>
                <w:b w:val="false"/>
                <w:bCs w:val="false"/>
                <w:color w:val="111111"/>
                <w:sz w:val="18"/>
                <w:szCs w:val="18"/>
              </w:rPr>
              <w:t xml:space="preserve">209.03</w:t>
            </w:r>
          </w:p>
        </w:tc>
        <w:tc>
          <w:tcPr>
            <w:tcW w:type="dxa" w:w="2200"/>
            <w:shd w:fill="FFFFFF" w:val="clear"/>
            <w:tcMar>
              <w:top w:type="dxa" w:w="80"/>
              <w:left w:type="dxa" w:w="100"/>
              <w:bottom w:type="dxa" w:w="80"/>
              <w:right w:type="dxa" w:w="100"/>
            </w:tcMar>
          </w:tcPr>
          <w:p>
            <w:r>
              <w:rPr>
                <w:b w:val="false"/>
                <w:bCs w:val="false"/>
                <w:color w:val="111111"/>
                <w:sz w:val="18"/>
                <w:szCs w:val="18"/>
              </w:rPr>
              <w:t xml:space="preserve">165.91</w:t>
            </w:r>
          </w:p>
        </w:tc>
        <w:tc>
          <w:tcPr>
            <w:tcW w:type="dxa" w:w="2200"/>
            <w:shd w:fill="FFFFFF" w:val="clear"/>
            <w:tcMar>
              <w:top w:type="dxa" w:w="80"/>
              <w:left w:type="dxa" w:w="100"/>
              <w:bottom w:type="dxa" w:w="80"/>
              <w:right w:type="dxa" w:w="100"/>
            </w:tcMar>
          </w:tcPr>
          <w:p>
            <w:r>
              <w:rPr>
                <w:b w:val="false"/>
                <w:bCs w:val="false"/>
                <w:color w:val="111111"/>
                <w:sz w:val="18"/>
                <w:szCs w:val="18"/>
              </w:rPr>
              <w:t xml:space="preserve">0.749</w:t>
            </w:r>
          </w:p>
        </w:tc>
      </w:tr>
      <w:tr>
        <w:trPr>
          <w:cantSplit/>
        </w:trPr>
        <w:tc>
          <w:tcPr>
            <w:tcW w:type="dxa" w:w="4000"/>
            <w:shd w:fill="F4F1EC" w:val="clear"/>
            <w:tcMar>
              <w:top w:type="dxa" w:w="80"/>
              <w:left w:type="dxa" w:w="100"/>
              <w:bottom w:type="dxa" w:w="80"/>
              <w:right w:type="dxa" w:w="100"/>
            </w:tcMar>
          </w:tcPr>
          <w:p>
            <w:r>
              <w:rPr>
                <w:b w:val="false"/>
                <w:bCs w:val="false"/>
                <w:color w:val="111111"/>
                <w:sz w:val="18"/>
                <w:szCs w:val="18"/>
              </w:rPr>
              <w:t xml:space="preserve">rf (Random Forest)</w:t>
            </w:r>
          </w:p>
        </w:tc>
        <w:tc>
          <w:tcPr>
            <w:tcW w:type="dxa" w:w="2200"/>
            <w:shd w:fill="F4F1EC" w:val="clear"/>
            <w:tcMar>
              <w:top w:type="dxa" w:w="80"/>
              <w:left w:type="dxa" w:w="100"/>
              <w:bottom w:type="dxa" w:w="80"/>
              <w:right w:type="dxa" w:w="100"/>
            </w:tcMar>
          </w:tcPr>
          <w:p>
            <w:r>
              <w:rPr>
                <w:b w:val="false"/>
                <w:bCs w:val="false"/>
                <w:color w:val="111111"/>
                <w:sz w:val="18"/>
                <w:szCs w:val="18"/>
              </w:rPr>
              <w:t xml:space="preserve">206.63</w:t>
            </w:r>
          </w:p>
        </w:tc>
        <w:tc>
          <w:tcPr>
            <w:tcW w:type="dxa" w:w="2200"/>
            <w:shd w:fill="F4F1EC" w:val="clear"/>
            <w:tcMar>
              <w:top w:type="dxa" w:w="80"/>
              <w:left w:type="dxa" w:w="100"/>
              <w:bottom w:type="dxa" w:w="80"/>
              <w:right w:type="dxa" w:w="100"/>
            </w:tcMar>
          </w:tcPr>
          <w:p>
            <w:r>
              <w:rPr>
                <w:b w:val="false"/>
                <w:bCs w:val="false"/>
                <w:color w:val="111111"/>
                <w:sz w:val="18"/>
                <w:szCs w:val="18"/>
              </w:rPr>
              <w:t xml:space="preserve">164.11</w:t>
            </w:r>
          </w:p>
        </w:tc>
        <w:tc>
          <w:tcPr>
            <w:tcW w:type="dxa" w:w="2200"/>
            <w:shd w:fill="F4F1EC" w:val="clear"/>
            <w:tcMar>
              <w:top w:type="dxa" w:w="80"/>
              <w:left w:type="dxa" w:w="100"/>
              <w:bottom w:type="dxa" w:w="80"/>
              <w:right w:type="dxa" w:w="100"/>
            </w:tcMar>
          </w:tcPr>
          <w:p>
            <w:r>
              <w:rPr>
                <w:b w:val="false"/>
                <w:bCs w:val="false"/>
                <w:color w:val="111111"/>
                <w:sz w:val="18"/>
                <w:szCs w:val="18"/>
              </w:rPr>
              <w:t xml:space="preserve">0.755</w:t>
            </w:r>
          </w:p>
        </w:tc>
      </w:tr>
      <w:tr>
        <w:trPr>
          <w:cantSplit/>
        </w:trPr>
        <w:tc>
          <w:tcPr>
            <w:tcW w:type="dxa" w:w="4000"/>
            <w:shd w:fill="FFFFFF" w:val="clear"/>
            <w:tcMar>
              <w:top w:type="dxa" w:w="80"/>
              <w:left w:type="dxa" w:w="100"/>
              <w:bottom w:type="dxa" w:w="80"/>
              <w:right w:type="dxa" w:w="100"/>
            </w:tcMar>
          </w:tcPr>
          <w:p>
            <w:r>
              <w:rPr>
                <w:b/>
                <w:bCs/>
                <w:color w:val="111111"/>
                <w:sz w:val="18"/>
                <w:szCs w:val="18"/>
              </w:rPr>
              <w:t xml:space="preserve">stacked_ensemble (proposed)</w:t>
            </w:r>
          </w:p>
        </w:tc>
        <w:tc>
          <w:tcPr>
            <w:tcW w:type="dxa" w:w="2200"/>
            <w:shd w:fill="FFFFFF" w:val="clear"/>
            <w:tcMar>
              <w:top w:type="dxa" w:w="80"/>
              <w:left w:type="dxa" w:w="100"/>
              <w:bottom w:type="dxa" w:w="80"/>
              <w:right w:type="dxa" w:w="100"/>
            </w:tcMar>
          </w:tcPr>
          <w:p>
            <w:r>
              <w:rPr>
                <w:b w:val="false"/>
                <w:bCs w:val="false"/>
                <w:color w:val="111111"/>
                <w:sz w:val="18"/>
                <w:szCs w:val="18"/>
              </w:rPr>
              <w:t xml:space="preserve">206.51</w:t>
            </w:r>
          </w:p>
        </w:tc>
        <w:tc>
          <w:tcPr>
            <w:tcW w:type="dxa" w:w="2200"/>
            <w:shd w:fill="FFFFFF" w:val="clear"/>
            <w:tcMar>
              <w:top w:type="dxa" w:w="80"/>
              <w:left w:type="dxa" w:w="100"/>
              <w:bottom w:type="dxa" w:w="80"/>
              <w:right w:type="dxa" w:w="100"/>
            </w:tcMar>
          </w:tcPr>
          <w:p>
            <w:r>
              <w:rPr>
                <w:b w:val="false"/>
                <w:bCs w:val="false"/>
                <w:color w:val="111111"/>
                <w:sz w:val="18"/>
                <w:szCs w:val="18"/>
              </w:rPr>
              <w:t xml:space="preserve">164.57</w:t>
            </w:r>
          </w:p>
        </w:tc>
        <w:tc>
          <w:tcPr>
            <w:tcW w:type="dxa" w:w="2200"/>
            <w:shd w:fill="FFFFFF" w:val="clear"/>
            <w:tcMar>
              <w:top w:type="dxa" w:w="80"/>
              <w:left w:type="dxa" w:w="100"/>
              <w:bottom w:type="dxa" w:w="80"/>
              <w:right w:type="dxa" w:w="100"/>
            </w:tcMar>
          </w:tcPr>
          <w:p>
            <w:r>
              <w:rPr>
                <w:b w:val="false"/>
                <w:bCs w:val="false"/>
                <w:color w:val="111111"/>
                <w:sz w:val="18"/>
                <w:szCs w:val="18"/>
              </w:rPr>
              <w:t xml:space="preserve">0.755</w:t>
            </w:r>
          </w:p>
        </w:tc>
      </w:tr>
    </w:tbl>
    <w:p>
      <w:pPr>
        <w:spacing w:after="160" w:line="300"/>
      </w:pPr>
      <w:r>
        <w:rPr>
          <w:color w:val="222222"/>
          <w:sz w:val="22"/>
          <w:szCs w:val="22"/>
        </w:rPr>
        <w:t xml:space="preserve">The stacked ensemble matches the best individual base learner (Random Forest) and slightly outperforms the boosting-based learners, consistent with the expected behavior of stacking: it should perform at least as well as its strongest base learner, since the meta-learner can effectively down-weight weaker learners.</w:t>
      </w:r>
    </w:p>
    <w:p>
      <w:pPr>
        <w:spacing w:after="60" w:before="15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3619500"/>
                    </a:xfrm>
                    <a:prstGeom prst="rect">
                      <a:avLst/>
                    </a:prstGeom>
                  </pic:spPr>
                </pic:pic>
              </a:graphicData>
            </a:graphic>
          </wp:inline>
        </w:drawing>
      </w:r>
    </w:p>
    <w:p>
      <w:pPr>
        <w:spacing w:after="200"/>
        <w:jc w:val="center"/>
      </w:pPr>
      <w:r>
        <w:rPr>
          <w:i/>
          <w:iCs/>
          <w:color w:val="3A3A3A"/>
          <w:sz w:val="18"/>
          <w:szCs w:val="18"/>
        </w:rPr>
        <w:t xml:space="preserve">Figure 2: Predicted vs. Actual calorie targets (stacked ensemble)</w:t>
      </w:r>
    </w:p>
    <w:p>
      <w:pPr>
        <w:spacing w:after="60" w:before="150"/>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857500"/>
                    </a:xfrm>
                    <a:prstGeom prst="rect">
                      <a:avLst/>
                    </a:prstGeom>
                  </pic:spPr>
                </pic:pic>
              </a:graphicData>
            </a:graphic>
          </wp:inline>
        </w:drawing>
      </w:r>
    </w:p>
    <w:p>
      <w:pPr>
        <w:spacing w:after="200"/>
        <w:jc w:val="center"/>
      </w:pPr>
      <w:r>
        <w:rPr>
          <w:i/>
          <w:iCs/>
          <w:color w:val="3A3A3A"/>
          <w:sz w:val="18"/>
          <w:szCs w:val="18"/>
        </w:rPr>
        <w:t xml:space="preserve">Figure 3: RMSE comparison across base learners and the stacked ensemble</w:t>
      </w:r>
    </w:p>
    <w:p>
      <w:pPr>
        <w:spacing w:after="60" w:before="150"/>
        <w:jc w:val="center"/>
      </w:pPr>
      <w:r>
        <w:drawing>
          <wp:inline distT="0" distB="0" distL="0" distR="0">
            <wp:extent cx="4381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143250"/>
                    </a:xfrm>
                    <a:prstGeom prst="rect">
                      <a:avLst/>
                    </a:prstGeom>
                  </pic:spPr>
                </pic:pic>
              </a:graphicData>
            </a:graphic>
          </wp:inline>
        </w:drawing>
      </w:r>
    </w:p>
    <w:p>
      <w:pPr>
        <w:spacing w:after="200"/>
        <w:jc w:val="center"/>
      </w:pPr>
      <w:r>
        <w:rPr>
          <w:i/>
          <w:iCs/>
          <w:color w:val="3A3A3A"/>
          <w:sz w:val="18"/>
          <w:szCs w:val="18"/>
        </w:rPr>
        <w:t xml:space="preserve">Figure 4: Permutation-based feature importance (SHAP substitute) for calorie prediction</w:t>
      </w:r>
    </w:p>
    <w:p>
      <w:pPr>
        <w:spacing w:after="160" w:line="300"/>
      </w:pPr>
      <w:r>
        <w:rPr>
          <w:color w:val="222222"/>
          <w:sz w:val="22"/>
          <w:szCs w:val="22"/>
        </w:rPr>
        <w:t xml:space="preserve">Feature importance results align with domain expectations: activity level, BMI, and age are the strongest drivers of calorie needs, while biomarkers (HbA1c, glucose, cholesterol) show minimal influence on the calorie prediction itself — as expected, since these are intentionally used in the separate constraint layer rather than the base prediction, confirming the two layers are behaving independently as designed.</w:t>
      </w:r>
    </w:p>
    <w:p>
      <w:pPr>
        <w:spacing w:after="160" w:line="300"/>
      </w:pPr>
      <w:r>
        <w:rPr>
          <w:color w:val="222222"/>
          <w:sz w:val="22"/>
          <w:szCs w:val="22"/>
        </w:rPr>
        <w:t xml:space="preserve">Note: absolute error values (RMSE ~206–213 kcal) are specific to the synthetic dataset and are expected to change once the model is retrained on real NHANES data; the comparative pattern between models (stacked ≥ best individual learner) is the result of interest at this stage.</w:t>
      </w:r>
    </w:p>
    <w:p>
      <w:pPr>
        <w:pStyle w:val="Heading1"/>
        <w:pBdr>
          <w:bottom w:val="single" w:color="B71E42" w:sz="6" w:space="4"/>
        </w:pBdr>
        <w:spacing w:after="160" w:before="320"/>
      </w:pPr>
      <w:r>
        <w:rPr>
          <w:b/>
          <w:bCs/>
          <w:color w:val="B71E42"/>
          <w:sz w:val="30"/>
          <w:szCs w:val="30"/>
        </w:rPr>
        <w:t xml:space="preserve">Next Step: Research Paper Draft</w:t>
      </w:r>
    </w:p>
    <w:p>
      <w:pPr>
        <w:spacing w:after="160" w:line="300"/>
      </w:pPr>
      <w:r>
        <w:rPr>
          <w:color w:val="222222"/>
          <w:sz w:val="22"/>
          <w:szCs w:val="22"/>
        </w:rPr>
        <w:t xml:space="preserve">The Research Paper Draft is being prepared as a separate document following [IEEE / ACM — specify preferred format] conference paper structure (Abstract, Introduction, Related Work, Methodology, Results, Conclusion, References), drawing on the Methodology, System Design, and Results sections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01dcd1eb61aab28c1f1c04cd4a169be0e29c1a.png"/><Relationship Id="rId8" Type="http://schemas.openxmlformats.org/officeDocument/2006/relationships/image" Target="media/10216577cf3321f9a2f94c44cc6b84ee1f02c032.png"/><Relationship Id="rId9" Type="http://schemas.openxmlformats.org/officeDocument/2006/relationships/image" Target="media/9bd3705190158645ece4515eb79b7660512d6e81.png"/><Relationship Id="rId10" Type="http://schemas.openxmlformats.org/officeDocument/2006/relationships/image" Target="media/ae238ca03b670712e36223da383645f805128a8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2026-08-22T09:44:49.837Z</dcterms:created>
  <dcterms:modified xsi:type="dcterms:W3CDTF">2026-08-22T09:44:49.837Z</dcterms:modified>
</cp:coreProperties>
</file>

<file path=docProps/custom.xml><?xml version="1.0" encoding="utf-8"?>
<Properties xmlns="http://schemas.openxmlformats.org/officeDocument/2006/custom-properties" xmlns:vt="http://schemas.openxmlformats.org/officeDocument/2006/docPropsVTypes"/>
</file>