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56FC" w14:textId="77777777" w:rsidR="00571C1C" w:rsidRDefault="00000000">
      <w:pPr>
        <w:spacing w:after="80"/>
        <w:jc w:val="center"/>
      </w:pPr>
      <w:r>
        <w:rPr>
          <w:b/>
          <w:bCs/>
          <w:color w:val="B71E42"/>
          <w:sz w:val="34"/>
          <w:szCs w:val="34"/>
        </w:rPr>
        <w:t>SafeNutri-RAG: A Stacked-Ensemble, Retrieval-Grounded, and</w:t>
      </w:r>
    </w:p>
    <w:p w14:paraId="6C0CEEA4" w14:textId="77777777" w:rsidR="00571C1C" w:rsidRDefault="00000000">
      <w:pPr>
        <w:spacing w:after="260"/>
        <w:jc w:val="center"/>
      </w:pPr>
      <w:r>
        <w:rPr>
          <w:b/>
          <w:bCs/>
          <w:color w:val="B71E42"/>
          <w:sz w:val="34"/>
          <w:szCs w:val="34"/>
        </w:rPr>
        <w:t>Explainable Framework for Personalized Nutrition Recommendation</w:t>
      </w:r>
    </w:p>
    <w:p w14:paraId="472BF566" w14:textId="77777777" w:rsidR="00571C1C" w:rsidRDefault="00000000">
      <w:pPr>
        <w:spacing w:after="380"/>
        <w:jc w:val="center"/>
      </w:pPr>
      <w:r>
        <w:rPr>
          <w:i/>
          <w:iCs/>
          <w:color w:val="3A3A3A"/>
          <w:sz w:val="22"/>
          <w:szCs w:val="22"/>
        </w:rPr>
        <w:t>Research Paper</w:t>
      </w:r>
    </w:p>
    <w:p w14:paraId="7C723294" w14:textId="77777777" w:rsidR="00571C1C" w:rsidRDefault="00000000">
      <w:pPr>
        <w:pStyle w:val="Heading1"/>
        <w:pBdr>
          <w:bottom w:val="single" w:sz="6" w:space="4" w:color="B71E42"/>
        </w:pBdr>
        <w:spacing w:before="300" w:after="150"/>
      </w:pPr>
      <w:r>
        <w:rPr>
          <w:b/>
          <w:bCs/>
          <w:color w:val="B71E42"/>
          <w:sz w:val="28"/>
          <w:szCs w:val="28"/>
        </w:rPr>
        <w:t>Abstract</w:t>
      </w:r>
    </w:p>
    <w:p w14:paraId="440B4084" w14:textId="77777777" w:rsidR="00571C1C" w:rsidRDefault="00000000">
      <w:pPr>
        <w:spacing w:after="160" w:line="300" w:lineRule="auto"/>
      </w:pPr>
      <w:r>
        <w:rPr>
          <w:color w:val="222222"/>
          <w:sz w:val="21"/>
          <w:szCs w:val="21"/>
        </w:rPr>
        <w:t>Existing machine learning systems built on the National Health and Nutrition Examination Survey (NHANES) typically address a single stage of the personalized-nutrition problem in isolation: predicting a health outcome, classifying a risk tier, or filtering a menu — but rarely all three together, and rarely with an enforced safety mechanism or an explanation attached to the output. This paper presents SafeNutri-RAG, a framework that predicts personalized calorie and macronutrient targets using a stacked ensemble of LightGBM, XGBoost, and Random Forest combined through a meta-learner; enforces medical safety through an independent biomarker-based constraint layer; grounds meal-plan generation in retrieved, verified nutrient data (retrieval-augmented generation, RAG) rather than free-form language-model output; and explains every prediction using SHapley Additive exPlanations (SHAP). The proposed design is evaluated against four recent NHANES-based studies spanning BMI classification, fitness recommendation, dietary recommendation, and biomarker-based risk prediction, and is shown to close specific, named gaps in each. The core prediction pipeline has been implemented and executed, with the stacked ensemble matching or exceeding its best individual base learner, consistent with the theoretical behavior of stacking.</w:t>
      </w:r>
    </w:p>
    <w:p w14:paraId="7EB6DF64" w14:textId="77777777" w:rsidR="00571C1C" w:rsidRDefault="00000000">
      <w:pPr>
        <w:pStyle w:val="Heading1"/>
        <w:pBdr>
          <w:bottom w:val="single" w:sz="6" w:space="4" w:color="B71E42"/>
        </w:pBdr>
        <w:spacing w:before="300" w:after="150"/>
      </w:pPr>
      <w:r>
        <w:rPr>
          <w:b/>
          <w:bCs/>
          <w:color w:val="B71E42"/>
          <w:sz w:val="28"/>
          <w:szCs w:val="28"/>
        </w:rPr>
        <w:t>1. Introduction</w:t>
      </w:r>
    </w:p>
    <w:p w14:paraId="48A4FE8E" w14:textId="77777777" w:rsidR="00571C1C" w:rsidRDefault="00000000">
      <w:pPr>
        <w:spacing w:before="220" w:after="90"/>
      </w:pPr>
      <w:r>
        <w:rPr>
          <w:b/>
          <w:bCs/>
          <w:color w:val="1B2A4A"/>
          <w:sz w:val="23"/>
          <w:szCs w:val="23"/>
        </w:rPr>
        <w:t>1.1 Background</w:t>
      </w:r>
    </w:p>
    <w:p w14:paraId="7CC677E8" w14:textId="77777777" w:rsidR="00571C1C" w:rsidRDefault="00000000">
      <w:pPr>
        <w:spacing w:after="160" w:line="300" w:lineRule="auto"/>
      </w:pPr>
      <w:r>
        <w:rPr>
          <w:color w:val="222222"/>
          <w:sz w:val="21"/>
          <w:szCs w:val="21"/>
        </w:rPr>
        <w:t>The National Health and Nutrition Examination Survey (NHANES) has become a standard substrate for machine-learning research in personalized health, supporting work on disease classification, fitness recommendation, dietary planning, and mental-health risk prediction [1–4]. In parallel, large language models (LLMs) have introduced the ability to generate natural-language dietary guidance, and explainability techniques such as SHAP have matured into practical tools for tree-based models. This project combines these three threads — NHANES-based prediction, retrieval-grounded generation, and explainability — into a single nutrition recommendation framework.</w:t>
      </w:r>
    </w:p>
    <w:p w14:paraId="64F2F5D1" w14:textId="77777777" w:rsidR="00571C1C" w:rsidRDefault="00000000">
      <w:pPr>
        <w:spacing w:before="220" w:after="90"/>
      </w:pPr>
      <w:r>
        <w:rPr>
          <w:b/>
          <w:bCs/>
          <w:color w:val="1B2A4A"/>
          <w:sz w:val="23"/>
          <w:szCs w:val="23"/>
        </w:rPr>
        <w:t>1.2 Problem Statement</w:t>
      </w:r>
    </w:p>
    <w:p w14:paraId="57CD3A8D" w14:textId="77777777" w:rsidR="00571C1C" w:rsidRDefault="00000000">
      <w:pPr>
        <w:spacing w:after="160" w:line="300" w:lineRule="auto"/>
      </w:pPr>
      <w:r>
        <w:rPr>
          <w:color w:val="222222"/>
          <w:sz w:val="21"/>
          <w:szCs w:val="21"/>
        </w:rPr>
        <w:t>Generic diet plans ignore individual biology — age, BMI, biomarkers such as glucose and HbA1c, and existing medical conditions. As shown in the four studies reviewed in Section 2, even recent NHANES-based systems tend to address only one part of this problem: accurate diagnosis without recommendation [1], recommendation without explainability [2], recommendation without grounding or ensembling [3], or risk prediction in a narrow domain without any downstream action [4]. No reviewed system combines an enforced safety layer, a properly stacked ensemble, grounded generation, and per-recommendation explainability.</w:t>
      </w:r>
    </w:p>
    <w:p w14:paraId="774C1513" w14:textId="77777777" w:rsidR="00571C1C" w:rsidRDefault="00000000">
      <w:pPr>
        <w:spacing w:before="220" w:after="90"/>
      </w:pPr>
      <w:r>
        <w:rPr>
          <w:b/>
          <w:bCs/>
          <w:color w:val="1B2A4A"/>
          <w:sz w:val="23"/>
          <w:szCs w:val="23"/>
        </w:rPr>
        <w:t>1.3 Research Gap</w:t>
      </w:r>
    </w:p>
    <w:p w14:paraId="3CD182A6" w14:textId="77777777" w:rsidR="00571C1C" w:rsidRDefault="00000000">
      <w:pPr>
        <w:spacing w:after="160" w:line="300" w:lineRule="auto"/>
      </w:pPr>
      <w:r>
        <w:rPr>
          <w:color w:val="222222"/>
          <w:sz w:val="21"/>
          <w:szCs w:val="21"/>
        </w:rPr>
        <w:t xml:space="preserve">Drawing directly on the four reference studies: Chen et al. [1] apply SHAP/LIME only to a diagnostic classifier, not to a recommendation. Chen and Wang [2] use a fixed rule-based scaling factor for personalization and explicitly list explainability as unimplemented future work. Karamanlı Aydın et al. [3] use single (non-stacked) regression models </w:t>
      </w:r>
      <w:r>
        <w:rPr>
          <w:color w:val="222222"/>
          <w:sz w:val="21"/>
          <w:szCs w:val="21"/>
        </w:rPr>
        <w:lastRenderedPageBreak/>
        <w:t>and a rule-based USDA filter rather than grounded generation, explicitly noting this was not benchmarked against a stronger alternative. Xia et al. [4] compare eight models and select XGBoost by accuracy, but do not apply SHAP despite using a tree-based model well suited to it, and address a different outcome (depression) with no recommendation component at all.</w:t>
      </w:r>
    </w:p>
    <w:p w14:paraId="4C8DE0D0" w14:textId="77777777" w:rsidR="00571C1C" w:rsidRDefault="00000000">
      <w:pPr>
        <w:spacing w:before="220" w:after="90"/>
      </w:pPr>
      <w:r>
        <w:rPr>
          <w:b/>
          <w:bCs/>
          <w:color w:val="1B2A4A"/>
          <w:sz w:val="23"/>
          <w:szCs w:val="23"/>
        </w:rPr>
        <w:t>1.4 Research Objectives</w:t>
      </w:r>
    </w:p>
    <w:p w14:paraId="79F6627A" w14:textId="77777777" w:rsidR="00571C1C" w:rsidRDefault="00000000">
      <w:pPr>
        <w:spacing w:after="90" w:line="280" w:lineRule="auto"/>
      </w:pPr>
      <w:r>
        <w:rPr>
          <w:color w:val="222222"/>
          <w:sz w:val="21"/>
          <w:szCs w:val="21"/>
        </w:rPr>
        <w:t>1. To develop a stacked ensemble (LightGBM + XGBoost + Random Forest, combined via a meta-learner) for personalized calorie/macronutrient prediction, improving on the single-model designs in [1–4].</w:t>
      </w:r>
    </w:p>
    <w:p w14:paraId="7C2CD721" w14:textId="77777777" w:rsidR="00571C1C" w:rsidRDefault="00000000">
      <w:pPr>
        <w:spacing w:after="90" w:line="280" w:lineRule="auto"/>
      </w:pPr>
      <w:r>
        <w:rPr>
          <w:color w:val="222222"/>
          <w:sz w:val="21"/>
          <w:szCs w:val="21"/>
        </w:rPr>
        <w:t>2. To design an independent biomarker-based constraint layer that enforces medical safety directly, rather than using biomarkers only as classifier input as in [1].</w:t>
      </w:r>
    </w:p>
    <w:p w14:paraId="5F461415" w14:textId="77777777" w:rsidR="00571C1C" w:rsidRDefault="00000000">
      <w:pPr>
        <w:spacing w:after="90" w:line="280" w:lineRule="auto"/>
      </w:pPr>
      <w:r>
        <w:rPr>
          <w:color w:val="222222"/>
          <w:sz w:val="21"/>
          <w:szCs w:val="21"/>
        </w:rPr>
        <w:t>3. To replace rule-based filtering [3] with retrieval-augmented generation (RAG), grounding meal recommendations in verified nutrient data before any text is generated.</w:t>
      </w:r>
    </w:p>
    <w:p w14:paraId="1E7D56A7" w14:textId="77777777" w:rsidR="00571C1C" w:rsidRDefault="00000000">
      <w:pPr>
        <w:spacing w:after="90" w:line="280" w:lineRule="auto"/>
      </w:pPr>
      <w:r>
        <w:rPr>
          <w:color w:val="222222"/>
          <w:sz w:val="21"/>
          <w:szCs w:val="21"/>
        </w:rPr>
        <w:t>4. To apply SHAP directly to the personalized recommendation output, addressing the explainability gap left open in [2], [3], and [4].</w:t>
      </w:r>
    </w:p>
    <w:p w14:paraId="49720328" w14:textId="77777777" w:rsidR="00571C1C" w:rsidRDefault="00000000">
      <w:pPr>
        <w:spacing w:after="90" w:line="280" w:lineRule="auto"/>
      </w:pPr>
      <w:r>
        <w:rPr>
          <w:color w:val="222222"/>
          <w:sz w:val="21"/>
          <w:szCs w:val="21"/>
        </w:rPr>
        <w:t>5. To evaluate the system using both prediction-accuracy metrics (RMSE, MAE, R²) and recommendation-quality metrics (Precision@K, NDCG) absent from all four reference studies.</w:t>
      </w:r>
    </w:p>
    <w:p w14:paraId="35F0021A" w14:textId="77777777" w:rsidR="00571C1C" w:rsidRDefault="00000000">
      <w:pPr>
        <w:spacing w:before="220" w:after="90"/>
      </w:pPr>
      <w:r>
        <w:rPr>
          <w:b/>
          <w:bCs/>
          <w:color w:val="1B2A4A"/>
          <w:sz w:val="23"/>
          <w:szCs w:val="23"/>
        </w:rPr>
        <w:t>1.5 Research Questions</w:t>
      </w:r>
    </w:p>
    <w:p w14:paraId="538D80DA" w14:textId="77777777" w:rsidR="00571C1C" w:rsidRDefault="00000000">
      <w:pPr>
        <w:pStyle w:val="ListParagraph"/>
        <w:numPr>
          <w:ilvl w:val="0"/>
          <w:numId w:val="2"/>
        </w:numPr>
        <w:spacing w:after="90" w:line="280" w:lineRule="auto"/>
      </w:pPr>
      <w:r>
        <w:rPr>
          <w:color w:val="222222"/>
          <w:sz w:val="21"/>
          <w:szCs w:val="21"/>
        </w:rPr>
        <w:t>RQ1: Does a stacked ensemble of LightGBM, XGBoost, and Random Forest outperform the single-model approaches used in [1–4] for NHANES-based nutrient prediction?</w:t>
      </w:r>
    </w:p>
    <w:p w14:paraId="76950A20" w14:textId="77777777" w:rsidR="00571C1C" w:rsidRDefault="00000000">
      <w:pPr>
        <w:pStyle w:val="ListParagraph"/>
        <w:numPr>
          <w:ilvl w:val="0"/>
          <w:numId w:val="2"/>
        </w:numPr>
        <w:spacing w:after="90" w:line="280" w:lineRule="auto"/>
      </w:pPr>
      <w:r>
        <w:rPr>
          <w:color w:val="222222"/>
          <w:sz w:val="21"/>
          <w:szCs w:val="21"/>
        </w:rPr>
        <w:t>RQ2: Does enforcing biomarkers as an independent constraint layer, rather than a classifier feature as in [1], measurably change unsafe recommendations?</w:t>
      </w:r>
    </w:p>
    <w:p w14:paraId="4EB27326" w14:textId="77777777" w:rsidR="00571C1C" w:rsidRDefault="00000000">
      <w:pPr>
        <w:pStyle w:val="ListParagraph"/>
        <w:numPr>
          <w:ilvl w:val="0"/>
          <w:numId w:val="2"/>
        </w:numPr>
        <w:spacing w:after="90" w:line="280" w:lineRule="auto"/>
      </w:pPr>
      <w:r>
        <w:rPr>
          <w:color w:val="222222"/>
          <w:sz w:val="21"/>
          <w:szCs w:val="21"/>
        </w:rPr>
        <w:t>RQ3: Does retrieval-augmented generation reduce ungrounded or fabricated nutrition claims compared to the rule-based filtering approach in [3]?</w:t>
      </w:r>
    </w:p>
    <w:p w14:paraId="2EF846A8" w14:textId="77777777" w:rsidR="00571C1C" w:rsidRDefault="00000000">
      <w:pPr>
        <w:pStyle w:val="ListParagraph"/>
        <w:numPr>
          <w:ilvl w:val="0"/>
          <w:numId w:val="2"/>
        </w:numPr>
        <w:spacing w:after="90" w:line="280" w:lineRule="auto"/>
      </w:pPr>
      <w:r>
        <w:rPr>
          <w:color w:val="222222"/>
          <w:sz w:val="21"/>
          <w:szCs w:val="21"/>
        </w:rPr>
        <w:t>RQ4: Can SHAP be applied to a live recommendation — not just a diagnostic classifier as in [1] — to produce a usable, per-user explanation?</w:t>
      </w:r>
    </w:p>
    <w:p w14:paraId="05BB6A4F" w14:textId="77777777" w:rsidR="00571C1C" w:rsidRDefault="00000000">
      <w:pPr>
        <w:spacing w:before="220" w:after="90"/>
      </w:pPr>
      <w:r>
        <w:rPr>
          <w:b/>
          <w:bCs/>
          <w:color w:val="1B2A4A"/>
          <w:sz w:val="23"/>
          <w:szCs w:val="23"/>
        </w:rPr>
        <w:t>1.6 Contributions</w:t>
      </w:r>
    </w:p>
    <w:p w14:paraId="01EA12EC" w14:textId="77777777" w:rsidR="00571C1C" w:rsidRDefault="00000000">
      <w:pPr>
        <w:spacing w:after="90" w:line="280" w:lineRule="auto"/>
      </w:pPr>
      <w:r>
        <w:rPr>
          <w:color w:val="222222"/>
          <w:sz w:val="21"/>
          <w:szCs w:val="21"/>
        </w:rPr>
        <w:t>1. A stacked-ensemble prediction core, directly comparable to the single-model designs reported in [1–4].</w:t>
      </w:r>
    </w:p>
    <w:p w14:paraId="0BE4A062" w14:textId="77777777" w:rsidR="00571C1C" w:rsidRDefault="00000000">
      <w:pPr>
        <w:spacing w:after="90" w:line="280" w:lineRule="auto"/>
      </w:pPr>
      <w:r>
        <w:rPr>
          <w:color w:val="222222"/>
          <w:sz w:val="21"/>
          <w:szCs w:val="21"/>
        </w:rPr>
        <w:t>2. An enforced, independent biomarker safety-constraint layer, addressing the passive use of biomarkers in [1] and their complete absence in [2] and [3].</w:t>
      </w:r>
    </w:p>
    <w:p w14:paraId="5CE98F5E" w14:textId="77777777" w:rsidR="00571C1C" w:rsidRDefault="00000000">
      <w:pPr>
        <w:spacing w:after="90" w:line="280" w:lineRule="auto"/>
      </w:pPr>
      <w:r>
        <w:rPr>
          <w:color w:val="222222"/>
          <w:sz w:val="21"/>
          <w:szCs w:val="21"/>
        </w:rPr>
        <w:t>3. A retrieval-augmented generation layer for meal recommendation, addressing the rule-based-only limitation explicitly noted in [3].</w:t>
      </w:r>
    </w:p>
    <w:p w14:paraId="072DE9BA" w14:textId="77777777" w:rsidR="00571C1C" w:rsidRDefault="00000000">
      <w:pPr>
        <w:spacing w:after="90" w:line="280" w:lineRule="auto"/>
      </w:pPr>
      <w:r>
        <w:rPr>
          <w:color w:val="222222"/>
          <w:sz w:val="21"/>
          <w:szCs w:val="21"/>
        </w:rPr>
        <w:t>4. Application of SHAP to the recommendation itself, addressing the explainability gap in [2], [3], and the unused opportunity in [4].</w:t>
      </w:r>
    </w:p>
    <w:p w14:paraId="076C2DEF" w14:textId="77777777" w:rsidR="00571C1C" w:rsidRDefault="00000000">
      <w:pPr>
        <w:spacing w:after="90" w:line="280" w:lineRule="auto"/>
      </w:pPr>
      <w:r>
        <w:rPr>
          <w:color w:val="222222"/>
          <w:sz w:val="21"/>
          <w:szCs w:val="21"/>
        </w:rPr>
        <w:t>5. A broadened evaluation protocol adding recommendation-quality and grounding-quality metrics not reported in any of the four reference studies.</w:t>
      </w:r>
    </w:p>
    <w:p w14:paraId="5C2AE77D" w14:textId="77777777" w:rsidR="00571C1C" w:rsidRDefault="00000000">
      <w:pPr>
        <w:spacing w:before="220" w:after="90"/>
      </w:pPr>
      <w:r>
        <w:rPr>
          <w:b/>
          <w:bCs/>
          <w:color w:val="1B2A4A"/>
          <w:sz w:val="23"/>
          <w:szCs w:val="23"/>
        </w:rPr>
        <w:t>1.7 Organization of the Paper</w:t>
      </w:r>
    </w:p>
    <w:p w14:paraId="74FF930E" w14:textId="77777777" w:rsidR="00571C1C" w:rsidRDefault="00000000">
      <w:pPr>
        <w:spacing w:after="160" w:line="300" w:lineRule="auto"/>
      </w:pPr>
      <w:r>
        <w:rPr>
          <w:color w:val="222222"/>
          <w:sz w:val="21"/>
          <w:szCs w:val="21"/>
        </w:rPr>
        <w:t xml:space="preserve">Section 2 reviews four recent NHANES-based studies in detail and derives a research gap from their explicitly reported limitations. Section 3 presents the proposed methodology, including system architecture, dataset, preprocessing, feature engineering, and feature selection. Section 4 describes implementation. Section 5 presents results and </w:t>
      </w:r>
      <w:r>
        <w:rPr>
          <w:color w:val="222222"/>
          <w:sz w:val="21"/>
          <w:szCs w:val="21"/>
        </w:rPr>
        <w:lastRenderedPageBreak/>
        <w:t>performance evaluation, benchmarked where possible against the reference studies. Section 6 concludes and outlines future work.</w:t>
      </w:r>
    </w:p>
    <w:p w14:paraId="0BB96877" w14:textId="77777777" w:rsidR="00571C1C" w:rsidRDefault="00000000">
      <w:r>
        <w:br w:type="page"/>
      </w:r>
    </w:p>
    <w:p w14:paraId="62E951C1" w14:textId="77777777" w:rsidR="00571C1C" w:rsidRDefault="00000000">
      <w:pPr>
        <w:pStyle w:val="Heading1"/>
        <w:pBdr>
          <w:bottom w:val="single" w:sz="6" w:space="4" w:color="B71E42"/>
        </w:pBdr>
        <w:spacing w:before="300" w:after="150"/>
      </w:pPr>
      <w:r>
        <w:rPr>
          <w:b/>
          <w:bCs/>
          <w:color w:val="B71E42"/>
          <w:sz w:val="28"/>
          <w:szCs w:val="28"/>
        </w:rPr>
        <w:lastRenderedPageBreak/>
        <w:t>2. Related Work</w:t>
      </w:r>
    </w:p>
    <w:p w14:paraId="2BF23F9E" w14:textId="77777777" w:rsidR="00571C1C" w:rsidRDefault="00000000">
      <w:pPr>
        <w:spacing w:after="160" w:line="300" w:lineRule="auto"/>
      </w:pPr>
      <w:r>
        <w:rPr>
          <w:color w:val="222222"/>
          <w:sz w:val="21"/>
          <w:szCs w:val="21"/>
        </w:rPr>
        <w:t>Four recent NHANES-based studies were reviewed in depth, spanning diagnostic classification, fitness recommendation, dietary recommendation, and biomarker-based risk prediction. Each is summarized below, followed by a structured comparison against the proposed work.</w:t>
      </w:r>
    </w:p>
    <w:p w14:paraId="077F5676" w14:textId="77777777" w:rsidR="00571C1C" w:rsidRDefault="00000000">
      <w:pPr>
        <w:spacing w:before="220" w:after="90"/>
      </w:pPr>
      <w:r>
        <w:rPr>
          <w:b/>
          <w:bCs/>
          <w:color w:val="1B2A4A"/>
          <w:sz w:val="23"/>
          <w:szCs w:val="23"/>
        </w:rPr>
        <w:t>2.1 BMI Classification from Biochemical Markers</w:t>
      </w:r>
    </w:p>
    <w:p w14:paraId="3B2499FA" w14:textId="77777777" w:rsidR="00571C1C" w:rsidRDefault="00000000">
      <w:pPr>
        <w:spacing w:after="160" w:line="300" w:lineRule="auto"/>
      </w:pPr>
      <w:r>
        <w:rPr>
          <w:color w:val="222222"/>
          <w:sz w:val="21"/>
          <w:szCs w:val="21"/>
        </w:rPr>
        <w:t>Chen et al. [1] used NHANES 2017–2018 (n = 4236) for model development and NHANES 2015–2016 (n = 4748) for external validation, training six models — logistic regression (LR), balanced random forest (BRF), XGBoost, AdaBoost, decision trees, and an artificial neural network — to classify participants as overweight/obese (BMI ≥ 25) versus normal weight, using 23 biochemical markers (including ALT, albumin, ALP, bicarbonate, BUN, creatinine, glucose, GGT, LDH, phosphorus, cholesterol, triglycerides, and uric acid) alongside demographic features. LR and BRF generalized best, with LR reaching a test AUC of 0.779 (external validation 0.806) and BRF reaching 0.757 (external validation 0.765). The study applied feature importance (FI), SHAP, and LIME to interpret which markers drove classification, finding triglycerides, uric acid, and serum phosphorus among the most influential. However, the system stops at diagnosis: it does not generate any dietary or activity recommendation, and its explainability tools are applied to a classification label, not to an actionable output.</w:t>
      </w:r>
    </w:p>
    <w:p w14:paraId="0633CCA3" w14:textId="77777777" w:rsidR="00571C1C" w:rsidRDefault="00000000">
      <w:pPr>
        <w:spacing w:before="220" w:after="90"/>
      </w:pPr>
      <w:r>
        <w:rPr>
          <w:b/>
          <w:bCs/>
          <w:color w:val="1B2A4A"/>
          <w:sz w:val="23"/>
          <w:szCs w:val="23"/>
        </w:rPr>
        <w:t>2.2 Personalized Fitness Recommendation</w:t>
      </w:r>
    </w:p>
    <w:p w14:paraId="0C3E4144" w14:textId="77777777" w:rsidR="00571C1C" w:rsidRDefault="00000000">
      <w:pPr>
        <w:spacing w:after="160" w:line="300" w:lineRule="auto"/>
      </w:pPr>
      <w:r>
        <w:rPr>
          <w:color w:val="222222"/>
          <w:sz w:val="21"/>
          <w:szCs w:val="21"/>
        </w:rPr>
        <w:t>Chen and Wang [2] combined NHANES with the Behavioral Risk Factor Surveillance System (BRFSS) to predict weekly physical activity minutes (regression) and to classify individuals into low/moderate/high activity-risk tiers (classification), using XGBoost, decision trees, and an ANN. XGBoost performed best, reaching a mean Intersection-over-Union (meanIoU) of 0.789, F1 scores above 0.79 across all risk tiers, and demonstrated fairness gaps below 0.05 across age, gender, and ethnicity subgroups. Personalization was achieved through k-means clustering of health profiles followed by a fixed rule-based scaling factor (α = 1.2, 1.0, or 0.8 depending on risk tier) applied to a baseline activity target. The authors explicitly identify explainability (e.g., SHAP) as a direction for future work rather than an implemented component, and the system addresses physical activity only, with no dietary or nutrient dimension.</w:t>
      </w:r>
    </w:p>
    <w:p w14:paraId="4B5A7C15" w14:textId="77777777" w:rsidR="00571C1C" w:rsidRDefault="00000000">
      <w:pPr>
        <w:spacing w:before="220" w:after="90"/>
      </w:pPr>
      <w:r>
        <w:rPr>
          <w:b/>
          <w:bCs/>
          <w:color w:val="1B2A4A"/>
          <w:sz w:val="23"/>
          <w:szCs w:val="23"/>
        </w:rPr>
        <w:t>2.3 Integrated ML/NLP Dietary Recommendation</w:t>
      </w:r>
    </w:p>
    <w:p w14:paraId="69571C2D" w14:textId="77777777" w:rsidR="00571C1C" w:rsidRDefault="00000000">
      <w:pPr>
        <w:spacing w:after="160" w:line="300" w:lineRule="auto"/>
      </w:pPr>
      <w:r>
        <w:rPr>
          <w:color w:val="222222"/>
          <w:sz w:val="21"/>
          <w:szCs w:val="21"/>
        </w:rPr>
        <w:t>Karamanlı Aydın et al. [3] present the closest system design to the present work: NHANES 2017–2018 demographic, body-measurement, and dietary-intake files (DEMO_J, BMX_J, DR1TOT_J) were merged on the SEQN identifier (n = 6792 after cleaning) to train Linear Regression, Random Forest, and Gradient Boosting models predicting daily caloric intake, while a locally hosted large language model (Mistral 7B, via Ollama) parses free-text dietary preferences into structured filters applied against a USDA nutrient database. The best-performing model (Linear Regression with log-transformation and BMI as an added feature) reached only R² = 0.108, which the authors attribute to the absence of activity, metabolic, or biomarker features. The LLM preference-parser achieved 91% structured-extraction accuracy on 30 hand-crafted test queries, explicitly reported by the authors as a small, non-generalizable evaluation. Critically, meal generation relies on rule-based filtering of the USDA database rather than a retrieval-grounded generation step, which the authors note was not benchmarked against a stronger alternative. No explainability mechanism and no biomarker-based safety layer are present.</w:t>
      </w:r>
    </w:p>
    <w:p w14:paraId="4DE0CF6D" w14:textId="77777777" w:rsidR="00571C1C" w:rsidRDefault="00000000">
      <w:pPr>
        <w:spacing w:before="220" w:after="90"/>
      </w:pPr>
      <w:r>
        <w:rPr>
          <w:b/>
          <w:bCs/>
          <w:color w:val="1B2A4A"/>
          <w:sz w:val="23"/>
          <w:szCs w:val="23"/>
        </w:rPr>
        <w:t>2.4 Biomarker-Based Risk Prediction with Model Comparison</w:t>
      </w:r>
    </w:p>
    <w:p w14:paraId="448263B6" w14:textId="77777777" w:rsidR="00571C1C" w:rsidRDefault="00000000">
      <w:pPr>
        <w:spacing w:after="160" w:line="300" w:lineRule="auto"/>
      </w:pPr>
      <w:r>
        <w:rPr>
          <w:color w:val="222222"/>
          <w:sz w:val="21"/>
          <w:szCs w:val="21"/>
        </w:rPr>
        <w:lastRenderedPageBreak/>
        <w:t>Xia et al. [4] used NHANES 2017–2018 blood heavy-metal measurements (lead, mercury, cadmium, manganese, selenium, chromium, cobalt, and mercury species; n = 3247) to predict depression status (PHQ-9 ≥ 10), comparing eight algorithms — XGBoost, decision tree, SVM, MARS, ANN, boosted trees, random forest, and KNN. XGBoost was selected as the best model (accuracy 0.89, AUC 0.88), though its Kappa statistic of 0.006 indicates the model offers little advantage over chance-level agreement once class imbalance is accounted for — a limitation not fully resolved in the study. Poisson regression identified cadmium and ethylmercury as positively associated with depression risk and mercury as inversely associated. The authors deployed an interactive Shiny web application for live prediction, demonstrating a precedent for online, user-facing deployment of NHANES-trained models. However, the study addresses a different outcome domain entirely (depression, not nutrition), performs no recommendation generation, and — despite using XGBoost, a model class SHAP was purpose-built for — does not apply SHAP at all.</w:t>
      </w:r>
    </w:p>
    <w:p w14:paraId="59381229" w14:textId="77777777" w:rsidR="00571C1C" w:rsidRDefault="00000000">
      <w:pPr>
        <w:spacing w:before="220" w:after="90"/>
      </w:pPr>
      <w:r>
        <w:rPr>
          <w:b/>
          <w:bCs/>
          <w:color w:val="1B2A4A"/>
          <w:sz w:val="23"/>
          <w:szCs w:val="23"/>
        </w:rPr>
        <w:t>2.5 Critical Comparison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2200"/>
        <w:gridCol w:w="2300"/>
        <w:gridCol w:w="2300"/>
      </w:tblGrid>
      <w:tr w:rsidR="00571C1C" w14:paraId="59102C28" w14:textId="77777777">
        <w:tblPrEx>
          <w:tblCellMar>
            <w:top w:w="0" w:type="dxa"/>
            <w:bottom w:w="0" w:type="dxa"/>
          </w:tblCellMar>
        </w:tblPrEx>
        <w:trPr>
          <w:cantSplit/>
          <w:tblHeader/>
        </w:trPr>
        <w:tc>
          <w:tcPr>
            <w:tcW w:w="2100" w:type="dxa"/>
            <w:shd w:val="clear" w:color="auto" w:fill="B71E42"/>
            <w:tcMar>
              <w:top w:w="80" w:type="dxa"/>
              <w:left w:w="100" w:type="dxa"/>
              <w:bottom w:w="80" w:type="dxa"/>
              <w:right w:w="100" w:type="dxa"/>
            </w:tcMar>
          </w:tcPr>
          <w:p w14:paraId="571D8EF4" w14:textId="77777777" w:rsidR="00571C1C" w:rsidRDefault="00000000">
            <w:r>
              <w:rPr>
                <w:b/>
                <w:bCs/>
                <w:color w:val="FFFFFF"/>
                <w:sz w:val="17"/>
                <w:szCs w:val="17"/>
              </w:rPr>
              <w:t>Study</w:t>
            </w:r>
          </w:p>
        </w:tc>
        <w:tc>
          <w:tcPr>
            <w:tcW w:w="1900" w:type="dxa"/>
            <w:shd w:val="clear" w:color="auto" w:fill="B71E42"/>
            <w:tcMar>
              <w:top w:w="80" w:type="dxa"/>
              <w:left w:w="100" w:type="dxa"/>
              <w:bottom w:w="80" w:type="dxa"/>
              <w:right w:w="100" w:type="dxa"/>
            </w:tcMar>
          </w:tcPr>
          <w:p w14:paraId="2401FB3D" w14:textId="77777777" w:rsidR="00571C1C" w:rsidRDefault="00000000">
            <w:r>
              <w:rPr>
                <w:b/>
                <w:bCs/>
                <w:color w:val="FFFFFF"/>
                <w:sz w:val="17"/>
                <w:szCs w:val="17"/>
              </w:rPr>
              <w:t>Model(s)</w:t>
            </w:r>
          </w:p>
        </w:tc>
        <w:tc>
          <w:tcPr>
            <w:tcW w:w="2200" w:type="dxa"/>
            <w:shd w:val="clear" w:color="auto" w:fill="B71E42"/>
            <w:tcMar>
              <w:top w:w="80" w:type="dxa"/>
              <w:left w:w="100" w:type="dxa"/>
              <w:bottom w:w="80" w:type="dxa"/>
              <w:right w:w="100" w:type="dxa"/>
            </w:tcMar>
          </w:tcPr>
          <w:p w14:paraId="7B100968" w14:textId="77777777" w:rsidR="00571C1C" w:rsidRDefault="00000000">
            <w:r>
              <w:rPr>
                <w:b/>
                <w:bCs/>
                <w:color w:val="FFFFFF"/>
                <w:sz w:val="17"/>
                <w:szCs w:val="17"/>
              </w:rPr>
              <w:t>Dataset</w:t>
            </w:r>
          </w:p>
        </w:tc>
        <w:tc>
          <w:tcPr>
            <w:tcW w:w="2300" w:type="dxa"/>
            <w:shd w:val="clear" w:color="auto" w:fill="B71E42"/>
            <w:tcMar>
              <w:top w:w="80" w:type="dxa"/>
              <w:left w:w="100" w:type="dxa"/>
              <w:bottom w:w="80" w:type="dxa"/>
              <w:right w:w="100" w:type="dxa"/>
            </w:tcMar>
          </w:tcPr>
          <w:p w14:paraId="3145C81A" w14:textId="77777777" w:rsidR="00571C1C" w:rsidRDefault="00000000">
            <w:r>
              <w:rPr>
                <w:b/>
                <w:bCs/>
                <w:color w:val="FFFFFF"/>
                <w:sz w:val="17"/>
                <w:szCs w:val="17"/>
              </w:rPr>
              <w:t>Reported Result</w:t>
            </w:r>
          </w:p>
        </w:tc>
        <w:tc>
          <w:tcPr>
            <w:tcW w:w="2300" w:type="dxa"/>
            <w:shd w:val="clear" w:color="auto" w:fill="B71E42"/>
            <w:tcMar>
              <w:top w:w="80" w:type="dxa"/>
              <w:left w:w="100" w:type="dxa"/>
              <w:bottom w:w="80" w:type="dxa"/>
              <w:right w:w="100" w:type="dxa"/>
            </w:tcMar>
          </w:tcPr>
          <w:p w14:paraId="5D1A67E2" w14:textId="77777777" w:rsidR="00571C1C" w:rsidRDefault="00000000">
            <w:r>
              <w:rPr>
                <w:b/>
                <w:bCs/>
                <w:color w:val="FFFFFF"/>
                <w:sz w:val="17"/>
                <w:szCs w:val="17"/>
              </w:rPr>
              <w:t>Gap vs. Proposed Work</w:t>
            </w:r>
          </w:p>
        </w:tc>
      </w:tr>
      <w:tr w:rsidR="00571C1C" w14:paraId="3F3DFED2" w14:textId="77777777">
        <w:tblPrEx>
          <w:tblCellMar>
            <w:top w:w="0" w:type="dxa"/>
            <w:bottom w:w="0" w:type="dxa"/>
          </w:tblCellMar>
        </w:tblPrEx>
        <w:trPr>
          <w:cantSplit/>
        </w:trPr>
        <w:tc>
          <w:tcPr>
            <w:tcW w:w="2100" w:type="dxa"/>
            <w:shd w:val="clear" w:color="auto" w:fill="F4F1EC"/>
            <w:tcMar>
              <w:top w:w="80" w:type="dxa"/>
              <w:left w:w="100" w:type="dxa"/>
              <w:bottom w:w="80" w:type="dxa"/>
              <w:right w:w="100" w:type="dxa"/>
            </w:tcMar>
          </w:tcPr>
          <w:p w14:paraId="5C7AD950" w14:textId="77777777" w:rsidR="00571C1C" w:rsidRDefault="00000000">
            <w:r>
              <w:rPr>
                <w:b/>
                <w:bCs/>
                <w:color w:val="111111"/>
                <w:sz w:val="16"/>
                <w:szCs w:val="16"/>
              </w:rPr>
              <w:t>Chen et al., Medicine (2025) [1]</w:t>
            </w:r>
          </w:p>
        </w:tc>
        <w:tc>
          <w:tcPr>
            <w:tcW w:w="1900" w:type="dxa"/>
            <w:shd w:val="clear" w:color="auto" w:fill="F4F1EC"/>
            <w:tcMar>
              <w:top w:w="80" w:type="dxa"/>
              <w:left w:w="100" w:type="dxa"/>
              <w:bottom w:w="80" w:type="dxa"/>
              <w:right w:w="100" w:type="dxa"/>
            </w:tcMar>
          </w:tcPr>
          <w:p w14:paraId="6FEFC9A5" w14:textId="77777777" w:rsidR="00571C1C" w:rsidRDefault="00000000">
            <w:r>
              <w:rPr>
                <w:color w:val="111111"/>
                <w:sz w:val="16"/>
                <w:szCs w:val="16"/>
              </w:rPr>
              <w:t>LR, BRF, XGBoost, AdaBoost, DT, ANN</w:t>
            </w:r>
          </w:p>
        </w:tc>
        <w:tc>
          <w:tcPr>
            <w:tcW w:w="2200" w:type="dxa"/>
            <w:shd w:val="clear" w:color="auto" w:fill="F4F1EC"/>
            <w:tcMar>
              <w:top w:w="80" w:type="dxa"/>
              <w:left w:w="100" w:type="dxa"/>
              <w:bottom w:w="80" w:type="dxa"/>
              <w:right w:w="100" w:type="dxa"/>
            </w:tcMar>
          </w:tcPr>
          <w:p w14:paraId="5D17BB3F" w14:textId="77777777" w:rsidR="00571C1C" w:rsidRDefault="00000000">
            <w:r>
              <w:rPr>
                <w:color w:val="111111"/>
                <w:sz w:val="16"/>
                <w:szCs w:val="16"/>
              </w:rPr>
              <w:t>NHANES 2017–18 (n=4236) + 2015–16 external validation (n=4748)</w:t>
            </w:r>
          </w:p>
        </w:tc>
        <w:tc>
          <w:tcPr>
            <w:tcW w:w="2300" w:type="dxa"/>
            <w:shd w:val="clear" w:color="auto" w:fill="F4F1EC"/>
            <w:tcMar>
              <w:top w:w="80" w:type="dxa"/>
              <w:left w:w="100" w:type="dxa"/>
              <w:bottom w:w="80" w:type="dxa"/>
              <w:right w:w="100" w:type="dxa"/>
            </w:tcMar>
          </w:tcPr>
          <w:p w14:paraId="727746E9" w14:textId="77777777" w:rsidR="00571C1C" w:rsidRDefault="00000000">
            <w:r>
              <w:rPr>
                <w:color w:val="111111"/>
                <w:sz w:val="16"/>
                <w:szCs w:val="16"/>
              </w:rPr>
              <w:t>LR test AUC 0.779 (external 0.806); BRF test AUC 0.757 (external 0.765). SHAP/LIME used for feature attribution.</w:t>
            </w:r>
          </w:p>
        </w:tc>
        <w:tc>
          <w:tcPr>
            <w:tcW w:w="2300" w:type="dxa"/>
            <w:shd w:val="clear" w:color="auto" w:fill="F4F1EC"/>
            <w:tcMar>
              <w:top w:w="80" w:type="dxa"/>
              <w:left w:w="100" w:type="dxa"/>
              <w:bottom w:w="80" w:type="dxa"/>
              <w:right w:w="100" w:type="dxa"/>
            </w:tcMar>
          </w:tcPr>
          <w:p w14:paraId="64E84F7B" w14:textId="77777777" w:rsidR="00571C1C" w:rsidRDefault="00000000">
            <w:r>
              <w:rPr>
                <w:b/>
                <w:bCs/>
                <w:color w:val="B71E42"/>
                <w:sz w:val="16"/>
                <w:szCs w:val="16"/>
              </w:rPr>
              <w:t>Diagnostic classification only (overweight/obese vs. normal). No meal or activity recommendation is generated; no medical safety enforcement; explainability applied to diagnosis, not to a recommendation.</w:t>
            </w:r>
          </w:p>
        </w:tc>
      </w:tr>
      <w:tr w:rsidR="00571C1C" w14:paraId="516C7F20" w14:textId="77777777">
        <w:tblPrEx>
          <w:tblCellMar>
            <w:top w:w="0" w:type="dxa"/>
            <w:bottom w:w="0" w:type="dxa"/>
          </w:tblCellMar>
        </w:tblPrEx>
        <w:trPr>
          <w:cantSplit/>
        </w:trPr>
        <w:tc>
          <w:tcPr>
            <w:tcW w:w="2100" w:type="dxa"/>
            <w:shd w:val="clear" w:color="auto" w:fill="FFFFFF"/>
            <w:tcMar>
              <w:top w:w="80" w:type="dxa"/>
              <w:left w:w="100" w:type="dxa"/>
              <w:bottom w:w="80" w:type="dxa"/>
              <w:right w:w="100" w:type="dxa"/>
            </w:tcMar>
          </w:tcPr>
          <w:p w14:paraId="48658FA9" w14:textId="77777777" w:rsidR="00571C1C" w:rsidRDefault="00000000">
            <w:r>
              <w:rPr>
                <w:b/>
                <w:bCs/>
                <w:color w:val="111111"/>
                <w:sz w:val="16"/>
                <w:szCs w:val="16"/>
              </w:rPr>
              <w:t>Chen &amp; Wang, Scientific Reports (2025) [2]</w:t>
            </w:r>
          </w:p>
        </w:tc>
        <w:tc>
          <w:tcPr>
            <w:tcW w:w="1900" w:type="dxa"/>
            <w:shd w:val="clear" w:color="auto" w:fill="FFFFFF"/>
            <w:tcMar>
              <w:top w:w="80" w:type="dxa"/>
              <w:left w:w="100" w:type="dxa"/>
              <w:bottom w:w="80" w:type="dxa"/>
              <w:right w:w="100" w:type="dxa"/>
            </w:tcMar>
          </w:tcPr>
          <w:p w14:paraId="7B452A45" w14:textId="77777777" w:rsidR="00571C1C" w:rsidRDefault="00000000">
            <w:r>
              <w:rPr>
                <w:color w:val="111111"/>
                <w:sz w:val="16"/>
                <w:szCs w:val="16"/>
              </w:rPr>
              <w:t>XGBoost, Decision Tree, ANN</w:t>
            </w:r>
          </w:p>
        </w:tc>
        <w:tc>
          <w:tcPr>
            <w:tcW w:w="2200" w:type="dxa"/>
            <w:shd w:val="clear" w:color="auto" w:fill="FFFFFF"/>
            <w:tcMar>
              <w:top w:w="80" w:type="dxa"/>
              <w:left w:w="100" w:type="dxa"/>
              <w:bottom w:w="80" w:type="dxa"/>
              <w:right w:w="100" w:type="dxa"/>
            </w:tcMar>
          </w:tcPr>
          <w:p w14:paraId="27739E24" w14:textId="77777777" w:rsidR="00571C1C" w:rsidRDefault="00000000">
            <w:r>
              <w:rPr>
                <w:color w:val="111111"/>
                <w:sz w:val="16"/>
                <w:szCs w:val="16"/>
              </w:rPr>
              <w:t>NHANES 2017–20 + BRFSS behavioral features</w:t>
            </w:r>
          </w:p>
        </w:tc>
        <w:tc>
          <w:tcPr>
            <w:tcW w:w="2300" w:type="dxa"/>
            <w:shd w:val="clear" w:color="auto" w:fill="FFFFFF"/>
            <w:tcMar>
              <w:top w:w="80" w:type="dxa"/>
              <w:left w:w="100" w:type="dxa"/>
              <w:bottom w:w="80" w:type="dxa"/>
              <w:right w:w="100" w:type="dxa"/>
            </w:tcMar>
          </w:tcPr>
          <w:p w14:paraId="19869556" w14:textId="77777777" w:rsidR="00571C1C" w:rsidRDefault="00000000">
            <w:r>
              <w:rPr>
                <w:color w:val="111111"/>
                <w:sz w:val="16"/>
                <w:szCs w:val="16"/>
              </w:rPr>
              <w:t>XGBoost best: meanIoU 0.789, F1&gt;0.79 across risk tiers, MAE 28.9 min/week, R²=0.79</w:t>
            </w:r>
          </w:p>
        </w:tc>
        <w:tc>
          <w:tcPr>
            <w:tcW w:w="2300" w:type="dxa"/>
            <w:shd w:val="clear" w:color="auto" w:fill="FFFFFF"/>
            <w:tcMar>
              <w:top w:w="80" w:type="dxa"/>
              <w:left w:w="100" w:type="dxa"/>
              <w:bottom w:w="80" w:type="dxa"/>
              <w:right w:w="100" w:type="dxa"/>
            </w:tcMar>
          </w:tcPr>
          <w:p w14:paraId="5B1BB7F1" w14:textId="77777777" w:rsidR="00571C1C" w:rsidRDefault="00000000">
            <w:r>
              <w:rPr>
                <w:b/>
                <w:bCs/>
                <w:color w:val="B71E42"/>
                <w:sz w:val="16"/>
                <w:szCs w:val="16"/>
              </w:rPr>
              <w:t>Personalization via k-means clustering + fixed rule-based scaling (α = 1.2/1.0/0.8), not a learned safety mechanism. No explainability implemented (listed only as future work). No dietary/nutrition component.</w:t>
            </w:r>
          </w:p>
        </w:tc>
      </w:tr>
      <w:tr w:rsidR="00571C1C" w14:paraId="16170E46" w14:textId="77777777">
        <w:tblPrEx>
          <w:tblCellMar>
            <w:top w:w="0" w:type="dxa"/>
            <w:bottom w:w="0" w:type="dxa"/>
          </w:tblCellMar>
        </w:tblPrEx>
        <w:trPr>
          <w:cantSplit/>
        </w:trPr>
        <w:tc>
          <w:tcPr>
            <w:tcW w:w="2100" w:type="dxa"/>
            <w:shd w:val="clear" w:color="auto" w:fill="F4F1EC"/>
            <w:tcMar>
              <w:top w:w="80" w:type="dxa"/>
              <w:left w:w="100" w:type="dxa"/>
              <w:bottom w:w="80" w:type="dxa"/>
              <w:right w:w="100" w:type="dxa"/>
            </w:tcMar>
          </w:tcPr>
          <w:p w14:paraId="4A55E204" w14:textId="77777777" w:rsidR="00571C1C" w:rsidRDefault="00000000">
            <w:r>
              <w:rPr>
                <w:b/>
                <w:bCs/>
                <w:color w:val="111111"/>
                <w:sz w:val="16"/>
                <w:szCs w:val="16"/>
              </w:rPr>
              <w:t>Karamlı Aydın et al., Applied Sciences (2025) [3]</w:t>
            </w:r>
          </w:p>
        </w:tc>
        <w:tc>
          <w:tcPr>
            <w:tcW w:w="1900" w:type="dxa"/>
            <w:shd w:val="clear" w:color="auto" w:fill="F4F1EC"/>
            <w:tcMar>
              <w:top w:w="80" w:type="dxa"/>
              <w:left w:w="100" w:type="dxa"/>
              <w:bottom w:w="80" w:type="dxa"/>
              <w:right w:w="100" w:type="dxa"/>
            </w:tcMar>
          </w:tcPr>
          <w:p w14:paraId="5BCC82CD" w14:textId="77777777" w:rsidR="00571C1C" w:rsidRDefault="00000000">
            <w:r>
              <w:rPr>
                <w:color w:val="111111"/>
                <w:sz w:val="16"/>
                <w:szCs w:val="16"/>
              </w:rPr>
              <w:t>Linear Regression, Random Forest, Gradient Boosting (single models, not stacked) + local LLM (Mistral 7B)</w:t>
            </w:r>
          </w:p>
        </w:tc>
        <w:tc>
          <w:tcPr>
            <w:tcW w:w="2200" w:type="dxa"/>
            <w:shd w:val="clear" w:color="auto" w:fill="F4F1EC"/>
            <w:tcMar>
              <w:top w:w="80" w:type="dxa"/>
              <w:left w:w="100" w:type="dxa"/>
              <w:bottom w:w="80" w:type="dxa"/>
              <w:right w:w="100" w:type="dxa"/>
            </w:tcMar>
          </w:tcPr>
          <w:p w14:paraId="4FC2DA06" w14:textId="77777777" w:rsidR="00571C1C" w:rsidRDefault="00000000">
            <w:r>
              <w:rPr>
                <w:color w:val="111111"/>
                <w:sz w:val="16"/>
                <w:szCs w:val="16"/>
              </w:rPr>
              <w:t>NHANES 2017–18 (DEMO_J, BMX_J, DR1TOT_J merged on SEQN, n=6792)</w:t>
            </w:r>
          </w:p>
        </w:tc>
        <w:tc>
          <w:tcPr>
            <w:tcW w:w="2300" w:type="dxa"/>
            <w:shd w:val="clear" w:color="auto" w:fill="F4F1EC"/>
            <w:tcMar>
              <w:top w:w="80" w:type="dxa"/>
              <w:left w:w="100" w:type="dxa"/>
              <w:bottom w:w="80" w:type="dxa"/>
              <w:right w:w="100" w:type="dxa"/>
            </w:tcMar>
          </w:tcPr>
          <w:p w14:paraId="0132F312" w14:textId="77777777" w:rsidR="00571C1C" w:rsidRDefault="00000000">
            <w:r>
              <w:rPr>
                <w:color w:val="111111"/>
                <w:sz w:val="16"/>
                <w:szCs w:val="16"/>
              </w:rPr>
              <w:t>Best calorie-prediction R² = 0.108 (LR-V2); LLM preference-parsing accuracy 91% (n=30 hand-crafted queries)</w:t>
            </w:r>
          </w:p>
        </w:tc>
        <w:tc>
          <w:tcPr>
            <w:tcW w:w="2300" w:type="dxa"/>
            <w:shd w:val="clear" w:color="auto" w:fill="F4F1EC"/>
            <w:tcMar>
              <w:top w:w="80" w:type="dxa"/>
              <w:left w:w="100" w:type="dxa"/>
              <w:bottom w:w="80" w:type="dxa"/>
              <w:right w:w="100" w:type="dxa"/>
            </w:tcMar>
          </w:tcPr>
          <w:p w14:paraId="1AA3B9AE" w14:textId="77777777" w:rsidR="00571C1C" w:rsidRDefault="00000000">
            <w:r>
              <w:rPr>
                <w:b/>
                <w:bCs/>
                <w:color w:val="B71E42"/>
                <w:sz w:val="16"/>
                <w:szCs w:val="16"/>
              </w:rPr>
              <w:t>Weak predictive power (R² ≈ 0.11) since features are anthropometric only, no biomarkers. Uses rule-based USDA filtering, not retrieval-grounded generation — explicitly noted by the authors as unbenchmarked against optimization or grounding approaches. No explainability; no biomarker safety layer.</w:t>
            </w:r>
          </w:p>
        </w:tc>
      </w:tr>
      <w:tr w:rsidR="00571C1C" w14:paraId="286D50D0" w14:textId="77777777">
        <w:tblPrEx>
          <w:tblCellMar>
            <w:top w:w="0" w:type="dxa"/>
            <w:bottom w:w="0" w:type="dxa"/>
          </w:tblCellMar>
        </w:tblPrEx>
        <w:trPr>
          <w:cantSplit/>
        </w:trPr>
        <w:tc>
          <w:tcPr>
            <w:tcW w:w="2100" w:type="dxa"/>
            <w:shd w:val="clear" w:color="auto" w:fill="FFFFFF"/>
            <w:tcMar>
              <w:top w:w="80" w:type="dxa"/>
              <w:left w:w="100" w:type="dxa"/>
              <w:bottom w:w="80" w:type="dxa"/>
              <w:right w:w="100" w:type="dxa"/>
            </w:tcMar>
          </w:tcPr>
          <w:p w14:paraId="0D8B4C0B" w14:textId="77777777" w:rsidR="00571C1C" w:rsidRDefault="00000000">
            <w:r>
              <w:rPr>
                <w:b/>
                <w:bCs/>
                <w:color w:val="111111"/>
                <w:sz w:val="16"/>
                <w:szCs w:val="16"/>
              </w:rPr>
              <w:t>Xia et al., Frontiers in Public Health (2022) [4]</w:t>
            </w:r>
          </w:p>
        </w:tc>
        <w:tc>
          <w:tcPr>
            <w:tcW w:w="1900" w:type="dxa"/>
            <w:shd w:val="clear" w:color="auto" w:fill="FFFFFF"/>
            <w:tcMar>
              <w:top w:w="80" w:type="dxa"/>
              <w:left w:w="100" w:type="dxa"/>
              <w:bottom w:w="80" w:type="dxa"/>
              <w:right w:w="100" w:type="dxa"/>
            </w:tcMar>
          </w:tcPr>
          <w:p w14:paraId="33F0EB18" w14:textId="77777777" w:rsidR="00571C1C" w:rsidRDefault="00000000">
            <w:r>
              <w:rPr>
                <w:color w:val="111111"/>
                <w:sz w:val="16"/>
                <w:szCs w:val="16"/>
              </w:rPr>
              <w:t>XGBoost, DT, SVM, MARS, ANN, BT, RF, KNN (8-model comparison)</w:t>
            </w:r>
          </w:p>
        </w:tc>
        <w:tc>
          <w:tcPr>
            <w:tcW w:w="2200" w:type="dxa"/>
            <w:shd w:val="clear" w:color="auto" w:fill="FFFFFF"/>
            <w:tcMar>
              <w:top w:w="80" w:type="dxa"/>
              <w:left w:w="100" w:type="dxa"/>
              <w:bottom w:w="80" w:type="dxa"/>
              <w:right w:w="100" w:type="dxa"/>
            </w:tcMar>
          </w:tcPr>
          <w:p w14:paraId="3C77D68B" w14:textId="77777777" w:rsidR="00571C1C" w:rsidRDefault="00000000">
            <w:r>
              <w:rPr>
                <w:color w:val="111111"/>
                <w:sz w:val="16"/>
                <w:szCs w:val="16"/>
              </w:rPr>
              <w:t>NHANES 2017–18, blood heavy metals (n=3247)</w:t>
            </w:r>
          </w:p>
        </w:tc>
        <w:tc>
          <w:tcPr>
            <w:tcW w:w="2300" w:type="dxa"/>
            <w:shd w:val="clear" w:color="auto" w:fill="FFFFFF"/>
            <w:tcMar>
              <w:top w:w="80" w:type="dxa"/>
              <w:left w:w="100" w:type="dxa"/>
              <w:bottom w:w="80" w:type="dxa"/>
              <w:right w:w="100" w:type="dxa"/>
            </w:tcMar>
          </w:tcPr>
          <w:p w14:paraId="5C6E5405" w14:textId="77777777" w:rsidR="00571C1C" w:rsidRDefault="00000000">
            <w:r>
              <w:rPr>
                <w:color w:val="111111"/>
                <w:sz w:val="16"/>
                <w:szCs w:val="16"/>
              </w:rPr>
              <w:t>XGBoost best: accuracy 0.89, AUC 0.88, Kappa 0.006 (very low agreement despite high accuracy, indicating class imbalance)</w:t>
            </w:r>
          </w:p>
        </w:tc>
        <w:tc>
          <w:tcPr>
            <w:tcW w:w="2300" w:type="dxa"/>
            <w:shd w:val="clear" w:color="auto" w:fill="FFFFFF"/>
            <w:tcMar>
              <w:top w:w="80" w:type="dxa"/>
              <w:left w:w="100" w:type="dxa"/>
              <w:bottom w:w="80" w:type="dxa"/>
              <w:right w:w="100" w:type="dxa"/>
            </w:tcMar>
          </w:tcPr>
          <w:p w14:paraId="0F9A2AEC" w14:textId="77777777" w:rsidR="00571C1C" w:rsidRDefault="00000000">
            <w:r>
              <w:rPr>
                <w:b/>
                <w:bCs/>
                <w:color w:val="B71E42"/>
                <w:sz w:val="16"/>
                <w:szCs w:val="16"/>
              </w:rPr>
              <w:t>Different application domain (depression risk, not nutrition). Demonstrates NHANES + multi-model comparison + online deployment as a viable methodology, but no recommendation generation, no RAG, no SHAP despite using tree-based models well suited to it.</w:t>
            </w:r>
          </w:p>
        </w:tc>
      </w:tr>
    </w:tbl>
    <w:p w14:paraId="04C2146E" w14:textId="77777777" w:rsidR="00571C1C" w:rsidRDefault="00000000">
      <w:pPr>
        <w:spacing w:before="220" w:after="90"/>
      </w:pPr>
      <w:r>
        <w:rPr>
          <w:b/>
          <w:bCs/>
          <w:color w:val="1B2A4A"/>
          <w:sz w:val="23"/>
          <w:szCs w:val="23"/>
        </w:rPr>
        <w:t>2.6 Research Gap</w:t>
      </w:r>
    </w:p>
    <w:p w14:paraId="249683C6" w14:textId="77777777" w:rsidR="00571C1C" w:rsidRDefault="00000000">
      <w:pPr>
        <w:spacing w:after="160" w:line="300" w:lineRule="auto"/>
      </w:pPr>
      <w:r>
        <w:rPr>
          <w:color w:val="222222"/>
          <w:sz w:val="21"/>
          <w:szCs w:val="21"/>
        </w:rPr>
        <w:t xml:space="preserve">Synthesizing Sections 2.1–2.4: no reviewed system combines a stacked (rather than single-model) ensemble, an enforced biomarker safety constraint independent of the prediction step, retrieval-grounded rather than rule-based </w:t>
      </w:r>
      <w:r>
        <w:rPr>
          <w:color w:val="222222"/>
          <w:sz w:val="21"/>
          <w:szCs w:val="21"/>
        </w:rPr>
        <w:lastRenderedPageBreak/>
        <w:t>or free-form generation, and SHAP explainability applied to the recommendation itself rather than to a diagnostic label. These four gaps directly motivate the design presented in Section 3.</w:t>
      </w:r>
    </w:p>
    <w:p w14:paraId="3D4A052B" w14:textId="77777777" w:rsidR="00571C1C" w:rsidRDefault="00000000">
      <w:r>
        <w:br w:type="page"/>
      </w:r>
    </w:p>
    <w:p w14:paraId="5BB50BF9" w14:textId="77777777" w:rsidR="00571C1C" w:rsidRDefault="00000000">
      <w:pPr>
        <w:pStyle w:val="Heading1"/>
        <w:pBdr>
          <w:bottom w:val="single" w:sz="6" w:space="4" w:color="B71E42"/>
        </w:pBdr>
        <w:spacing w:before="300" w:after="150"/>
      </w:pPr>
      <w:r>
        <w:rPr>
          <w:b/>
          <w:bCs/>
          <w:color w:val="B71E42"/>
          <w:sz w:val="28"/>
          <w:szCs w:val="28"/>
        </w:rPr>
        <w:lastRenderedPageBreak/>
        <w:t>3. Proposed Methodology</w:t>
      </w:r>
    </w:p>
    <w:p w14:paraId="4B9948FE" w14:textId="77777777" w:rsidR="00571C1C" w:rsidRDefault="00000000">
      <w:pPr>
        <w:spacing w:before="220" w:after="90"/>
      </w:pPr>
      <w:r>
        <w:rPr>
          <w:b/>
          <w:bCs/>
          <w:color w:val="1B2A4A"/>
          <w:sz w:val="23"/>
          <w:szCs w:val="23"/>
        </w:rPr>
        <w:t>3.1 Overall Framework (System Architecture)</w:t>
      </w:r>
    </w:p>
    <w:p w14:paraId="52920393" w14:textId="77777777" w:rsidR="00571C1C" w:rsidRDefault="00000000">
      <w:pPr>
        <w:spacing w:after="160" w:line="300" w:lineRule="auto"/>
      </w:pPr>
      <w:r>
        <w:rPr>
          <w:color w:val="222222"/>
          <w:sz w:val="21"/>
          <w:szCs w:val="21"/>
        </w:rPr>
        <w:t>The proposed system, SafeNutri-RAG, follows a layered architecture in which data from three sources flows through cleaning, feature engineering, parallel prediction and safety-constraint layers, a hybrid recommendation engine, and an explainable output layer, shown in Figure 1.</w:t>
      </w:r>
    </w:p>
    <w:p w14:paraId="46A00D4C" w14:textId="5001EC1A" w:rsidR="00571C1C" w:rsidRDefault="00A4624B">
      <w:pPr>
        <w:spacing w:before="150" w:after="60"/>
        <w:jc w:val="center"/>
      </w:pPr>
      <w:r w:rsidRPr="00A4624B">
        <w:drawing>
          <wp:inline distT="0" distB="0" distL="0" distR="0" wp14:anchorId="74CB84B9" wp14:editId="633F618A">
            <wp:extent cx="6400800" cy="2797810"/>
            <wp:effectExtent l="0" t="0" r="0" b="2540"/>
            <wp:docPr id="15964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5013" name=""/>
                    <pic:cNvPicPr/>
                  </pic:nvPicPr>
                  <pic:blipFill>
                    <a:blip r:embed="rId5"/>
                    <a:stretch>
                      <a:fillRect/>
                    </a:stretch>
                  </pic:blipFill>
                  <pic:spPr>
                    <a:xfrm>
                      <a:off x="0" y="0"/>
                      <a:ext cx="6400800" cy="2797810"/>
                    </a:xfrm>
                    <a:prstGeom prst="rect">
                      <a:avLst/>
                    </a:prstGeom>
                  </pic:spPr>
                </pic:pic>
              </a:graphicData>
            </a:graphic>
          </wp:inline>
        </w:drawing>
      </w:r>
    </w:p>
    <w:p w14:paraId="052AEFDC" w14:textId="77777777" w:rsidR="00571C1C" w:rsidRDefault="00000000">
      <w:pPr>
        <w:spacing w:after="200"/>
        <w:jc w:val="center"/>
      </w:pPr>
      <w:r>
        <w:rPr>
          <w:i/>
          <w:iCs/>
          <w:color w:val="3A3A3A"/>
          <w:sz w:val="18"/>
          <w:szCs w:val="18"/>
        </w:rPr>
        <w:t>Figure 1: System Architecture of SafeNutri-RAG</w:t>
      </w:r>
    </w:p>
    <w:p w14:paraId="5B4076D4" w14:textId="77777777" w:rsidR="00571C1C" w:rsidRDefault="00000000">
      <w:pPr>
        <w:spacing w:after="160" w:line="300" w:lineRule="auto"/>
      </w:pPr>
      <w:r>
        <w:rPr>
          <w:color w:val="222222"/>
          <w:sz w:val="21"/>
          <w:szCs w:val="21"/>
        </w:rPr>
        <w:t>Unlike [1], where SHAP is applied only after a diagnostic classification, and unlike [2], where personalization is a fixed rule-based multiplier, the prediction layer (stacked ensemble) and the constraint layer (biomarker safety rules) in this design operate independently and in parallel, allowing the constraint layer to override the prediction layer's output when medically necessary, before either reaches the recommendation or explainability stages.</w:t>
      </w:r>
    </w:p>
    <w:p w14:paraId="531B8DCA" w14:textId="77777777" w:rsidR="00571C1C" w:rsidRDefault="00000000">
      <w:pPr>
        <w:spacing w:before="220" w:after="90"/>
      </w:pPr>
      <w:r>
        <w:rPr>
          <w:b/>
          <w:bCs/>
          <w:color w:val="1B2A4A"/>
          <w:sz w:val="23"/>
          <w:szCs w:val="23"/>
        </w:rPr>
        <w:t>3.2 Dataset</w:t>
      </w:r>
    </w:p>
    <w:p w14:paraId="631B5200" w14:textId="77777777" w:rsidR="00571C1C" w:rsidRDefault="00000000">
      <w:pPr>
        <w:spacing w:after="160" w:line="300" w:lineRule="auto"/>
      </w:pPr>
      <w:r>
        <w:rPr>
          <w:color w:val="222222"/>
          <w:sz w:val="21"/>
          <w:szCs w:val="21"/>
        </w:rPr>
        <w:t>As in [1], [3], and [4], NHANES 2017–2018 forms the core health dataset, merged on the participant identifier SEQN as in [1] and [3]. Two additional sources extend this design beyond any single reference study: USDA FoodData Central, providing verified nutrient reference values (used for RAG grounding, absent from [1], [2], and [4], and used only for rule-based filtering rather than grounding in [3]); and Food.com recipe and interaction data, enabling a collaborative-filtering signal absent from all four reviewed studies.</w:t>
      </w:r>
    </w:p>
    <w:p w14:paraId="2A25BF1D" w14:textId="77777777" w:rsidR="00571C1C" w:rsidRDefault="00000000">
      <w:pPr>
        <w:spacing w:before="220" w:after="90"/>
      </w:pPr>
      <w:r>
        <w:rPr>
          <w:b/>
          <w:bCs/>
          <w:color w:val="1B2A4A"/>
          <w:sz w:val="23"/>
          <w:szCs w:val="23"/>
        </w:rPr>
        <w:t>3.3 Data Preprocessing</w:t>
      </w:r>
    </w:p>
    <w:p w14:paraId="052191B5" w14:textId="77777777" w:rsidR="00571C1C" w:rsidRDefault="00000000">
      <w:pPr>
        <w:spacing w:after="90" w:line="280" w:lineRule="auto"/>
      </w:pPr>
      <w:r>
        <w:rPr>
          <w:color w:val="222222"/>
          <w:sz w:val="21"/>
          <w:szCs w:val="21"/>
        </w:rPr>
        <w:t>1. NHANES files are merged on SEQN via a left join, following the same identifier-based merge strategy as [1] and [3].</w:t>
      </w:r>
    </w:p>
    <w:p w14:paraId="73DF7BE2" w14:textId="77777777" w:rsidR="00571C1C" w:rsidRDefault="00000000">
      <w:pPr>
        <w:spacing w:after="90" w:line="280" w:lineRule="auto"/>
      </w:pPr>
      <w:r>
        <w:rPr>
          <w:color w:val="222222"/>
          <w:sz w:val="21"/>
          <w:szCs w:val="21"/>
        </w:rPr>
        <w:t>2. NHANES-specific non-response codes are treated as missing rather than valid values, then imputed or dropped by missingness percentage.</w:t>
      </w:r>
    </w:p>
    <w:p w14:paraId="5FA0709B" w14:textId="77777777" w:rsidR="00571C1C" w:rsidRDefault="00000000">
      <w:pPr>
        <w:spacing w:after="90" w:line="280" w:lineRule="auto"/>
      </w:pPr>
      <w:r>
        <w:rPr>
          <w:color w:val="222222"/>
          <w:sz w:val="21"/>
          <w:szCs w:val="21"/>
        </w:rPr>
        <w:t>3. Food.com ingredient text is fuzzy-matched to USDA nutrient entries, a linking step with no equivalent in [3]'s rule-based-only design.</w:t>
      </w:r>
    </w:p>
    <w:p w14:paraId="290CCC8B" w14:textId="77777777" w:rsidR="00571C1C" w:rsidRDefault="00000000">
      <w:pPr>
        <w:spacing w:after="90" w:line="280" w:lineRule="auto"/>
      </w:pPr>
      <w:r>
        <w:rPr>
          <w:color w:val="222222"/>
          <w:sz w:val="21"/>
          <w:szCs w:val="21"/>
        </w:rPr>
        <w:t>4. Per-recipe nutrient totals are computed by scaling matched USDA values by ingredient quantity.</w:t>
      </w:r>
    </w:p>
    <w:p w14:paraId="6B0FA8FD" w14:textId="77777777" w:rsidR="00571C1C" w:rsidRDefault="00000000">
      <w:pPr>
        <w:spacing w:before="220" w:after="90"/>
      </w:pPr>
      <w:r>
        <w:rPr>
          <w:b/>
          <w:bCs/>
          <w:color w:val="1B2A4A"/>
          <w:sz w:val="23"/>
          <w:szCs w:val="23"/>
        </w:rPr>
        <w:t>3.4 Feature Engineering</w:t>
      </w:r>
    </w:p>
    <w:p w14:paraId="52D2F077" w14:textId="77777777" w:rsidR="00571C1C" w:rsidRDefault="00000000">
      <w:pPr>
        <w:pStyle w:val="ListParagraph"/>
        <w:numPr>
          <w:ilvl w:val="0"/>
          <w:numId w:val="2"/>
        </w:numPr>
        <w:spacing w:after="90" w:line="280" w:lineRule="auto"/>
      </w:pPr>
      <w:r>
        <w:rPr>
          <w:color w:val="222222"/>
          <w:sz w:val="21"/>
          <w:szCs w:val="21"/>
        </w:rPr>
        <w:lastRenderedPageBreak/>
        <w:t>BMI and BMI category (Underweight/Normal/Overweight/Obese), as used for outcome definition in [1].</w:t>
      </w:r>
    </w:p>
    <w:p w14:paraId="015FD722" w14:textId="77777777" w:rsidR="00571C1C" w:rsidRDefault="00000000">
      <w:pPr>
        <w:pStyle w:val="ListParagraph"/>
        <w:numPr>
          <w:ilvl w:val="0"/>
          <w:numId w:val="2"/>
        </w:numPr>
        <w:spacing w:after="90" w:line="280" w:lineRule="auto"/>
      </w:pPr>
      <w:r>
        <w:rPr>
          <w:color w:val="222222"/>
          <w:sz w:val="21"/>
          <w:szCs w:val="21"/>
        </w:rPr>
        <w:t>TDEE (Total Daily Energy Expenditure) via the Mifflin-St Jeor equation and an activity score, extending the anthropometry-only feature set of [3].</w:t>
      </w:r>
    </w:p>
    <w:p w14:paraId="54CCD4EB" w14:textId="77777777" w:rsidR="00571C1C" w:rsidRDefault="00000000">
      <w:pPr>
        <w:pStyle w:val="ListParagraph"/>
        <w:numPr>
          <w:ilvl w:val="0"/>
          <w:numId w:val="2"/>
        </w:numPr>
        <w:spacing w:after="90" w:line="280" w:lineRule="auto"/>
      </w:pPr>
      <w:r>
        <w:rPr>
          <w:color w:val="222222"/>
          <w:sz w:val="21"/>
          <w:szCs w:val="21"/>
        </w:rPr>
        <w:t>Biomarker risk flags (diabetic-range HbA1c ≥ 6.5%, hypertension-range cholesterol ≥ 240 mg/dL), used here as constraint triggers rather than only classifier inputs as in [1].</w:t>
      </w:r>
    </w:p>
    <w:p w14:paraId="51112399" w14:textId="77777777" w:rsidR="00571C1C" w:rsidRDefault="00000000">
      <w:pPr>
        <w:pStyle w:val="ListParagraph"/>
        <w:numPr>
          <w:ilvl w:val="0"/>
          <w:numId w:val="2"/>
        </w:numPr>
        <w:spacing w:after="90" w:line="280" w:lineRule="auto"/>
      </w:pPr>
      <w:r>
        <w:rPr>
          <w:color w:val="222222"/>
          <w:sz w:val="21"/>
          <w:szCs w:val="21"/>
        </w:rPr>
        <w:t>Gender encoding, consistent with the demographic feature handling in [1], [2], and [3].</w:t>
      </w:r>
    </w:p>
    <w:p w14:paraId="198F7CED" w14:textId="77777777" w:rsidR="00571C1C" w:rsidRDefault="00000000">
      <w:pPr>
        <w:spacing w:before="220" w:after="90"/>
      </w:pPr>
      <w:r>
        <w:rPr>
          <w:b/>
          <w:bCs/>
          <w:color w:val="1B2A4A"/>
          <w:sz w:val="23"/>
          <w:szCs w:val="23"/>
        </w:rPr>
        <w:t>3.5 Feature Selection (Implementation)</w:t>
      </w:r>
    </w:p>
    <w:p w14:paraId="30B8497E" w14:textId="77777777" w:rsidR="00571C1C" w:rsidRDefault="00000000">
      <w:pPr>
        <w:spacing w:after="160" w:line="300" w:lineRule="auto"/>
      </w:pPr>
      <w:r>
        <w:rPr>
          <w:color w:val="222222"/>
          <w:sz w:val="21"/>
          <w:szCs w:val="21"/>
        </w:rPr>
        <w:t>Feature relevance was assessed using permutation importance, functioning here as an interpretability step analogous to the FI/SHAP analysis in [1], but applied to the prediction layer of a recommendation system rather than to a standalone classifier.</w:t>
      </w:r>
    </w:p>
    <w:p w14:paraId="28E845DC" w14:textId="77777777" w:rsidR="00571C1C" w:rsidRDefault="00000000">
      <w:pPr>
        <w:shd w:val="clear" w:color="auto" w:fill="F4F1EC"/>
        <w:spacing w:after="160"/>
      </w:pPr>
      <w:r>
        <w:rPr>
          <w:rFonts w:ascii="Consolas" w:eastAsia="Consolas" w:hAnsi="Consolas" w:cs="Consolas"/>
          <w:color w:val="222222"/>
          <w:sz w:val="19"/>
          <w:szCs w:val="19"/>
        </w:rPr>
        <w:t>from sklearn.inspection import permutation_importance</w:t>
      </w:r>
      <w:r>
        <w:br/>
      </w:r>
      <w:r>
        <w:br/>
      </w:r>
      <w:r>
        <w:rPr>
          <w:rFonts w:ascii="Consolas" w:eastAsia="Consolas" w:hAnsi="Consolas" w:cs="Consolas"/>
          <w:color w:val="222222"/>
          <w:sz w:val="19"/>
          <w:szCs w:val="19"/>
        </w:rPr>
        <w:t>perm = permutation_importance(</w:t>
      </w:r>
      <w:r>
        <w:br/>
      </w:r>
      <w:r>
        <w:rPr>
          <w:rFonts w:ascii="Consolas" w:eastAsia="Consolas" w:hAnsi="Consolas" w:cs="Consolas"/>
          <w:color w:val="222222"/>
          <w:sz w:val="19"/>
          <w:szCs w:val="19"/>
        </w:rPr>
        <w:t xml:space="preserve">    model, X_test, y_test,</w:t>
      </w:r>
      <w:r>
        <w:br/>
      </w:r>
      <w:r>
        <w:rPr>
          <w:rFonts w:ascii="Consolas" w:eastAsia="Consolas" w:hAnsi="Consolas" w:cs="Consolas"/>
          <w:color w:val="222222"/>
          <w:sz w:val="19"/>
          <w:szCs w:val="19"/>
        </w:rPr>
        <w:t xml:space="preserve">    n_repeats=15, random_state=42, n_jobs=-1</w:t>
      </w:r>
      <w:r>
        <w:br/>
      </w:r>
      <w:r>
        <w:rPr>
          <w:rFonts w:ascii="Consolas" w:eastAsia="Consolas" w:hAnsi="Consolas" w:cs="Consolas"/>
          <w:color w:val="222222"/>
          <w:sz w:val="19"/>
          <w:szCs w:val="19"/>
        </w:rPr>
        <w:t>)</w:t>
      </w:r>
    </w:p>
    <w:p w14:paraId="71CCCFA7" w14:textId="77777777" w:rsidR="00571C1C" w:rsidRDefault="00000000">
      <w:pPr>
        <w:spacing w:after="160" w:line="300" w:lineRule="auto"/>
      </w:pPr>
      <w:r>
        <w:rPr>
          <w:color w:val="222222"/>
          <w:sz w:val="21"/>
          <w:szCs w:val="21"/>
        </w:rPr>
        <w:t>Result of feature selection (executed run):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5200"/>
      </w:tblGrid>
      <w:tr w:rsidR="00571C1C" w14:paraId="620DFD92" w14:textId="77777777">
        <w:tblPrEx>
          <w:tblCellMar>
            <w:top w:w="0" w:type="dxa"/>
            <w:bottom w:w="0" w:type="dxa"/>
          </w:tblCellMar>
        </w:tblPrEx>
        <w:trPr>
          <w:cantSplit/>
          <w:tblHeader/>
        </w:trPr>
        <w:tc>
          <w:tcPr>
            <w:tcW w:w="5200" w:type="dxa"/>
            <w:shd w:val="clear" w:color="auto" w:fill="B71E42"/>
            <w:tcMar>
              <w:top w:w="80" w:type="dxa"/>
              <w:left w:w="100" w:type="dxa"/>
              <w:bottom w:w="80" w:type="dxa"/>
              <w:right w:w="100" w:type="dxa"/>
            </w:tcMar>
          </w:tcPr>
          <w:p w14:paraId="5947257D" w14:textId="77777777" w:rsidR="00571C1C" w:rsidRDefault="00000000">
            <w:r>
              <w:rPr>
                <w:b/>
                <w:bCs/>
                <w:color w:val="FFFFFF"/>
                <w:sz w:val="19"/>
                <w:szCs w:val="19"/>
              </w:rPr>
              <w:t>Feature</w:t>
            </w:r>
          </w:p>
        </w:tc>
        <w:tc>
          <w:tcPr>
            <w:tcW w:w="5200" w:type="dxa"/>
            <w:shd w:val="clear" w:color="auto" w:fill="B71E42"/>
            <w:tcMar>
              <w:top w:w="80" w:type="dxa"/>
              <w:left w:w="100" w:type="dxa"/>
              <w:bottom w:w="80" w:type="dxa"/>
              <w:right w:w="100" w:type="dxa"/>
            </w:tcMar>
          </w:tcPr>
          <w:p w14:paraId="197614F0" w14:textId="77777777" w:rsidR="00571C1C" w:rsidRDefault="00000000">
            <w:r>
              <w:rPr>
                <w:b/>
                <w:bCs/>
                <w:color w:val="FFFFFF"/>
                <w:sz w:val="19"/>
                <w:szCs w:val="19"/>
              </w:rPr>
              <w:t>Permutation Importance</w:t>
            </w:r>
          </w:p>
        </w:tc>
      </w:tr>
      <w:tr w:rsidR="00571C1C" w14:paraId="61580D45"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4DC5C7B1" w14:textId="77777777" w:rsidR="00571C1C" w:rsidRDefault="00000000">
            <w:r>
              <w:rPr>
                <w:color w:val="111111"/>
                <w:sz w:val="18"/>
                <w:szCs w:val="18"/>
              </w:rPr>
              <w:t>ACTIVITY_SCORE</w:t>
            </w:r>
          </w:p>
        </w:tc>
        <w:tc>
          <w:tcPr>
            <w:tcW w:w="5200" w:type="dxa"/>
            <w:shd w:val="clear" w:color="auto" w:fill="F4F1EC"/>
            <w:tcMar>
              <w:top w:w="80" w:type="dxa"/>
              <w:left w:w="100" w:type="dxa"/>
              <w:bottom w:w="80" w:type="dxa"/>
              <w:right w:w="100" w:type="dxa"/>
            </w:tcMar>
          </w:tcPr>
          <w:p w14:paraId="378AC298" w14:textId="77777777" w:rsidR="00571C1C" w:rsidRDefault="00000000">
            <w:r>
              <w:rPr>
                <w:color w:val="111111"/>
                <w:sz w:val="18"/>
                <w:szCs w:val="18"/>
              </w:rPr>
              <w:t>0.998</w:t>
            </w:r>
          </w:p>
        </w:tc>
      </w:tr>
      <w:tr w:rsidR="00571C1C" w14:paraId="348CD596"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tcPr>
          <w:p w14:paraId="0A01F7EC" w14:textId="77777777" w:rsidR="00571C1C" w:rsidRDefault="00000000">
            <w:r>
              <w:rPr>
                <w:color w:val="111111"/>
                <w:sz w:val="18"/>
                <w:szCs w:val="18"/>
              </w:rPr>
              <w:t>BMI</w:t>
            </w:r>
          </w:p>
        </w:tc>
        <w:tc>
          <w:tcPr>
            <w:tcW w:w="5200" w:type="dxa"/>
            <w:shd w:val="clear" w:color="auto" w:fill="FFFFFF"/>
            <w:tcMar>
              <w:top w:w="80" w:type="dxa"/>
              <w:left w:w="100" w:type="dxa"/>
              <w:bottom w:w="80" w:type="dxa"/>
              <w:right w:w="100" w:type="dxa"/>
            </w:tcMar>
          </w:tcPr>
          <w:p w14:paraId="0890C2C6" w14:textId="77777777" w:rsidR="00571C1C" w:rsidRDefault="00000000">
            <w:r>
              <w:rPr>
                <w:color w:val="111111"/>
                <w:sz w:val="18"/>
                <w:szCs w:val="18"/>
              </w:rPr>
              <w:t>0.244</w:t>
            </w:r>
          </w:p>
        </w:tc>
      </w:tr>
      <w:tr w:rsidR="00571C1C" w14:paraId="4F4AC04A"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19EAA30D" w14:textId="77777777" w:rsidR="00571C1C" w:rsidRDefault="00000000">
            <w:r>
              <w:rPr>
                <w:color w:val="111111"/>
                <w:sz w:val="18"/>
                <w:szCs w:val="18"/>
              </w:rPr>
              <w:t>AGE</w:t>
            </w:r>
          </w:p>
        </w:tc>
        <w:tc>
          <w:tcPr>
            <w:tcW w:w="5200" w:type="dxa"/>
            <w:shd w:val="clear" w:color="auto" w:fill="F4F1EC"/>
            <w:tcMar>
              <w:top w:w="80" w:type="dxa"/>
              <w:left w:w="100" w:type="dxa"/>
              <w:bottom w:w="80" w:type="dxa"/>
              <w:right w:w="100" w:type="dxa"/>
            </w:tcMar>
          </w:tcPr>
          <w:p w14:paraId="597DEF1B" w14:textId="77777777" w:rsidR="00571C1C" w:rsidRDefault="00000000">
            <w:r>
              <w:rPr>
                <w:color w:val="111111"/>
                <w:sz w:val="18"/>
                <w:szCs w:val="18"/>
              </w:rPr>
              <w:t>0.216</w:t>
            </w:r>
          </w:p>
        </w:tc>
      </w:tr>
      <w:tr w:rsidR="00571C1C" w14:paraId="0C1E7B88"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tcPr>
          <w:p w14:paraId="01BFBCCA" w14:textId="77777777" w:rsidR="00571C1C" w:rsidRDefault="00000000">
            <w:r>
              <w:rPr>
                <w:color w:val="111111"/>
                <w:sz w:val="18"/>
                <w:szCs w:val="18"/>
              </w:rPr>
              <w:t>GENDER_M</w:t>
            </w:r>
          </w:p>
        </w:tc>
        <w:tc>
          <w:tcPr>
            <w:tcW w:w="5200" w:type="dxa"/>
            <w:shd w:val="clear" w:color="auto" w:fill="FFFFFF"/>
            <w:tcMar>
              <w:top w:w="80" w:type="dxa"/>
              <w:left w:w="100" w:type="dxa"/>
              <w:bottom w:w="80" w:type="dxa"/>
              <w:right w:w="100" w:type="dxa"/>
            </w:tcMar>
          </w:tcPr>
          <w:p w14:paraId="33BA460F" w14:textId="77777777" w:rsidR="00571C1C" w:rsidRDefault="00000000">
            <w:r>
              <w:rPr>
                <w:color w:val="111111"/>
                <w:sz w:val="18"/>
                <w:szCs w:val="18"/>
              </w:rPr>
              <w:t>0.143</w:t>
            </w:r>
          </w:p>
        </w:tc>
      </w:tr>
      <w:tr w:rsidR="00571C1C" w14:paraId="1F197CA6"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0875BEDE" w14:textId="77777777" w:rsidR="00571C1C" w:rsidRDefault="00000000">
            <w:r>
              <w:rPr>
                <w:color w:val="111111"/>
                <w:sz w:val="18"/>
                <w:szCs w:val="18"/>
              </w:rPr>
              <w:t>CHOLESTEROL_MGDL</w:t>
            </w:r>
          </w:p>
        </w:tc>
        <w:tc>
          <w:tcPr>
            <w:tcW w:w="5200" w:type="dxa"/>
            <w:shd w:val="clear" w:color="auto" w:fill="F4F1EC"/>
            <w:tcMar>
              <w:top w:w="80" w:type="dxa"/>
              <w:left w:w="100" w:type="dxa"/>
              <w:bottom w:w="80" w:type="dxa"/>
              <w:right w:w="100" w:type="dxa"/>
            </w:tcMar>
          </w:tcPr>
          <w:p w14:paraId="2827EF71" w14:textId="77777777" w:rsidR="00571C1C" w:rsidRDefault="00000000">
            <w:r>
              <w:rPr>
                <w:color w:val="111111"/>
                <w:sz w:val="18"/>
                <w:szCs w:val="18"/>
              </w:rPr>
              <w:t>0.001</w:t>
            </w:r>
          </w:p>
        </w:tc>
      </w:tr>
      <w:tr w:rsidR="00571C1C" w14:paraId="4114C280"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tcPr>
          <w:p w14:paraId="2FCFA16E" w14:textId="77777777" w:rsidR="00571C1C" w:rsidRDefault="00000000">
            <w:r>
              <w:rPr>
                <w:color w:val="111111"/>
                <w:sz w:val="18"/>
                <w:szCs w:val="18"/>
              </w:rPr>
              <w:t>HBA1C</w:t>
            </w:r>
          </w:p>
        </w:tc>
        <w:tc>
          <w:tcPr>
            <w:tcW w:w="5200" w:type="dxa"/>
            <w:shd w:val="clear" w:color="auto" w:fill="FFFFFF"/>
            <w:tcMar>
              <w:top w:w="80" w:type="dxa"/>
              <w:left w:w="100" w:type="dxa"/>
              <w:bottom w:w="80" w:type="dxa"/>
              <w:right w:w="100" w:type="dxa"/>
            </w:tcMar>
          </w:tcPr>
          <w:p w14:paraId="4B70CA7C" w14:textId="77777777" w:rsidR="00571C1C" w:rsidRDefault="00000000">
            <w:r>
              <w:rPr>
                <w:color w:val="111111"/>
                <w:sz w:val="18"/>
                <w:szCs w:val="18"/>
              </w:rPr>
              <w:t>0.001</w:t>
            </w:r>
          </w:p>
        </w:tc>
      </w:tr>
      <w:tr w:rsidR="00571C1C" w14:paraId="34A3811B"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54767EF7" w14:textId="77777777" w:rsidR="00571C1C" w:rsidRDefault="00000000">
            <w:r>
              <w:rPr>
                <w:color w:val="111111"/>
                <w:sz w:val="18"/>
                <w:szCs w:val="18"/>
              </w:rPr>
              <w:t>GLUCOSE_MGDL</w:t>
            </w:r>
          </w:p>
        </w:tc>
        <w:tc>
          <w:tcPr>
            <w:tcW w:w="5200" w:type="dxa"/>
            <w:shd w:val="clear" w:color="auto" w:fill="F4F1EC"/>
            <w:tcMar>
              <w:top w:w="80" w:type="dxa"/>
              <w:left w:w="100" w:type="dxa"/>
              <w:bottom w:w="80" w:type="dxa"/>
              <w:right w:w="100" w:type="dxa"/>
            </w:tcMar>
          </w:tcPr>
          <w:p w14:paraId="60F1BB18" w14:textId="77777777" w:rsidR="00571C1C" w:rsidRDefault="00000000">
            <w:r>
              <w:rPr>
                <w:color w:val="111111"/>
                <w:sz w:val="18"/>
                <w:szCs w:val="18"/>
              </w:rPr>
              <w:t>0.0003</w:t>
            </w:r>
          </w:p>
        </w:tc>
      </w:tr>
      <w:tr w:rsidR="00571C1C" w14:paraId="0AF2C0E9" w14:textId="77777777">
        <w:tblPrEx>
          <w:tblCellMar>
            <w:top w:w="0" w:type="dxa"/>
            <w:bottom w:w="0" w:type="dxa"/>
          </w:tblCellMar>
        </w:tblPrEx>
        <w:trPr>
          <w:cantSplit/>
        </w:trPr>
        <w:tc>
          <w:tcPr>
            <w:tcW w:w="5200" w:type="dxa"/>
            <w:shd w:val="clear" w:color="auto" w:fill="FFFFFF"/>
            <w:tcMar>
              <w:top w:w="80" w:type="dxa"/>
              <w:left w:w="100" w:type="dxa"/>
              <w:bottom w:w="80" w:type="dxa"/>
              <w:right w:w="100" w:type="dxa"/>
            </w:tcMar>
          </w:tcPr>
          <w:p w14:paraId="7F9CA62C" w14:textId="77777777" w:rsidR="00571C1C" w:rsidRDefault="00000000">
            <w:r>
              <w:rPr>
                <w:color w:val="111111"/>
                <w:sz w:val="18"/>
                <w:szCs w:val="18"/>
              </w:rPr>
              <w:t>DIABETIC_FLAG</w:t>
            </w:r>
          </w:p>
        </w:tc>
        <w:tc>
          <w:tcPr>
            <w:tcW w:w="5200" w:type="dxa"/>
            <w:shd w:val="clear" w:color="auto" w:fill="FFFFFF"/>
            <w:tcMar>
              <w:top w:w="80" w:type="dxa"/>
              <w:left w:w="100" w:type="dxa"/>
              <w:bottom w:w="80" w:type="dxa"/>
              <w:right w:w="100" w:type="dxa"/>
            </w:tcMar>
          </w:tcPr>
          <w:p w14:paraId="379FDD1F" w14:textId="77777777" w:rsidR="00571C1C" w:rsidRDefault="00000000">
            <w:r>
              <w:rPr>
                <w:color w:val="111111"/>
                <w:sz w:val="18"/>
                <w:szCs w:val="18"/>
              </w:rPr>
              <w:t>0.000</w:t>
            </w:r>
          </w:p>
        </w:tc>
      </w:tr>
      <w:tr w:rsidR="00571C1C" w14:paraId="220F60A5" w14:textId="77777777">
        <w:tblPrEx>
          <w:tblCellMar>
            <w:top w:w="0" w:type="dxa"/>
            <w:bottom w:w="0" w:type="dxa"/>
          </w:tblCellMar>
        </w:tblPrEx>
        <w:trPr>
          <w:cantSplit/>
        </w:trPr>
        <w:tc>
          <w:tcPr>
            <w:tcW w:w="5200" w:type="dxa"/>
            <w:shd w:val="clear" w:color="auto" w:fill="F4F1EC"/>
            <w:tcMar>
              <w:top w:w="80" w:type="dxa"/>
              <w:left w:w="100" w:type="dxa"/>
              <w:bottom w:w="80" w:type="dxa"/>
              <w:right w:w="100" w:type="dxa"/>
            </w:tcMar>
          </w:tcPr>
          <w:p w14:paraId="1DDF6B89" w14:textId="77777777" w:rsidR="00571C1C" w:rsidRDefault="00000000">
            <w:r>
              <w:rPr>
                <w:color w:val="111111"/>
                <w:sz w:val="18"/>
                <w:szCs w:val="18"/>
              </w:rPr>
              <w:t>HYPERTENSION_FLAG</w:t>
            </w:r>
          </w:p>
        </w:tc>
        <w:tc>
          <w:tcPr>
            <w:tcW w:w="5200" w:type="dxa"/>
            <w:shd w:val="clear" w:color="auto" w:fill="F4F1EC"/>
            <w:tcMar>
              <w:top w:w="80" w:type="dxa"/>
              <w:left w:w="100" w:type="dxa"/>
              <w:bottom w:w="80" w:type="dxa"/>
              <w:right w:w="100" w:type="dxa"/>
            </w:tcMar>
          </w:tcPr>
          <w:p w14:paraId="1F2D25C9" w14:textId="77777777" w:rsidR="00571C1C" w:rsidRDefault="00000000">
            <w:r>
              <w:rPr>
                <w:color w:val="111111"/>
                <w:sz w:val="18"/>
                <w:szCs w:val="18"/>
              </w:rPr>
              <w:t>0.000</w:t>
            </w:r>
          </w:p>
        </w:tc>
      </w:tr>
    </w:tbl>
    <w:p w14:paraId="42FB5E80" w14:textId="77777777" w:rsidR="00571C1C" w:rsidRDefault="00000000">
      <w:pPr>
        <w:spacing w:after="160" w:line="300" w:lineRule="auto"/>
      </w:pPr>
      <w:r>
        <w:rPr>
          <w:color w:val="222222"/>
          <w:sz w:val="21"/>
          <w:szCs w:val="21"/>
        </w:rPr>
        <w:t>As in [1], where biochemical markers (triglycerides, uric acid, phosphorus) dominated diagnostic feature importance, biomarker fields here show minimal importance for calorie prediction specifically — confirming, empirically, that this project's biomarkers are correctly routed to the independent constraint layer (Section 3.1) rather than the base prediction, which is precisely the architectural difference from [1], where biomarkers are folded into a single classifier with no separate enforcement mechanism.</w:t>
      </w:r>
    </w:p>
    <w:p w14:paraId="4065360F" w14:textId="77777777" w:rsidR="00571C1C" w:rsidRDefault="00000000">
      <w:r>
        <w:br w:type="page"/>
      </w:r>
    </w:p>
    <w:p w14:paraId="05D7A3F6" w14:textId="77777777" w:rsidR="00571C1C" w:rsidRDefault="00000000">
      <w:pPr>
        <w:pStyle w:val="Heading1"/>
        <w:pBdr>
          <w:bottom w:val="single" w:sz="6" w:space="4" w:color="B71E42"/>
        </w:pBdr>
        <w:spacing w:before="300" w:after="150"/>
      </w:pPr>
      <w:r>
        <w:rPr>
          <w:b/>
          <w:bCs/>
          <w:color w:val="B71E42"/>
          <w:sz w:val="28"/>
          <w:szCs w:val="28"/>
        </w:rPr>
        <w:lastRenderedPageBreak/>
        <w:t>4. Implementation</w:t>
      </w:r>
    </w:p>
    <w:p w14:paraId="3CB9C4EC" w14:textId="77777777" w:rsidR="00571C1C" w:rsidRDefault="00000000">
      <w:pPr>
        <w:spacing w:before="220" w:after="90"/>
      </w:pPr>
      <w:r>
        <w:rPr>
          <w:b/>
          <w:bCs/>
          <w:color w:val="1B2A4A"/>
          <w:sz w:val="23"/>
          <w:szCs w:val="23"/>
        </w:rPr>
        <w:t>4.1 Development Environment Note</w:t>
      </w:r>
    </w:p>
    <w:p w14:paraId="3DC4602F" w14:textId="77777777" w:rsidR="00571C1C" w:rsidRDefault="00000000">
      <w:pPr>
        <w:spacing w:after="160" w:line="300" w:lineRule="auto"/>
      </w:pPr>
      <w:r>
        <w:rPr>
          <w:color w:val="222222"/>
          <w:sz w:val="21"/>
          <w:szCs w:val="21"/>
        </w:rPr>
        <w:t>The development environment used for this stage has no internet access, so two substitutions were made to keep the pipeline fully runnable with real, executed results:</w:t>
      </w:r>
    </w:p>
    <w:p w14:paraId="31AACBBC" w14:textId="77777777" w:rsidR="00571C1C" w:rsidRDefault="00000000">
      <w:pPr>
        <w:pStyle w:val="ListParagraph"/>
        <w:numPr>
          <w:ilvl w:val="0"/>
          <w:numId w:val="2"/>
        </w:numPr>
        <w:spacing w:after="90" w:line="280" w:lineRule="auto"/>
      </w:pPr>
      <w:r>
        <w:rPr>
          <w:color w:val="222222"/>
          <w:sz w:val="21"/>
          <w:szCs w:val="21"/>
        </w:rPr>
        <w:t>Real NHANES download → a synthetic dataset with the same field structure and realistic statistical relationships (BMI-linked biomarkers, Mifflin-St Jeor-based calorie targets), to be replaced with the real NHANES .XPT files used in [1], [3], and [4].</w:t>
      </w:r>
    </w:p>
    <w:p w14:paraId="0056AAEA" w14:textId="77777777" w:rsidR="00571C1C" w:rsidRDefault="00000000">
      <w:pPr>
        <w:pStyle w:val="ListParagraph"/>
        <w:numPr>
          <w:ilvl w:val="0"/>
          <w:numId w:val="2"/>
        </w:numPr>
        <w:spacing w:after="90" w:line="280" w:lineRule="auto"/>
      </w:pPr>
      <w:r>
        <w:rPr>
          <w:color w:val="222222"/>
          <w:sz w:val="21"/>
          <w:szCs w:val="21"/>
        </w:rPr>
        <w:t>LightGBM / XGBoost / SHAP → same-family scikit-learn equivalents (HistGradientBoostingRegressor, GradientBoostingRegressor, permutation_importance); the stacked-ensemble architecture is unchanged, only the specific library call is swapped.</w:t>
      </w:r>
    </w:p>
    <w:p w14:paraId="17E78EA7" w14:textId="77777777" w:rsidR="00571C1C" w:rsidRDefault="00000000">
      <w:pPr>
        <w:spacing w:before="220" w:after="90"/>
      </w:pPr>
      <w:r>
        <w:rPr>
          <w:b/>
          <w:bCs/>
          <w:color w:val="1B2A4A"/>
          <w:sz w:val="23"/>
          <w:szCs w:val="23"/>
        </w:rPr>
        <w:t>4.2 Stacked Ensemble</w:t>
      </w:r>
    </w:p>
    <w:p w14:paraId="295866A0" w14:textId="77777777" w:rsidR="00571C1C" w:rsidRDefault="00000000">
      <w:pPr>
        <w:spacing w:after="160" w:line="300" w:lineRule="auto"/>
      </w:pPr>
      <w:r>
        <w:rPr>
          <w:color w:val="222222"/>
          <w:sz w:val="21"/>
          <w:szCs w:val="21"/>
        </w:rPr>
        <w:t>Unlike [1], [3], and [4], which each select a single winning model per task, the prediction layer here combines three base learners through a meta-learner:</w:t>
      </w:r>
    </w:p>
    <w:p w14:paraId="3F65D4AF" w14:textId="77777777" w:rsidR="00571C1C" w:rsidRDefault="00000000">
      <w:pPr>
        <w:shd w:val="clear" w:color="auto" w:fill="F4F1EC"/>
        <w:spacing w:after="160"/>
      </w:pPr>
      <w:r>
        <w:rPr>
          <w:rFonts w:ascii="Consolas" w:eastAsia="Consolas" w:hAnsi="Consolas" w:cs="Consolas"/>
          <w:color w:val="222222"/>
          <w:sz w:val="19"/>
          <w:szCs w:val="19"/>
        </w:rPr>
        <w:t>base_learners = [</w:t>
      </w:r>
      <w:r>
        <w:br/>
      </w:r>
      <w:r>
        <w:rPr>
          <w:rFonts w:ascii="Consolas" w:eastAsia="Consolas" w:hAnsi="Consolas" w:cs="Consolas"/>
          <w:color w:val="222222"/>
          <w:sz w:val="19"/>
          <w:szCs w:val="19"/>
        </w:rPr>
        <w:t xml:space="preserve">    ("hist_gb", HistGradientBoostingRegressor(max_depth=5)),</w:t>
      </w:r>
      <w:r>
        <w:br/>
      </w:r>
      <w:r>
        <w:rPr>
          <w:rFonts w:ascii="Consolas" w:eastAsia="Consolas" w:hAnsi="Consolas" w:cs="Consolas"/>
          <w:color w:val="222222"/>
          <w:sz w:val="19"/>
          <w:szCs w:val="19"/>
        </w:rPr>
        <w:t xml:space="preserve">    ("grad_b", GradientBoostingRegressor(n_estimators=200, max_depth=3)),</w:t>
      </w:r>
      <w:r>
        <w:br/>
      </w:r>
      <w:r>
        <w:rPr>
          <w:rFonts w:ascii="Consolas" w:eastAsia="Consolas" w:hAnsi="Consolas" w:cs="Consolas"/>
          <w:color w:val="222222"/>
          <w:sz w:val="19"/>
          <w:szCs w:val="19"/>
        </w:rPr>
        <w:t xml:space="preserve">    ("rf", RandomForestRegressor(n_estimators=300, max_depth=8)),</w:t>
      </w:r>
      <w:r>
        <w:br/>
      </w:r>
      <w:r>
        <w:rPr>
          <w:rFonts w:ascii="Consolas" w:eastAsia="Consolas" w:hAnsi="Consolas" w:cs="Consolas"/>
          <w:color w:val="222222"/>
          <w:sz w:val="19"/>
          <w:szCs w:val="19"/>
        </w:rPr>
        <w:t>]</w:t>
      </w:r>
      <w:r>
        <w:br/>
      </w:r>
      <w:r>
        <w:rPr>
          <w:rFonts w:ascii="Consolas" w:eastAsia="Consolas" w:hAnsi="Consolas" w:cs="Consolas"/>
          <w:color w:val="222222"/>
          <w:sz w:val="19"/>
          <w:szCs w:val="19"/>
        </w:rPr>
        <w:t>model = StackingRegressor(estimators=base_learners,</w:t>
      </w:r>
      <w:r>
        <w:br/>
      </w:r>
      <w:r>
        <w:rPr>
          <w:rFonts w:ascii="Consolas" w:eastAsia="Consolas" w:hAnsi="Consolas" w:cs="Consolas"/>
          <w:color w:val="222222"/>
          <w:sz w:val="19"/>
          <w:szCs w:val="19"/>
        </w:rPr>
        <w:t xml:space="preserve">                           final_estimator=Ridge(alpha=1.0), cv=5)</w:t>
      </w:r>
      <w:r>
        <w:br/>
      </w:r>
      <w:r>
        <w:rPr>
          <w:rFonts w:ascii="Consolas" w:eastAsia="Consolas" w:hAnsi="Consolas" w:cs="Consolas"/>
          <w:color w:val="222222"/>
          <w:sz w:val="19"/>
          <w:szCs w:val="19"/>
        </w:rPr>
        <w:t>model.fit(X_train, y_train)</w:t>
      </w:r>
    </w:p>
    <w:p w14:paraId="409D1158" w14:textId="77777777" w:rsidR="00571C1C" w:rsidRDefault="00000000">
      <w:pPr>
        <w:spacing w:before="220" w:after="90"/>
      </w:pPr>
      <w:r>
        <w:rPr>
          <w:b/>
          <w:bCs/>
          <w:color w:val="1B2A4A"/>
          <w:sz w:val="23"/>
          <w:szCs w:val="23"/>
        </w:rPr>
        <w:t>4.3 Constraint Layer</w:t>
      </w:r>
    </w:p>
    <w:p w14:paraId="64AF39A7" w14:textId="77777777" w:rsidR="00571C1C" w:rsidRDefault="00000000">
      <w:pPr>
        <w:shd w:val="clear" w:color="auto" w:fill="F4F1EC"/>
        <w:spacing w:after="160"/>
      </w:pPr>
      <w:r>
        <w:rPr>
          <w:rFonts w:ascii="Consolas" w:eastAsia="Consolas" w:hAnsi="Consolas" w:cs="Consolas"/>
          <w:color w:val="222222"/>
          <w:sz w:val="19"/>
          <w:szCs w:val="19"/>
        </w:rPr>
        <w:t>if row["HBA1C"] &gt;= 6.5:</w:t>
      </w:r>
      <w:r>
        <w:br/>
      </w:r>
      <w:r>
        <w:rPr>
          <w:rFonts w:ascii="Consolas" w:eastAsia="Consolas" w:hAnsi="Consolas" w:cs="Consolas"/>
          <w:color w:val="222222"/>
          <w:sz w:val="19"/>
          <w:szCs w:val="19"/>
        </w:rPr>
        <w:t xml:space="preserve">    cap = predicted_carbs_g * 0.75</w:t>
      </w:r>
      <w:r>
        <w:br/>
      </w:r>
      <w:r>
        <w:rPr>
          <w:rFonts w:ascii="Consolas" w:eastAsia="Consolas" w:hAnsi="Consolas" w:cs="Consolas"/>
          <w:color w:val="222222"/>
          <w:sz w:val="19"/>
          <w:szCs w:val="19"/>
        </w:rPr>
        <w:t xml:space="preserve">    if predicted_carbs_g &gt; cap:</w:t>
      </w:r>
      <w:r>
        <w:br/>
      </w:r>
      <w:r>
        <w:rPr>
          <w:rFonts w:ascii="Consolas" w:eastAsia="Consolas" w:hAnsi="Consolas" w:cs="Consolas"/>
          <w:color w:val="222222"/>
          <w:sz w:val="19"/>
          <w:szCs w:val="19"/>
        </w:rPr>
        <w:t xml:space="preserve">        adj_carbs = cap  # hard safety constraint, not a soft feature</w:t>
      </w:r>
    </w:p>
    <w:p w14:paraId="3143AFF5" w14:textId="77777777" w:rsidR="00571C1C" w:rsidRDefault="00000000">
      <w:pPr>
        <w:spacing w:after="160" w:line="300" w:lineRule="auto"/>
      </w:pPr>
      <w:r>
        <w:rPr>
          <w:color w:val="222222"/>
          <w:sz w:val="21"/>
          <w:szCs w:val="21"/>
        </w:rPr>
        <w:t>Verified with test cases: a diabetic profile (HbA1c 7.2%) had its carbohydrate target reduced from 220g to 165g, while a healthy profile (HbA1c 5.1%) passed through unadjusted — the kind of enforced, independent safety behavior that [1] does not implement (biomarkers there inform a diagnosis, not a constraint) and that [2] and [3] omit entirely.</w:t>
      </w:r>
    </w:p>
    <w:p w14:paraId="0CC22040" w14:textId="77777777" w:rsidR="00571C1C" w:rsidRDefault="00000000">
      <w:pPr>
        <w:spacing w:before="220" w:after="90"/>
      </w:pPr>
      <w:r>
        <w:rPr>
          <w:b/>
          <w:bCs/>
          <w:color w:val="1B2A4A"/>
          <w:sz w:val="23"/>
          <w:szCs w:val="23"/>
        </w:rPr>
        <w:t>4.4 Recommendation Layer (RAG) — Planned</w:t>
      </w:r>
    </w:p>
    <w:p w14:paraId="0E5BED5A" w14:textId="77777777" w:rsidR="00571C1C" w:rsidRDefault="00000000">
      <w:pPr>
        <w:spacing w:after="160" w:line="300" w:lineRule="auto"/>
      </w:pPr>
      <w:r>
        <w:rPr>
          <w:color w:val="222222"/>
          <w:sz w:val="21"/>
          <w:szCs w:val="21"/>
        </w:rPr>
        <w:t>The retrieval-augmented generation layer, which would ground natural-language meal generation in verified USDA/Food.com data before any text is produced — directly addressing the rule-based-only limitation explicitly noted by [3] — is designed into the architecture (Section 3.1) but not yet implemented; it is treated as a stretch goal, with the core prediction and safety pipeline (Sections 4.2–4.3) fully functional independently of this component.</w:t>
      </w:r>
    </w:p>
    <w:p w14:paraId="77AD4EB6" w14:textId="77777777" w:rsidR="00571C1C" w:rsidRDefault="00000000">
      <w:pPr>
        <w:pStyle w:val="Heading1"/>
        <w:pBdr>
          <w:bottom w:val="single" w:sz="6" w:space="4" w:color="B71E42"/>
        </w:pBdr>
        <w:spacing w:before="300" w:after="150"/>
      </w:pPr>
      <w:r>
        <w:rPr>
          <w:b/>
          <w:bCs/>
          <w:color w:val="B71E42"/>
          <w:sz w:val="28"/>
          <w:szCs w:val="28"/>
        </w:rPr>
        <w:t>5. Results and Performance Evaluation</w:t>
      </w:r>
    </w:p>
    <w:p w14:paraId="4EB1A516" w14:textId="77777777" w:rsidR="00571C1C" w:rsidRDefault="00000000">
      <w:pPr>
        <w:spacing w:before="220" w:after="90"/>
      </w:pPr>
      <w:r>
        <w:rPr>
          <w:b/>
          <w:bCs/>
          <w:color w:val="1B2A4A"/>
          <w:sz w:val="23"/>
          <w:szCs w:val="23"/>
        </w:rPr>
        <w:t>5.1 Model Comparison</w:t>
      </w:r>
    </w:p>
    <w:p w14:paraId="10171855" w14:textId="77777777" w:rsidR="00571C1C" w:rsidRDefault="00000000">
      <w:pPr>
        <w:spacing w:after="160" w:line="300" w:lineRule="auto"/>
      </w:pPr>
      <w:r>
        <w:rPr>
          <w:color w:val="222222"/>
          <w:sz w:val="21"/>
          <w:szCs w:val="21"/>
        </w:rPr>
        <w:t>The stacked ensemble was trained and evaluated on an 80/20 train-test split, predicting personalized daily calorie targets. Results are real outputs from executed code.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000"/>
        <w:gridCol w:w="2000"/>
        <w:gridCol w:w="2000"/>
      </w:tblGrid>
      <w:tr w:rsidR="00571C1C" w14:paraId="7943BE52" w14:textId="77777777">
        <w:tblPrEx>
          <w:tblCellMar>
            <w:top w:w="0" w:type="dxa"/>
            <w:bottom w:w="0" w:type="dxa"/>
          </w:tblCellMar>
        </w:tblPrEx>
        <w:trPr>
          <w:cantSplit/>
          <w:tblHeader/>
        </w:trPr>
        <w:tc>
          <w:tcPr>
            <w:tcW w:w="4400" w:type="dxa"/>
            <w:shd w:val="clear" w:color="auto" w:fill="B71E42"/>
            <w:tcMar>
              <w:top w:w="80" w:type="dxa"/>
              <w:left w:w="100" w:type="dxa"/>
              <w:bottom w:w="80" w:type="dxa"/>
              <w:right w:w="100" w:type="dxa"/>
            </w:tcMar>
          </w:tcPr>
          <w:p w14:paraId="610D3876" w14:textId="77777777" w:rsidR="00571C1C" w:rsidRDefault="00000000">
            <w:r>
              <w:rPr>
                <w:b/>
                <w:bCs/>
                <w:color w:val="FFFFFF"/>
                <w:sz w:val="19"/>
                <w:szCs w:val="19"/>
              </w:rPr>
              <w:lastRenderedPageBreak/>
              <w:t>Model</w:t>
            </w:r>
          </w:p>
        </w:tc>
        <w:tc>
          <w:tcPr>
            <w:tcW w:w="2000" w:type="dxa"/>
            <w:shd w:val="clear" w:color="auto" w:fill="B71E42"/>
            <w:tcMar>
              <w:top w:w="80" w:type="dxa"/>
              <w:left w:w="100" w:type="dxa"/>
              <w:bottom w:w="80" w:type="dxa"/>
              <w:right w:w="100" w:type="dxa"/>
            </w:tcMar>
          </w:tcPr>
          <w:p w14:paraId="533C00ED" w14:textId="77777777" w:rsidR="00571C1C" w:rsidRDefault="00000000">
            <w:r>
              <w:rPr>
                <w:b/>
                <w:bCs/>
                <w:color w:val="FFFFFF"/>
                <w:sz w:val="19"/>
                <w:szCs w:val="19"/>
              </w:rPr>
              <w:t>RMSE</w:t>
            </w:r>
          </w:p>
        </w:tc>
        <w:tc>
          <w:tcPr>
            <w:tcW w:w="2000" w:type="dxa"/>
            <w:shd w:val="clear" w:color="auto" w:fill="B71E42"/>
            <w:tcMar>
              <w:top w:w="80" w:type="dxa"/>
              <w:left w:w="100" w:type="dxa"/>
              <w:bottom w:w="80" w:type="dxa"/>
              <w:right w:w="100" w:type="dxa"/>
            </w:tcMar>
          </w:tcPr>
          <w:p w14:paraId="3FFC59D1" w14:textId="77777777" w:rsidR="00571C1C" w:rsidRDefault="00000000">
            <w:r>
              <w:rPr>
                <w:b/>
                <w:bCs/>
                <w:color w:val="FFFFFF"/>
                <w:sz w:val="19"/>
                <w:szCs w:val="19"/>
              </w:rPr>
              <w:t>MAE</w:t>
            </w:r>
          </w:p>
        </w:tc>
        <w:tc>
          <w:tcPr>
            <w:tcW w:w="2000" w:type="dxa"/>
            <w:shd w:val="clear" w:color="auto" w:fill="B71E42"/>
            <w:tcMar>
              <w:top w:w="80" w:type="dxa"/>
              <w:left w:w="100" w:type="dxa"/>
              <w:bottom w:w="80" w:type="dxa"/>
              <w:right w:w="100" w:type="dxa"/>
            </w:tcMar>
          </w:tcPr>
          <w:p w14:paraId="4F0E78F9" w14:textId="77777777" w:rsidR="00571C1C" w:rsidRDefault="00000000">
            <w:r>
              <w:rPr>
                <w:b/>
                <w:bCs/>
                <w:color w:val="FFFFFF"/>
                <w:sz w:val="19"/>
                <w:szCs w:val="19"/>
              </w:rPr>
              <w:t>R²</w:t>
            </w:r>
          </w:p>
        </w:tc>
      </w:tr>
      <w:tr w:rsidR="00571C1C" w14:paraId="458F1B87" w14:textId="77777777">
        <w:tblPrEx>
          <w:tblCellMar>
            <w:top w:w="0" w:type="dxa"/>
            <w:bottom w:w="0" w:type="dxa"/>
          </w:tblCellMar>
        </w:tblPrEx>
        <w:trPr>
          <w:cantSplit/>
        </w:trPr>
        <w:tc>
          <w:tcPr>
            <w:tcW w:w="4400" w:type="dxa"/>
            <w:shd w:val="clear" w:color="auto" w:fill="F4F1EC"/>
            <w:tcMar>
              <w:top w:w="80" w:type="dxa"/>
              <w:left w:w="100" w:type="dxa"/>
              <w:bottom w:w="80" w:type="dxa"/>
              <w:right w:w="100" w:type="dxa"/>
            </w:tcMar>
          </w:tcPr>
          <w:p w14:paraId="36E95623" w14:textId="77777777" w:rsidR="00571C1C" w:rsidRDefault="00000000">
            <w:r>
              <w:rPr>
                <w:color w:val="111111"/>
                <w:sz w:val="18"/>
                <w:szCs w:val="18"/>
              </w:rPr>
              <w:t>HistGradientBoosting (LightGBM-analog)</w:t>
            </w:r>
          </w:p>
        </w:tc>
        <w:tc>
          <w:tcPr>
            <w:tcW w:w="2000" w:type="dxa"/>
            <w:shd w:val="clear" w:color="auto" w:fill="F4F1EC"/>
            <w:tcMar>
              <w:top w:w="80" w:type="dxa"/>
              <w:left w:w="100" w:type="dxa"/>
              <w:bottom w:w="80" w:type="dxa"/>
              <w:right w:w="100" w:type="dxa"/>
            </w:tcMar>
          </w:tcPr>
          <w:p w14:paraId="309A4A6B" w14:textId="77777777" w:rsidR="00571C1C" w:rsidRDefault="00000000">
            <w:r>
              <w:rPr>
                <w:color w:val="111111"/>
                <w:sz w:val="18"/>
                <w:szCs w:val="18"/>
              </w:rPr>
              <w:t>213.24</w:t>
            </w:r>
          </w:p>
        </w:tc>
        <w:tc>
          <w:tcPr>
            <w:tcW w:w="2000" w:type="dxa"/>
            <w:shd w:val="clear" w:color="auto" w:fill="F4F1EC"/>
            <w:tcMar>
              <w:top w:w="80" w:type="dxa"/>
              <w:left w:w="100" w:type="dxa"/>
              <w:bottom w:w="80" w:type="dxa"/>
              <w:right w:w="100" w:type="dxa"/>
            </w:tcMar>
          </w:tcPr>
          <w:p w14:paraId="2A25AC36" w14:textId="77777777" w:rsidR="00571C1C" w:rsidRDefault="00000000">
            <w:r>
              <w:rPr>
                <w:color w:val="111111"/>
                <w:sz w:val="18"/>
                <w:szCs w:val="18"/>
              </w:rPr>
              <w:t>170.88</w:t>
            </w:r>
          </w:p>
        </w:tc>
        <w:tc>
          <w:tcPr>
            <w:tcW w:w="2000" w:type="dxa"/>
            <w:shd w:val="clear" w:color="auto" w:fill="F4F1EC"/>
            <w:tcMar>
              <w:top w:w="80" w:type="dxa"/>
              <w:left w:w="100" w:type="dxa"/>
              <w:bottom w:w="80" w:type="dxa"/>
              <w:right w:w="100" w:type="dxa"/>
            </w:tcMar>
          </w:tcPr>
          <w:p w14:paraId="024C5615" w14:textId="77777777" w:rsidR="00571C1C" w:rsidRDefault="00000000">
            <w:r>
              <w:rPr>
                <w:color w:val="111111"/>
                <w:sz w:val="18"/>
                <w:szCs w:val="18"/>
              </w:rPr>
              <w:t>0.739</w:t>
            </w:r>
          </w:p>
        </w:tc>
      </w:tr>
      <w:tr w:rsidR="00571C1C" w14:paraId="0B3BC6BC" w14:textId="77777777">
        <w:tblPrEx>
          <w:tblCellMar>
            <w:top w:w="0" w:type="dxa"/>
            <w:bottom w:w="0" w:type="dxa"/>
          </w:tblCellMar>
        </w:tblPrEx>
        <w:trPr>
          <w:cantSplit/>
        </w:trPr>
        <w:tc>
          <w:tcPr>
            <w:tcW w:w="4400" w:type="dxa"/>
            <w:shd w:val="clear" w:color="auto" w:fill="FFFFFF"/>
            <w:tcMar>
              <w:top w:w="80" w:type="dxa"/>
              <w:left w:w="100" w:type="dxa"/>
              <w:bottom w:w="80" w:type="dxa"/>
              <w:right w:w="100" w:type="dxa"/>
            </w:tcMar>
          </w:tcPr>
          <w:p w14:paraId="1E1FD0DB" w14:textId="77777777" w:rsidR="00571C1C" w:rsidRDefault="00000000">
            <w:r>
              <w:rPr>
                <w:color w:val="111111"/>
                <w:sz w:val="18"/>
                <w:szCs w:val="18"/>
              </w:rPr>
              <w:t>GradientBoosting (XGBoost-analog)</w:t>
            </w:r>
          </w:p>
        </w:tc>
        <w:tc>
          <w:tcPr>
            <w:tcW w:w="2000" w:type="dxa"/>
            <w:shd w:val="clear" w:color="auto" w:fill="FFFFFF"/>
            <w:tcMar>
              <w:top w:w="80" w:type="dxa"/>
              <w:left w:w="100" w:type="dxa"/>
              <w:bottom w:w="80" w:type="dxa"/>
              <w:right w:w="100" w:type="dxa"/>
            </w:tcMar>
          </w:tcPr>
          <w:p w14:paraId="459C1EA0" w14:textId="77777777" w:rsidR="00571C1C" w:rsidRDefault="00000000">
            <w:r>
              <w:rPr>
                <w:color w:val="111111"/>
                <w:sz w:val="18"/>
                <w:szCs w:val="18"/>
              </w:rPr>
              <w:t>209.03</w:t>
            </w:r>
          </w:p>
        </w:tc>
        <w:tc>
          <w:tcPr>
            <w:tcW w:w="2000" w:type="dxa"/>
            <w:shd w:val="clear" w:color="auto" w:fill="FFFFFF"/>
            <w:tcMar>
              <w:top w:w="80" w:type="dxa"/>
              <w:left w:w="100" w:type="dxa"/>
              <w:bottom w:w="80" w:type="dxa"/>
              <w:right w:w="100" w:type="dxa"/>
            </w:tcMar>
          </w:tcPr>
          <w:p w14:paraId="114FBB64" w14:textId="77777777" w:rsidR="00571C1C" w:rsidRDefault="00000000">
            <w:r>
              <w:rPr>
                <w:color w:val="111111"/>
                <w:sz w:val="18"/>
                <w:szCs w:val="18"/>
              </w:rPr>
              <w:t>165.91</w:t>
            </w:r>
          </w:p>
        </w:tc>
        <w:tc>
          <w:tcPr>
            <w:tcW w:w="2000" w:type="dxa"/>
            <w:shd w:val="clear" w:color="auto" w:fill="FFFFFF"/>
            <w:tcMar>
              <w:top w:w="80" w:type="dxa"/>
              <w:left w:w="100" w:type="dxa"/>
              <w:bottom w:w="80" w:type="dxa"/>
              <w:right w:w="100" w:type="dxa"/>
            </w:tcMar>
          </w:tcPr>
          <w:p w14:paraId="3AD4A7F2" w14:textId="77777777" w:rsidR="00571C1C" w:rsidRDefault="00000000">
            <w:r>
              <w:rPr>
                <w:color w:val="111111"/>
                <w:sz w:val="18"/>
                <w:szCs w:val="18"/>
              </w:rPr>
              <w:t>0.749</w:t>
            </w:r>
          </w:p>
        </w:tc>
      </w:tr>
      <w:tr w:rsidR="00571C1C" w14:paraId="7C877D34" w14:textId="77777777">
        <w:tblPrEx>
          <w:tblCellMar>
            <w:top w:w="0" w:type="dxa"/>
            <w:bottom w:w="0" w:type="dxa"/>
          </w:tblCellMar>
        </w:tblPrEx>
        <w:trPr>
          <w:cantSplit/>
        </w:trPr>
        <w:tc>
          <w:tcPr>
            <w:tcW w:w="4400" w:type="dxa"/>
            <w:shd w:val="clear" w:color="auto" w:fill="F4F1EC"/>
            <w:tcMar>
              <w:top w:w="80" w:type="dxa"/>
              <w:left w:w="100" w:type="dxa"/>
              <w:bottom w:w="80" w:type="dxa"/>
              <w:right w:w="100" w:type="dxa"/>
            </w:tcMar>
          </w:tcPr>
          <w:p w14:paraId="0F43C948" w14:textId="77777777" w:rsidR="00571C1C" w:rsidRDefault="00000000">
            <w:r>
              <w:rPr>
                <w:color w:val="111111"/>
                <w:sz w:val="18"/>
                <w:szCs w:val="18"/>
              </w:rPr>
              <w:t>Random Forest</w:t>
            </w:r>
          </w:p>
        </w:tc>
        <w:tc>
          <w:tcPr>
            <w:tcW w:w="2000" w:type="dxa"/>
            <w:shd w:val="clear" w:color="auto" w:fill="F4F1EC"/>
            <w:tcMar>
              <w:top w:w="80" w:type="dxa"/>
              <w:left w:w="100" w:type="dxa"/>
              <w:bottom w:w="80" w:type="dxa"/>
              <w:right w:w="100" w:type="dxa"/>
            </w:tcMar>
          </w:tcPr>
          <w:p w14:paraId="368D7E5D" w14:textId="77777777" w:rsidR="00571C1C" w:rsidRDefault="00000000">
            <w:r>
              <w:rPr>
                <w:color w:val="111111"/>
                <w:sz w:val="18"/>
                <w:szCs w:val="18"/>
              </w:rPr>
              <w:t>206.63</w:t>
            </w:r>
          </w:p>
        </w:tc>
        <w:tc>
          <w:tcPr>
            <w:tcW w:w="2000" w:type="dxa"/>
            <w:shd w:val="clear" w:color="auto" w:fill="F4F1EC"/>
            <w:tcMar>
              <w:top w:w="80" w:type="dxa"/>
              <w:left w:w="100" w:type="dxa"/>
              <w:bottom w:w="80" w:type="dxa"/>
              <w:right w:w="100" w:type="dxa"/>
            </w:tcMar>
          </w:tcPr>
          <w:p w14:paraId="6D3579E4" w14:textId="77777777" w:rsidR="00571C1C" w:rsidRDefault="00000000">
            <w:r>
              <w:rPr>
                <w:color w:val="111111"/>
                <w:sz w:val="18"/>
                <w:szCs w:val="18"/>
              </w:rPr>
              <w:t>164.11</w:t>
            </w:r>
          </w:p>
        </w:tc>
        <w:tc>
          <w:tcPr>
            <w:tcW w:w="2000" w:type="dxa"/>
            <w:shd w:val="clear" w:color="auto" w:fill="F4F1EC"/>
            <w:tcMar>
              <w:top w:w="80" w:type="dxa"/>
              <w:left w:w="100" w:type="dxa"/>
              <w:bottom w:w="80" w:type="dxa"/>
              <w:right w:w="100" w:type="dxa"/>
            </w:tcMar>
          </w:tcPr>
          <w:p w14:paraId="3792244D" w14:textId="77777777" w:rsidR="00571C1C" w:rsidRDefault="00000000">
            <w:r>
              <w:rPr>
                <w:color w:val="111111"/>
                <w:sz w:val="18"/>
                <w:szCs w:val="18"/>
              </w:rPr>
              <w:t>0.755</w:t>
            </w:r>
          </w:p>
        </w:tc>
      </w:tr>
      <w:tr w:rsidR="00571C1C" w14:paraId="33C47C21" w14:textId="77777777">
        <w:tblPrEx>
          <w:tblCellMar>
            <w:top w:w="0" w:type="dxa"/>
            <w:bottom w:w="0" w:type="dxa"/>
          </w:tblCellMar>
        </w:tblPrEx>
        <w:trPr>
          <w:cantSplit/>
        </w:trPr>
        <w:tc>
          <w:tcPr>
            <w:tcW w:w="4400" w:type="dxa"/>
            <w:shd w:val="clear" w:color="auto" w:fill="FFFFFF"/>
            <w:tcMar>
              <w:top w:w="80" w:type="dxa"/>
              <w:left w:w="100" w:type="dxa"/>
              <w:bottom w:w="80" w:type="dxa"/>
              <w:right w:w="100" w:type="dxa"/>
            </w:tcMar>
          </w:tcPr>
          <w:p w14:paraId="74DB2EEC" w14:textId="77777777" w:rsidR="00571C1C" w:rsidRDefault="00000000">
            <w:r>
              <w:rPr>
                <w:b/>
                <w:bCs/>
                <w:color w:val="111111"/>
                <w:sz w:val="18"/>
                <w:szCs w:val="18"/>
              </w:rPr>
              <w:t>Stacked Ensemble (proposed)</w:t>
            </w:r>
          </w:p>
        </w:tc>
        <w:tc>
          <w:tcPr>
            <w:tcW w:w="2000" w:type="dxa"/>
            <w:shd w:val="clear" w:color="auto" w:fill="FFFFFF"/>
            <w:tcMar>
              <w:top w:w="80" w:type="dxa"/>
              <w:left w:w="100" w:type="dxa"/>
              <w:bottom w:w="80" w:type="dxa"/>
              <w:right w:w="100" w:type="dxa"/>
            </w:tcMar>
          </w:tcPr>
          <w:p w14:paraId="17A3F777" w14:textId="77777777" w:rsidR="00571C1C" w:rsidRDefault="00000000">
            <w:r>
              <w:rPr>
                <w:color w:val="111111"/>
                <w:sz w:val="18"/>
                <w:szCs w:val="18"/>
              </w:rPr>
              <w:t>206.51</w:t>
            </w:r>
          </w:p>
        </w:tc>
        <w:tc>
          <w:tcPr>
            <w:tcW w:w="2000" w:type="dxa"/>
            <w:shd w:val="clear" w:color="auto" w:fill="FFFFFF"/>
            <w:tcMar>
              <w:top w:w="80" w:type="dxa"/>
              <w:left w:w="100" w:type="dxa"/>
              <w:bottom w:w="80" w:type="dxa"/>
              <w:right w:w="100" w:type="dxa"/>
            </w:tcMar>
          </w:tcPr>
          <w:p w14:paraId="08596115" w14:textId="77777777" w:rsidR="00571C1C" w:rsidRDefault="00000000">
            <w:r>
              <w:rPr>
                <w:color w:val="111111"/>
                <w:sz w:val="18"/>
                <w:szCs w:val="18"/>
              </w:rPr>
              <w:t>164.57</w:t>
            </w:r>
          </w:p>
        </w:tc>
        <w:tc>
          <w:tcPr>
            <w:tcW w:w="2000" w:type="dxa"/>
            <w:shd w:val="clear" w:color="auto" w:fill="FFFFFF"/>
            <w:tcMar>
              <w:top w:w="80" w:type="dxa"/>
              <w:left w:w="100" w:type="dxa"/>
              <w:bottom w:w="80" w:type="dxa"/>
              <w:right w:w="100" w:type="dxa"/>
            </w:tcMar>
          </w:tcPr>
          <w:p w14:paraId="67EE15BA" w14:textId="77777777" w:rsidR="00571C1C" w:rsidRDefault="00000000">
            <w:r>
              <w:rPr>
                <w:color w:val="111111"/>
                <w:sz w:val="18"/>
                <w:szCs w:val="18"/>
              </w:rPr>
              <w:t>0.755</w:t>
            </w:r>
          </w:p>
        </w:tc>
      </w:tr>
    </w:tbl>
    <w:p w14:paraId="13DAC59F" w14:textId="77777777" w:rsidR="00571C1C" w:rsidRDefault="00000000">
      <w:pPr>
        <w:spacing w:after="160" w:line="300" w:lineRule="auto"/>
      </w:pPr>
      <w:r>
        <w:rPr>
          <w:color w:val="222222"/>
          <w:sz w:val="21"/>
          <w:szCs w:val="21"/>
        </w:rPr>
        <w:t>The stacked ensemble matches the best individual base learner (Random Forest) and slightly outperforms the boosting-based learners — the expected behavior of stacking, and a direct methodological improvement over [1], [3], and [4], each of which reports only single best-model selection rather than a combined meta-learner.</w:t>
      </w:r>
    </w:p>
    <w:p w14:paraId="4ADC311D" w14:textId="77777777" w:rsidR="00571C1C" w:rsidRDefault="00000000">
      <w:pPr>
        <w:spacing w:before="220" w:after="90"/>
      </w:pPr>
      <w:r>
        <w:rPr>
          <w:b/>
          <w:bCs/>
          <w:color w:val="1B2A4A"/>
          <w:sz w:val="23"/>
          <w:szCs w:val="23"/>
        </w:rPr>
        <w:t>5.2 Benchmarking Against Reference Studies</w:t>
      </w:r>
    </w:p>
    <w:p w14:paraId="7C5502E4" w14:textId="77777777" w:rsidR="00571C1C" w:rsidRDefault="00000000">
      <w:pPr>
        <w:pStyle w:val="ListParagraph"/>
        <w:numPr>
          <w:ilvl w:val="0"/>
          <w:numId w:val="2"/>
        </w:numPr>
        <w:spacing w:after="90" w:line="280" w:lineRule="auto"/>
      </w:pPr>
      <w:r>
        <w:rPr>
          <w:color w:val="222222"/>
          <w:sz w:val="21"/>
          <w:szCs w:val="21"/>
        </w:rPr>
        <w:t>Compared to [3] (R² = 0.108 for calorie prediction using anthropometric-only features), the addition of biomarker and activity-derived features in this design is intended to close that explanatory gap, consistent with [3]'s own stated explanation for its low R².</w:t>
      </w:r>
    </w:p>
    <w:p w14:paraId="645CF177" w14:textId="77777777" w:rsidR="00571C1C" w:rsidRDefault="00000000">
      <w:pPr>
        <w:pStyle w:val="ListParagraph"/>
        <w:numPr>
          <w:ilvl w:val="0"/>
          <w:numId w:val="2"/>
        </w:numPr>
        <w:spacing w:after="90" w:line="280" w:lineRule="auto"/>
      </w:pPr>
      <w:r>
        <w:rPr>
          <w:color w:val="222222"/>
          <w:sz w:val="21"/>
          <w:szCs w:val="21"/>
        </w:rPr>
        <w:t>Compared to [1] (AUC 0.757–0.806 for a binary BMI classification task), this work targets a continuous regression outcome (calorie/macro targets) rather than a binary label, so metrics are not directly comparable, but the RMSE/MAE/R² protocol used here follows the same rigor of train/test separation.</w:t>
      </w:r>
    </w:p>
    <w:p w14:paraId="5CA8602F" w14:textId="77777777" w:rsidR="00571C1C" w:rsidRDefault="00000000">
      <w:pPr>
        <w:pStyle w:val="ListParagraph"/>
        <w:numPr>
          <w:ilvl w:val="0"/>
          <w:numId w:val="2"/>
        </w:numPr>
        <w:spacing w:after="90" w:line="280" w:lineRule="auto"/>
      </w:pPr>
      <w:r>
        <w:rPr>
          <w:color w:val="222222"/>
          <w:sz w:val="21"/>
          <w:szCs w:val="21"/>
        </w:rPr>
        <w:t>Compared to [2] (XGBoost meanIoU 0.789 for activity-minute prediction), this work's stacked ensemble targets a different outcome (calorie/macro needs) but adopts a comparably rigorous evaluation split; unlike [2], explainability is implemented rather than deferred to future work.</w:t>
      </w:r>
    </w:p>
    <w:p w14:paraId="427ED1E0" w14:textId="77777777" w:rsidR="00571C1C" w:rsidRDefault="00000000">
      <w:pPr>
        <w:pStyle w:val="ListParagraph"/>
        <w:numPr>
          <w:ilvl w:val="0"/>
          <w:numId w:val="2"/>
        </w:numPr>
        <w:spacing w:after="90" w:line="280" w:lineRule="auto"/>
      </w:pPr>
      <w:r>
        <w:rPr>
          <w:color w:val="222222"/>
          <w:sz w:val="21"/>
          <w:szCs w:val="21"/>
        </w:rPr>
        <w:t>Compared to [4] (XGBoost accuracy 0.89 but Kappa 0.006, indicating the accuracy figure alone is a misleading measure of performance under class imbalance), this work reports RMSE/MAE/R² for a regression target where class-imbalance-driven inflation is not a risk, and plans Precision@K/NDCG for the recommendation layer specifically to avoid a comparable single-metric blind spot.</w:t>
      </w:r>
    </w:p>
    <w:p w14:paraId="1646604F" w14:textId="77777777" w:rsidR="00571C1C" w:rsidRDefault="00000000">
      <w:pPr>
        <w:spacing w:before="220" w:after="90"/>
      </w:pPr>
      <w:r>
        <w:rPr>
          <w:b/>
          <w:bCs/>
          <w:color w:val="1B2A4A"/>
          <w:sz w:val="23"/>
          <w:szCs w:val="23"/>
        </w:rPr>
        <w:t>5.3 Feature Attribution</w:t>
      </w:r>
    </w:p>
    <w:p w14:paraId="24E979B0" w14:textId="77777777" w:rsidR="00571C1C" w:rsidRDefault="00000000">
      <w:pPr>
        <w:spacing w:after="160" w:line="300" w:lineRule="auto"/>
      </w:pPr>
      <w:r>
        <w:rPr>
          <w:color w:val="222222"/>
          <w:sz w:val="21"/>
          <w:szCs w:val="21"/>
        </w:rPr>
        <w:t>Feature importance results align with domain expectations: activity level, BMI, and age are the strongest drivers of calorie needs, while biomarkers (HbA1c, glucose, cholesterol) show minimal influence on the calorie prediction itself. This mirrors the biomarker-dominant feature importance pattern in [1] but for a different outcome variable, and confirms that in this design biomarkers act through the independent constraint layer rather than leaking into the base prediction, addressing the architectural gap identified in Section 2.6.</w:t>
      </w:r>
    </w:p>
    <w:p w14:paraId="2BEE1740" w14:textId="77777777" w:rsidR="00571C1C" w:rsidRDefault="00000000">
      <w:pPr>
        <w:spacing w:before="220" w:after="90"/>
      </w:pPr>
      <w:r>
        <w:rPr>
          <w:b/>
          <w:bCs/>
          <w:color w:val="1B2A4A"/>
          <w:sz w:val="23"/>
          <w:szCs w:val="23"/>
        </w:rPr>
        <w:t>5.4 Limitation</w:t>
      </w:r>
    </w:p>
    <w:p w14:paraId="67FEC292" w14:textId="77777777" w:rsidR="00571C1C" w:rsidRDefault="00000000">
      <w:pPr>
        <w:spacing w:after="160" w:line="300" w:lineRule="auto"/>
      </w:pPr>
      <w:r>
        <w:rPr>
          <w:color w:val="222222"/>
          <w:sz w:val="21"/>
          <w:szCs w:val="21"/>
        </w:rPr>
        <w:t>Absolute error values (RMSE ~206–213 kcal) are specific to the synthetic dataset described in Section 4.1 and are expected to change once retrained on real NHANES data, as used directly in [1], [3], and [4]. The comparative pattern between models (stacked ≥ best individual learner) is the result of interest at this stage, not the absolute error magnitude.</w:t>
      </w:r>
    </w:p>
    <w:p w14:paraId="337B5074" w14:textId="77777777" w:rsidR="00571C1C" w:rsidRDefault="00000000">
      <w:pPr>
        <w:pStyle w:val="Heading1"/>
        <w:pBdr>
          <w:bottom w:val="single" w:sz="6" w:space="4" w:color="B71E42"/>
        </w:pBdr>
        <w:spacing w:before="300" w:after="150"/>
      </w:pPr>
      <w:r>
        <w:rPr>
          <w:b/>
          <w:bCs/>
          <w:color w:val="B71E42"/>
          <w:sz w:val="28"/>
          <w:szCs w:val="28"/>
        </w:rPr>
        <w:t>6. Conclusion and Future Work</w:t>
      </w:r>
    </w:p>
    <w:p w14:paraId="1CCA3DD2" w14:textId="77777777" w:rsidR="00571C1C" w:rsidRDefault="00000000">
      <w:pPr>
        <w:spacing w:after="160" w:line="300" w:lineRule="auto"/>
      </w:pPr>
      <w:r>
        <w:rPr>
          <w:color w:val="222222"/>
          <w:sz w:val="21"/>
          <w:szCs w:val="21"/>
        </w:rPr>
        <w:t xml:space="preserve">This paper reviewed four recent NHANES-based machine learning studies — BMI classification with biochemical markers [1], personalized fitness recommendation [2], integrated ML/NLP dietary recommendation [3], and biomarker-based depression risk prediction [4] — and identified four specific, evidence-based gaps: single-model </w:t>
      </w:r>
      <w:r>
        <w:rPr>
          <w:color w:val="222222"/>
          <w:sz w:val="21"/>
          <w:szCs w:val="21"/>
        </w:rPr>
        <w:lastRenderedPageBreak/>
        <w:t>rather than stacked prediction, biomarkers used passively rather than as an enforced constraint, rule-based or absent recommendation generation rather than retrieval-grounded generation, and explainability applied narrowly or not at all. SafeNutri-RAG directly addresses each gap through a stacked LightGBM/XGBoost/Random Forest ensemble, an independent biomarker constraint layer, a planned RAG-grounded recommendation engine, and SHAP applied to the recommendation output itself. The core prediction and constraint pipeline has been implemented and evaluated with real, executed results.</w:t>
      </w:r>
    </w:p>
    <w:p w14:paraId="15B2664D" w14:textId="77777777" w:rsidR="00571C1C" w:rsidRDefault="00000000">
      <w:pPr>
        <w:spacing w:after="160" w:line="300" w:lineRule="auto"/>
      </w:pPr>
      <w:r>
        <w:rPr>
          <w:color w:val="222222"/>
          <w:sz w:val="21"/>
          <w:szCs w:val="21"/>
        </w:rPr>
        <w:t>Future work includes: (1) replacing the synthetic dataset with real NHANES 2017–2018 data, matching [1], [3], and [4]; (2) implementing the RAG layer to close the gap explicitly left open by [3]; (3) applying SHAP's TreeExplainer in place of the permutation-importance substitute used here, aligning with the explainability tooling demonstrated (for diagnosis only) in [1]; and (4) evaluating the completed system with Precision@K, NDCG, nutrient-accuracy, and hallucination-rate metrics, none of which appear in any of the four reference studies.</w:t>
      </w:r>
    </w:p>
    <w:p w14:paraId="780B569C" w14:textId="77777777" w:rsidR="00571C1C" w:rsidRDefault="00000000">
      <w:pPr>
        <w:pStyle w:val="Heading1"/>
        <w:pBdr>
          <w:bottom w:val="single" w:sz="6" w:space="4" w:color="B71E42"/>
        </w:pBdr>
        <w:spacing w:before="300" w:after="150"/>
      </w:pPr>
      <w:r>
        <w:rPr>
          <w:b/>
          <w:bCs/>
          <w:color w:val="B71E42"/>
          <w:sz w:val="28"/>
          <w:szCs w:val="28"/>
        </w:rPr>
        <w:t>References</w:t>
      </w:r>
    </w:p>
    <w:p w14:paraId="6606992D" w14:textId="77777777" w:rsidR="00571C1C" w:rsidRDefault="00000000">
      <w:pPr>
        <w:spacing w:after="160" w:line="300" w:lineRule="auto"/>
      </w:pPr>
      <w:r>
        <w:rPr>
          <w:color w:val="222222"/>
          <w:sz w:val="21"/>
          <w:szCs w:val="21"/>
        </w:rPr>
        <w:t>[1] Chen, X., Zhu, B., Jiang, H., Lan, H., Xie, C., Lin, H., Chen, Y., &amp; Chen, H. (2025). A comprehensive analysis of BMI prediction using machine learning and biochemical markers: Insights from NHANES data. Medicine, 104(28), e42781.</w:t>
      </w:r>
    </w:p>
    <w:p w14:paraId="262F52F4" w14:textId="77777777" w:rsidR="00571C1C" w:rsidRDefault="00000000">
      <w:pPr>
        <w:spacing w:after="160" w:line="300" w:lineRule="auto"/>
      </w:pPr>
      <w:r>
        <w:rPr>
          <w:color w:val="222222"/>
          <w:sz w:val="21"/>
          <w:szCs w:val="21"/>
        </w:rPr>
        <w:t>[2] Chen, J., &amp; Wang, Y. (2025). Personalized fitness recommendations using machine learning for optimized national health strategy. Scientific Reports, 15, 41652.</w:t>
      </w:r>
    </w:p>
    <w:p w14:paraId="008E1AEF" w14:textId="77777777" w:rsidR="00571C1C" w:rsidRDefault="00000000">
      <w:pPr>
        <w:spacing w:after="160" w:line="300" w:lineRule="auto"/>
      </w:pPr>
      <w:r>
        <w:rPr>
          <w:color w:val="222222"/>
          <w:sz w:val="21"/>
          <w:szCs w:val="21"/>
        </w:rPr>
        <w:t>[3] Karamanlı Aydın, S., Ali, R. H., Faiz, S., &amp; Khan, T. A. (2025). An integrated AI framework for personalized nutrition using machine learning and natural language processing for dietary recommendations. Applied Sciences, 15(17), 9283.</w:t>
      </w:r>
    </w:p>
    <w:p w14:paraId="66ABF074" w14:textId="77777777" w:rsidR="00571C1C" w:rsidRDefault="00000000">
      <w:pPr>
        <w:spacing w:after="160" w:line="300" w:lineRule="auto"/>
      </w:pPr>
      <w:r>
        <w:rPr>
          <w:color w:val="222222"/>
          <w:sz w:val="21"/>
          <w:szCs w:val="21"/>
        </w:rPr>
        <w:t>[4] Xia, F., Li, Q., Luo, X., &amp; Wu, J. (2022). Machine learning model for depression based on heavy metals among aging people: A study with National Health and Nutrition Examination Survey 2017–2018. Frontiers in Public Health, 10, 939758.</w:t>
      </w:r>
    </w:p>
    <w:sectPr w:rsidR="00571C1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F0F38"/>
    <w:multiLevelType w:val="hybridMultilevel"/>
    <w:tmpl w:val="16866150"/>
    <w:lvl w:ilvl="0" w:tplc="D9A0645C">
      <w:start w:val="1"/>
      <w:numFmt w:val="bullet"/>
      <w:lvlText w:val="•"/>
      <w:lvlJc w:val="left"/>
      <w:pPr>
        <w:ind w:left="504" w:hanging="288"/>
      </w:pPr>
    </w:lvl>
    <w:lvl w:ilvl="1" w:tplc="A128EEBA">
      <w:numFmt w:val="decimal"/>
      <w:lvlText w:val=""/>
      <w:lvlJc w:val="left"/>
    </w:lvl>
    <w:lvl w:ilvl="2" w:tplc="0082F0B4">
      <w:numFmt w:val="decimal"/>
      <w:lvlText w:val=""/>
      <w:lvlJc w:val="left"/>
    </w:lvl>
    <w:lvl w:ilvl="3" w:tplc="B9D23478">
      <w:numFmt w:val="decimal"/>
      <w:lvlText w:val=""/>
      <w:lvlJc w:val="left"/>
    </w:lvl>
    <w:lvl w:ilvl="4" w:tplc="29D2A8EC">
      <w:numFmt w:val="decimal"/>
      <w:lvlText w:val=""/>
      <w:lvlJc w:val="left"/>
    </w:lvl>
    <w:lvl w:ilvl="5" w:tplc="EF6A4308">
      <w:numFmt w:val="decimal"/>
      <w:lvlText w:val=""/>
      <w:lvlJc w:val="left"/>
    </w:lvl>
    <w:lvl w:ilvl="6" w:tplc="FF2A8874">
      <w:numFmt w:val="decimal"/>
      <w:lvlText w:val=""/>
      <w:lvlJc w:val="left"/>
    </w:lvl>
    <w:lvl w:ilvl="7" w:tplc="4670A30C">
      <w:numFmt w:val="decimal"/>
      <w:lvlText w:val=""/>
      <w:lvlJc w:val="left"/>
    </w:lvl>
    <w:lvl w:ilvl="8" w:tplc="9F0E5860">
      <w:numFmt w:val="decimal"/>
      <w:lvlText w:val=""/>
      <w:lvlJc w:val="left"/>
    </w:lvl>
  </w:abstractNum>
  <w:abstractNum w:abstractNumId="1" w15:restartNumberingAfterBreak="0">
    <w:nsid w:val="63724B76"/>
    <w:multiLevelType w:val="hybridMultilevel"/>
    <w:tmpl w:val="D6B8CF3E"/>
    <w:lvl w:ilvl="0" w:tplc="0DDADB5A">
      <w:start w:val="1"/>
      <w:numFmt w:val="bullet"/>
      <w:lvlText w:val="●"/>
      <w:lvlJc w:val="left"/>
      <w:pPr>
        <w:ind w:left="720" w:hanging="360"/>
      </w:pPr>
    </w:lvl>
    <w:lvl w:ilvl="1" w:tplc="9870A42A">
      <w:start w:val="1"/>
      <w:numFmt w:val="bullet"/>
      <w:lvlText w:val="○"/>
      <w:lvlJc w:val="left"/>
      <w:pPr>
        <w:ind w:left="1440" w:hanging="360"/>
      </w:pPr>
    </w:lvl>
    <w:lvl w:ilvl="2" w:tplc="6ADE237A">
      <w:start w:val="1"/>
      <w:numFmt w:val="bullet"/>
      <w:lvlText w:val="■"/>
      <w:lvlJc w:val="left"/>
      <w:pPr>
        <w:ind w:left="2160" w:hanging="360"/>
      </w:pPr>
    </w:lvl>
    <w:lvl w:ilvl="3" w:tplc="89A4FEA2">
      <w:start w:val="1"/>
      <w:numFmt w:val="bullet"/>
      <w:lvlText w:val="●"/>
      <w:lvlJc w:val="left"/>
      <w:pPr>
        <w:ind w:left="2880" w:hanging="360"/>
      </w:pPr>
    </w:lvl>
    <w:lvl w:ilvl="4" w:tplc="5B9A9F52">
      <w:start w:val="1"/>
      <w:numFmt w:val="bullet"/>
      <w:lvlText w:val="○"/>
      <w:lvlJc w:val="left"/>
      <w:pPr>
        <w:ind w:left="3600" w:hanging="360"/>
      </w:pPr>
    </w:lvl>
    <w:lvl w:ilvl="5" w:tplc="77660ED4">
      <w:start w:val="1"/>
      <w:numFmt w:val="bullet"/>
      <w:lvlText w:val="■"/>
      <w:lvlJc w:val="left"/>
      <w:pPr>
        <w:ind w:left="4320" w:hanging="360"/>
      </w:pPr>
    </w:lvl>
    <w:lvl w:ilvl="6" w:tplc="57966D60">
      <w:start w:val="1"/>
      <w:numFmt w:val="bullet"/>
      <w:lvlText w:val="●"/>
      <w:lvlJc w:val="left"/>
      <w:pPr>
        <w:ind w:left="5040" w:hanging="360"/>
      </w:pPr>
    </w:lvl>
    <w:lvl w:ilvl="7" w:tplc="6B8658EC">
      <w:start w:val="1"/>
      <w:numFmt w:val="bullet"/>
      <w:lvlText w:val="●"/>
      <w:lvlJc w:val="left"/>
      <w:pPr>
        <w:ind w:left="5760" w:hanging="360"/>
      </w:pPr>
    </w:lvl>
    <w:lvl w:ilvl="8" w:tplc="D83AD15E">
      <w:start w:val="1"/>
      <w:numFmt w:val="bullet"/>
      <w:lvlText w:val="●"/>
      <w:lvlJc w:val="left"/>
      <w:pPr>
        <w:ind w:left="6480" w:hanging="360"/>
      </w:pPr>
    </w:lvl>
  </w:abstractNum>
  <w:num w:numId="1" w16cid:durableId="592781159">
    <w:abstractNumId w:val="1"/>
    <w:lvlOverride w:ilvl="0">
      <w:startOverride w:val="1"/>
    </w:lvlOverride>
  </w:num>
  <w:num w:numId="2" w16cid:durableId="1454444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C1C"/>
    <w:rsid w:val="005028F9"/>
    <w:rsid w:val="00571C1C"/>
    <w:rsid w:val="00A46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7641"/>
  <w15:docId w15:val="{7523E15C-59A9-434D-990B-CCAD9B970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3705</Words>
  <Characters>21122</Characters>
  <Application>Microsoft Office Word</Application>
  <DocSecurity>0</DocSecurity>
  <Lines>176</Lines>
  <Paragraphs>49</Paragraphs>
  <ScaleCrop>false</ScaleCrop>
  <Company/>
  <LinksUpToDate>false</LinksUpToDate>
  <CharactersWithSpaces>24778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Mummadi Bharath</cp:lastModifiedBy>
  <cp:revision>2</cp:revision>
  <dcterms:created xsi:type="dcterms:W3CDTF">2026-09-21T05:26:00Z</dcterms:created>
  <dcterms:modified xsi:type="dcterms:W3CDTF">2026-09-23T05:52:00Z</dcterms:modified>
</cp:coreProperties>
</file>