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66534"/>
          <w:sz w:val="44"/>
          <w:szCs w:val="44"/>
        </w:rPr>
        <w:t xml:space="preserve">Darukaa.Earth</w:t>
      </w:r>
    </w:p>
    <w:p>
      <w:pPr>
        <w:spacing w:after="300"/>
        <w:jc w:val="center"/>
      </w:pPr>
      <w:r>
        <w:rPr>
          <w:color w:val="444444"/>
          <w:sz w:val="26"/>
          <w:szCs w:val="26"/>
        </w:rPr>
        <w:t xml:space="preserve">Full-Stack Developer Hackathon — Submission</w:t>
      </w:r>
    </w:p>
    <w:p>
      <w:pPr>
        <w:pStyle w:val="Heading1"/>
        <w:spacing w:after="150" w:before="300"/>
      </w:pPr>
      <w:r>
        <w:t xml:space="preserve">1. Submission Links</w:t>
      </w:r>
    </w:p>
    <w:p>
      <w:pPr>
        <w:spacing w:after="120"/>
      </w:pPr>
      <w:r>
        <w:rPr>
          <w:b/>
          <w:bCs/>
        </w:rPr>
        <w:t xml:space="preserve">GitHub Repository: </w:t>
      </w:r>
      <w:hyperlink w:history="1" r:id="rIddy-kdthx6sj91cjh-ygkr">
        <w:r>
          <w:rPr>
            <w:rStyle w:val="Hyperlink"/>
          </w:rPr>
          <w:t xml:space="preserve">https://github.com/bharath050305/darukaa-earth</w:t>
        </w:r>
      </w:hyperlink>
    </w:p>
    <w:p>
      <w:pPr>
        <w:spacing w:after="120"/>
      </w:pPr>
      <w:r>
        <w:t xml:space="preserve">Visibility: Public — no access invitations required.</w:t>
      </w:r>
    </w:p>
    <w:p>
      <w:pPr>
        <w:spacing w:after="120"/>
      </w:pPr>
      <w:r>
        <w:rPr>
          <w:b/>
          <w:bCs/>
        </w:rPr>
        <w:t xml:space="preserve">Live Demo (Frontend): </w:t>
      </w:r>
      <w:hyperlink w:history="1" r:id="rIdpeg2kf5gxo6uhv9vvot9u">
        <w:r>
          <w:rPr>
            <w:rStyle w:val="Hyperlink"/>
          </w:rPr>
          <w:t xml:space="preserve">https://darukaa-frontend-eago.onrender.com</w:t>
        </w:r>
      </w:hyperlink>
    </w:p>
    <w:p>
      <w:pPr>
        <w:spacing w:after="120"/>
      </w:pPr>
      <w:r>
        <w:rPr>
          <w:b/>
          <w:bCs/>
        </w:rPr>
        <w:t xml:space="preserve">Live API (Backend): </w:t>
      </w:r>
      <w:hyperlink w:history="1" r:id="rIdyjetdbjkzbjjjeudd_0fr">
        <w:r>
          <w:rPr>
            <w:rStyle w:val="Hyperlink"/>
          </w:rPr>
          <w:t xml:space="preserve">https://darukaa-backend-7ux6.onrender.com</w:t>
        </w:r>
      </w:hyperlink>
    </w:p>
    <w:p>
      <w:pPr>
        <w:spacing w:after="120"/>
      </w:pPr>
      <w:r>
        <w:t xml:space="preserve">API interactive docs (Swagger UI): https://darukaa-backend-7ux6.onrender.com/docs</w:t>
      </w:r>
    </w:p>
    <w:p>
      <w:pPr>
        <w:spacing w:after="100"/>
      </w:pPr>
      <w:r>
        <w:rPr>
          <w:b/>
          <w:bCs/>
        </w:rPr>
        <w:t xml:space="preserve">Demo login email: </w:t>
      </w:r>
      <w:r>
        <w:t xml:space="preserve">demo@darukaa.earth</w:t>
      </w:r>
    </w:p>
    <w:p>
      <w:pPr>
        <w:spacing w:after="100"/>
      </w:pPr>
      <w:r>
        <w:rPr>
          <w:b/>
          <w:bCs/>
        </w:rPr>
        <w:t xml:space="preserve">Demo login password: </w:t>
      </w:r>
      <w:r>
        <w:t xml:space="preserve">DarukaaDemo123!</w:t>
      </w:r>
    </w:p>
    <w:p>
      <w:pPr>
        <w:spacing w:after="120"/>
      </w:pPr>
      <w:r>
        <w:t xml:space="preserve">Note: the Mapbox access token has not been configured on the live deployment yet, so the interactive map currently shows a placeholder message instead of the satellite map. All other functionality (auth, projects, sites, PostGIS area calculation, analytics charts) is fully live and working. The map will render as soon as a Mapbox token is added to the frontend service’s environment variables on Render.</w:t>
      </w:r>
    </w:p>
    <w:p>
      <w:pPr>
        <w:pStyle w:val="Heading1"/>
        <w:spacing w:after="150" w:before="300"/>
      </w:pPr>
      <w:r>
        <w:t xml:space="preserve">2. High-Level Architecture</w:t>
      </w:r>
    </w:p>
    <w:p>
      <w:pPr>
        <w:spacing w:after="120"/>
      </w:pPr>
      <w:r>
        <w:t xml:space="preserve">Darukaa.Earth is a full-stack geospatial analytics platform for managing carbon and biodiversity projects. A React single-page app renders an interactive Mapbox map and Chart.js analytics dashboards, talking over JSON/HTTPS to a FastAPI backend, which persists data in PostgreSQL with the PostGIS extension for native geospatial storage and queries.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React 19 + TypeScript + Vite, Mapbox GL JS + Mapbox GL Draw for the map and polygon drawing, Chart.js for time-series analytics, Tailwind CSS for styling, Zustand for auth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FastAPI (Python), SQLAlchemy 2.0 + GeoAlchemy2 for the ORM/geospatial layer, Alembic for migrations, JWT (python-jose + passlib/bcrypt) for stateless authentication.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PostgreSQL 16 with PostGIS. Site boundaries are stored as native POLYGON geometries (SRID 4326); hectare area is computed server-side with ST_Area on a geography cast, rather than in application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Deployment: Render.com Blueprint (render.yaml) provisioning a Docker web service (backend), a static site (frontend), and a managed PostGIS-enabled Postgres database.</w:t>
      </w:r>
    </w:p>
    <w:p>
      <w:pPr>
        <w:pStyle w:val="Heading1"/>
        <w:spacing w:after="150" w:before="300"/>
      </w:pPr>
      <w:r>
        <w:t xml:space="preserve">3. Database Schema</w:t>
      </w:r>
    </w:p>
    <w:p>
      <w:pPr>
        <w:spacing w:after="120"/>
      </w:pPr>
      <w:r>
        <w:t xml:space="preserve">One user owns many projects; one project has many sites; one site has many monthly metric records (24 months are generated automatically when a site is created).</w:t>
      </w:r>
    </w:p>
    <w:p>
      <w:pPr>
        <w:spacing w:after="80" w:before="160"/>
      </w:pPr>
      <w:r>
        <w:rPr>
          <w:b/>
          <w:bCs/>
        </w:rPr>
        <w:t xml:space="preserve">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DEBDD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600"/>
            <w:shd w:fill="DDEBDD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</w:tcPr>
          <w:p>
            <w: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</w:t>
            </w:r>
          </w:p>
        </w:tc>
        <w:tc>
          <w:tcPr>
            <w:tcW w:type="dxa" w:w="6600"/>
          </w:tcPr>
          <w:p>
            <w:r>
              <w:t xml:space="preserve">Unique, indexed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hashed_password</w:t>
            </w:r>
          </w:p>
        </w:tc>
        <w:tc>
          <w:tcPr>
            <w:tcW w:type="dxa" w:w="6600"/>
          </w:tcPr>
          <w:p>
            <w:r>
              <w:t xml:space="preserve">bcrypt hash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full_name</w:t>
            </w:r>
          </w:p>
        </w:tc>
        <w:tc>
          <w:tcPr>
            <w:tcW w:type="dxa" w:w="6600"/>
          </w:tcPr>
          <w:p>
            <w:r>
              <w:t xml:space="preserve">Display name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created_at</w:t>
            </w:r>
          </w:p>
        </w:tc>
        <w:tc>
          <w:tcPr>
            <w:tcW w:type="dxa" w:w="6600"/>
          </w:tcPr>
          <w:p>
            <w:r>
              <w:t xml:space="preserve">Timestamp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projects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DEBDD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600"/>
            <w:shd w:fill="DDEBDD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</w:tcPr>
          <w:p>
            <w: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</w:t>
            </w:r>
          </w:p>
        </w:tc>
        <w:tc>
          <w:tcPr>
            <w:tcW w:type="dxa" w:w="6600"/>
          </w:tcPr>
          <w:p>
            <w:r>
              <w:t xml:space="preserve">Project name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600"/>
          </w:tcPr>
          <w:p>
            <w:r>
              <w:t xml:space="preserve">Free text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project_type</w:t>
            </w:r>
          </w:p>
        </w:tc>
        <w:tc>
          <w:tcPr>
            <w:tcW w:type="dxa" w:w="6600"/>
          </w:tcPr>
          <w:p>
            <w:r>
              <w:t xml:space="preserve">"carbon" | "biodiversity"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owner_id</w:t>
            </w:r>
          </w:p>
        </w:tc>
        <w:tc>
          <w:tcPr>
            <w:tcW w:type="dxa" w:w="6600"/>
          </w:tcPr>
          <w:p>
            <w:r>
              <w:t xml:space="preserve">FK → users.id (cascade delete)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created_at</w:t>
            </w:r>
          </w:p>
        </w:tc>
        <w:tc>
          <w:tcPr>
            <w:tcW w:type="dxa" w:w="6600"/>
          </w:tcPr>
          <w:p>
            <w:r>
              <w:t xml:space="preserve">Timestamp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sites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DEBDD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600"/>
            <w:shd w:fill="DDEBDD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</w:tcPr>
          <w:p>
            <w: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project_id</w:t>
            </w:r>
          </w:p>
        </w:tc>
        <w:tc>
          <w:tcPr>
            <w:tcW w:type="dxa" w:w="6600"/>
          </w:tcPr>
          <w:p>
            <w:r>
              <w:t xml:space="preserve">FK → projects.id (cascade delete)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</w:t>
            </w:r>
          </w:p>
        </w:tc>
        <w:tc>
          <w:tcPr>
            <w:tcW w:type="dxa" w:w="6600"/>
          </w:tcPr>
          <w:p>
            <w:r>
              <w:t xml:space="preserve">Site name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site_type</w:t>
            </w:r>
          </w:p>
        </w:tc>
        <w:tc>
          <w:tcPr>
            <w:tcW w:type="dxa" w:w="6600"/>
          </w:tcPr>
          <w:p>
            <w:r>
              <w:t xml:space="preserve">"reforestation" | "conservation" | "habitat_restoration"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boundary</w:t>
            </w:r>
          </w:p>
        </w:tc>
        <w:tc>
          <w:tcPr>
            <w:tcW w:type="dxa" w:w="6600"/>
          </w:tcPr>
          <w:p>
            <w:r>
              <w:t xml:space="preserve">GEOMETRY(POLYGON, 4326) — PostGIS column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area_hectares</w:t>
            </w:r>
          </w:p>
        </w:tc>
        <w:tc>
          <w:tcPr>
            <w:tcW w:type="dxa" w:w="6600"/>
          </w:tcPr>
          <w:p>
            <w:r>
              <w:t xml:space="preserve">Computed via ST_Area at creation time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created_at</w:t>
            </w:r>
          </w:p>
        </w:tc>
        <w:tc>
          <w:tcPr>
            <w:tcW w:type="dxa" w:w="6600"/>
          </w:tcPr>
          <w:p>
            <w:r>
              <w:t xml:space="preserve">Timestamp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site_metrics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DEBDD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600"/>
            <w:shd w:fill="DDEBDD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</w:t>
            </w:r>
          </w:p>
        </w:tc>
        <w:tc>
          <w:tcPr>
            <w:tcW w:type="dxa" w:w="6600"/>
          </w:tcPr>
          <w:p>
            <w: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site_id</w:t>
            </w:r>
          </w:p>
        </w:tc>
        <w:tc>
          <w:tcPr>
            <w:tcW w:type="dxa" w:w="6600"/>
          </w:tcPr>
          <w:p>
            <w:r>
              <w:t xml:space="preserve">FK → sites.id (cascade delete)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recorded_on</w:t>
            </w:r>
          </w:p>
        </w:tc>
        <w:tc>
          <w:tcPr>
            <w:tcW w:type="dxa" w:w="6600"/>
          </w:tcPr>
          <w:p>
            <w:r>
              <w:t xml:space="preserve">Date (monthly)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carbon_tons</w:t>
            </w:r>
          </w:p>
        </w:tc>
        <w:tc>
          <w:tcPr>
            <w:tcW w:type="dxa" w:w="6600"/>
          </w:tcPr>
          <w:p>
            <w:r>
              <w:t xml:space="preserve">Carbon stock, tCO₂e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biodiversity_index</w:t>
            </w:r>
          </w:p>
        </w:tc>
        <w:tc>
          <w:tcPr>
            <w:tcW w:type="dxa" w:w="6600"/>
          </w:tcPr>
          <w:p>
            <w:r>
              <w:t xml:space="preserve">0–1 index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ndvi</w:t>
            </w:r>
          </w:p>
        </w:tc>
        <w:tc>
          <w:tcPr>
            <w:tcW w:type="dxa" w:w="6600"/>
          </w:tcPr>
          <w:p>
            <w:r>
              <w:t xml:space="preserve">Vegetation health, -1 to 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Dataset note: there is no public, ready-to-use API for per-polygon carbon/biodiversity time series, so the backend deterministically generates a 24-month synthetic series per site (seeded on the site name, with a growth trend, seasonal signal, and bounded noise). This keeps demo data stable across restarts while resembling a real monitoring feed. Sample project sites use real-world coordinates (Amazon basin, Western Ghats) so the map view looks realistic.</w:t>
      </w:r>
    </w:p>
    <w:p>
      <w:pPr>
        <w:pStyle w:val="Heading1"/>
        <w:spacing w:after="150" w:before="300"/>
      </w:pPr>
      <w:r>
        <w:t xml:space="preserve">4. Local Setup</w:t>
      </w:r>
    </w:p>
    <w:p>
      <w:pPr>
        <w:spacing w:after="120"/>
      </w:pPr>
      <w:r>
        <w:t xml:space="preserve">Prerequisites: Docker + Docker Compose (recommended), or Python 3.12+ and Node.js 20+ with a local PostgreSQL 16 + PostGIS instance. A free Mapbox access token is needed for the map.</w:t>
      </w:r>
    </w:p>
    <w:p>
      <w:pPr>
        <w:pStyle w:val="Heading2"/>
        <w:spacing w:after="120" w:before="240"/>
      </w:pPr>
      <w:r>
        <w:t xml:space="preserve">Option A — Docker Compose (fastest)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cp backend/.env.example backend/.env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cp frontend/.env.example frontend/.env   # paste your Mapbox token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docker compose up --build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docker compose exec backend alembic upgrade head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docker compose exec backend python -m app.seed</w:t>
      </w:r>
    </w:p>
    <w:p>
      <w:pPr>
        <w:spacing w:after="120"/>
      </w:pPr>
      <w:r>
        <w:t xml:space="preserve">Backend: http://localhost:8000 (docs at /docs) · Frontend: http://localhost:4173</w:t>
      </w:r>
    </w:p>
    <w:p>
      <w:pPr>
        <w:pStyle w:val="Heading2"/>
        <w:spacing w:after="120" w:before="240"/>
      </w:pPr>
      <w:r>
        <w:t xml:space="preserve">Option B — Run natively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backend &amp;&amp; python -m venv .venv &amp;&amp; .venv\Scripts\activate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requirements-dev.txt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cp .env.example .env   # point DATABASE_URL at your Postgres+PostGIS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alembic upgrade head &amp;&amp; python -m app.seed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uvicorn app.main:app --reload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frontend &amp;&amp; npm install &amp;&amp; cp .env.example .env &amp;&amp; npm run dev</w:t>
      </w:r>
    </w:p>
    <w:p>
      <w:pPr>
        <w:spacing w:after="120"/>
      </w:pPr>
      <w:r>
        <w:t xml:space="preserve">Full details, including running the test suites, are in the repository README.md.</w:t>
      </w:r>
    </w:p>
    <w:p>
      <w:pPr>
        <w:pStyle w:val="Heading1"/>
        <w:spacing w:after="150" w:before="300"/>
      </w:pPr>
      <w:r>
        <w:t xml:space="preserve">5. CI/CD Pipeline</w:t>
      </w:r>
    </w:p>
    <w:p>
      <w:pPr>
        <w:spacing w:after="120"/>
      </w:pPr>
      <w:r>
        <w:t xml:space="preserve">Defined in .github/workflows/ci.yml, running on every push/PR to main: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job: spins up a postgis/postgis service container in GitHub Actions, then runs ruff check (lint), black --check (format verification), and pytest --cov (unit/integration tests against a real PostGIS database).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job: npm ci, then prettier --check, oxlint, tsc --noEmit, vitest run, and npm run build to catch build-time regressions.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job: runs only on pushes to main, after both jobs above succeed; calls Render deploy hooks if configured, while Render’s own autoDeploy also ships the change on push.</w:t>
      </w:r>
    </w:p>
    <w:p>
      <w:pPr>
        <w:spacing w:after="120"/>
      </w:pPr>
      <w:r>
        <w:t xml:space="preserve">Pre-commit hooks (Husky + lint-staged) are configured at the repo root: every git commit auto-formats staged frontend files with Prettier, and auto-fixes/formats staged Python files with ruff and black, before the commit is allowed to complete.</w:t>
      </w:r>
    </w:p>
    <w:p>
      <w:pPr>
        <w:spacing w:after="120"/>
      </w:pPr>
      <w:r>
        <w:t xml:space="preserve">The full GitHub Actions workflow configuration and Husky setup are documented in the README under "CI/CD pipeline".</w:t>
      </w:r>
    </w:p>
    <w:p>
      <w:pPr>
        <w:pStyle w:val="Heading1"/>
        <w:spacing w:after="150" w:before="300"/>
      </w:pPr>
      <w:r>
        <w:t xml:space="preserve">6. Trade-offs &amp;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FastAPI over Django/Flask: native async, Pydantic-based validation, and auto-generated OpenAPI docs sped up frontend integration, at the cost of Django’s batteries-included admin panel (not needed here).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PostGIS geometry column vs. storing GeoJSON as text: enables real spatial queries (area, future containment/proximity queries) and validates geometry at the DB layer, at the cost of a heavier local setup than vanilla Postgres.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Synthetic time-series metrics: no live satellite/carbon-monitoring feed was available in this environment; the hackathon brief explicitly permits mock datasets, documented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oxlint instead of ESLint: Vite’s current React+TS template ships oxlint by default; it is dramatically faster and covers the React hooks rules needed, at the cost of a smaller plugin ecosystem.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y-kdthx6sj91cjh-ygkr" Type="http://schemas.openxmlformats.org/officeDocument/2006/relationships/hyperlink" Target="https://github.com/bharath050305/darukaa-earth" TargetMode="External"/><Relationship Id="rIdpeg2kf5gxo6uhv9vvot9u" Type="http://schemas.openxmlformats.org/officeDocument/2006/relationships/hyperlink" Target="https://darukaa-frontend-eago.onrender.com" TargetMode="External"/><Relationship Id="rIdyjetdbjkzbjjjeudd_0fr" Type="http://schemas.openxmlformats.org/officeDocument/2006/relationships/hyperlink" Target="https://darukaa-backend-7ux6.onrend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2026-09-18T07:13:26.864Z</dcterms:created>
  <dcterms:modified xsi:type="dcterms:W3CDTF">2026-09-18T07:13:26.866Z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