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0A6F73"/>
          <w:sz w:val="24"/>
        </w:rPr>
        <w:t>ROVVY</w:t>
      </w:r>
    </w:p>
    <w:p>
      <w:pPr>
        <w:spacing w:after="20"/>
      </w:pPr>
      <w:r>
        <w:rPr>
          <w:rFonts w:ascii="Aptos Display" w:hAnsi="Aptos Display"/>
          <w:b/>
          <w:color w:val="123B5D"/>
          <w:sz w:val="46"/>
        </w:rPr>
        <w:t>Development Status &amp; Delivery Report</w:t>
      </w:r>
    </w:p>
    <w:p>
      <w:pPr>
        <w:spacing w:after="140"/>
      </w:pPr>
      <w:r>
        <w:rPr>
          <w:i/>
          <w:color w:val="4B606E"/>
          <w:sz w:val="20"/>
        </w:rPr>
        <w:t>Complete project snapshot for owner discussion and Claude handoff</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5285"/>
        <w:gridCol w:w="5285"/>
      </w:tblGrid>
      <w:tr>
        <w:tc>
          <w:tcPr>
            <w:tcW w:type="dxa" w:w="1944"/>
            <w:shd w:fill="123B5D"/>
            <w:vAlign w:val="center"/>
          </w:tcPr>
          <w:p>
            <w:pPr>
              <w:spacing w:after="0"/>
            </w:pPr>
            <w:r>
              <w:rPr>
                <w:b/>
                <w:color w:val="FFFFFF"/>
                <w:sz w:val="16"/>
              </w:rPr>
              <w:t>Report basis</w:t>
            </w:r>
          </w:p>
        </w:tc>
        <w:tc>
          <w:tcPr>
            <w:tcW w:type="dxa" w:w="8424"/>
            <w:shd w:fill="123B5D"/>
            <w:vAlign w:val="center"/>
          </w:tcPr>
          <w:p>
            <w:pPr>
              <w:spacing w:after="0"/>
            </w:pPr>
            <w:r>
              <w:rPr>
                <w:b/>
                <w:color w:val="FFFFFF"/>
                <w:sz w:val="16"/>
              </w:rPr>
              <w:t>Snapshot</w:t>
            </w:r>
          </w:p>
        </w:tc>
        <w:trPr>
          <w:tblHeader/>
        </w:trPr>
      </w:tr>
      <w:tr>
        <w:tc>
          <w:tcPr>
            <w:tcW w:type="dxa" w:w="1944"/>
            <w:vAlign w:val="top"/>
            <w:tcMar>
              <w:top w:w="55" w:type="dxa"/>
              <w:start w:w="75" w:type="dxa"/>
              <w:bottom w:w="55" w:type="dxa"/>
              <w:end w:w="75" w:type="dxa"/>
            </w:tcMar>
          </w:tcPr>
          <w:p>
            <w:pPr>
              <w:spacing w:after="0" w:line="240" w:lineRule="auto"/>
            </w:pPr>
            <w:r>
              <w:rPr>
                <w:color w:val="1C2B37"/>
                <w:sz w:val="16"/>
              </w:rPr>
              <w:t>As of</w:t>
            </w:r>
          </w:p>
        </w:tc>
        <w:tc>
          <w:tcPr>
            <w:tcW w:type="dxa" w:w="8424"/>
            <w:vAlign w:val="top"/>
            <w:tcMar>
              <w:top w:w="55" w:type="dxa"/>
              <w:start w:w="75" w:type="dxa"/>
              <w:bottom w:w="55" w:type="dxa"/>
              <w:end w:w="75" w:type="dxa"/>
            </w:tcMar>
          </w:tcPr>
          <w:p>
            <w:pPr>
              <w:spacing w:after="0" w:line="240" w:lineRule="auto"/>
            </w:pPr>
            <w:r>
              <w:rPr>
                <w:color w:val="1C2B37"/>
                <w:sz w:val="16"/>
              </w:rPr>
              <w:t>2 September 2026, America/Chicago</w:t>
            </w:r>
          </w:p>
        </w:tc>
      </w:tr>
      <w:tr>
        <w:tc>
          <w:tcPr>
            <w:tcW w:type="dxa" w:w="1944"/>
            <w:vAlign w:val="top"/>
            <w:shd w:fill="F5F8FA"/>
            <w:tcMar>
              <w:top w:w="55" w:type="dxa"/>
              <w:start w:w="75" w:type="dxa"/>
              <w:bottom w:w="55" w:type="dxa"/>
              <w:end w:w="75" w:type="dxa"/>
            </w:tcMar>
          </w:tcPr>
          <w:p>
            <w:pPr>
              <w:spacing w:after="0" w:line="240" w:lineRule="auto"/>
            </w:pPr>
            <w:r>
              <w:rPr>
                <w:color w:val="1C2B37"/>
                <w:sz w:val="16"/>
              </w:rPr>
              <w:t>Scope</w:t>
            </w:r>
          </w:p>
        </w:tc>
        <w:tc>
          <w:tcPr>
            <w:tcW w:type="dxa" w:w="8424"/>
            <w:vAlign w:val="top"/>
            <w:shd w:fill="F5F8FA"/>
            <w:tcMar>
              <w:top w:w="55" w:type="dxa"/>
              <w:start w:w="75" w:type="dxa"/>
              <w:bottom w:w="55" w:type="dxa"/>
              <w:end w:w="75" w:type="dxa"/>
            </w:tcMar>
          </w:tcPr>
          <w:p>
            <w:pPr>
              <w:spacing w:after="0" w:line="240" w:lineRule="auto"/>
            </w:pPr>
            <w:r>
              <w:rPr>
                <w:color w:val="1C2B37"/>
                <w:sz w:val="16"/>
              </w:rPr>
              <w:t>Whole Rovvy platform, with detailed Flights / Travel delivery status</w:t>
            </w:r>
          </w:p>
        </w:tc>
      </w:tr>
      <w:tr>
        <w:tc>
          <w:tcPr>
            <w:tcW w:type="dxa" w:w="1944"/>
            <w:vAlign w:val="top"/>
            <w:tcMar>
              <w:top w:w="55" w:type="dxa"/>
              <w:start w:w="75" w:type="dxa"/>
              <w:bottom w:w="55" w:type="dxa"/>
              <w:end w:w="75" w:type="dxa"/>
            </w:tcMar>
          </w:tcPr>
          <w:p>
            <w:pPr>
              <w:spacing w:after="0" w:line="240" w:lineRule="auto"/>
            </w:pPr>
            <w:r>
              <w:rPr>
                <w:color w:val="1C2B37"/>
                <w:sz w:val="16"/>
              </w:rPr>
              <w:t>Evidence</w:t>
            </w:r>
          </w:p>
        </w:tc>
        <w:tc>
          <w:tcPr>
            <w:tcW w:type="dxa" w:w="8424"/>
            <w:vAlign w:val="top"/>
            <w:tcMar>
              <w:top w:w="55" w:type="dxa"/>
              <w:start w:w="75" w:type="dxa"/>
              <w:bottom w:w="55" w:type="dxa"/>
              <w:end w:w="75" w:type="dxa"/>
            </w:tcMar>
          </w:tcPr>
          <w:p>
            <w:pPr>
              <w:spacing w:after="0" w:line="240" w:lineRule="auto"/>
            </w:pPr>
            <w:r>
              <w:rPr>
                <w:color w:val="1C2B37"/>
                <w:sz w:val="16"/>
              </w:rPr>
              <w:t>Repository structure, Git state/history, project handoff and evaluation docs, Flights Scrum workbook, detailed Flights product report, test registries and QA result files</w:t>
            </w:r>
          </w:p>
        </w:tc>
      </w:tr>
      <w:tr>
        <w:tc>
          <w:tcPr>
            <w:tcW w:type="dxa" w:w="1944"/>
            <w:vAlign w:val="top"/>
            <w:shd w:fill="F5F8FA"/>
            <w:tcMar>
              <w:top w:w="55" w:type="dxa"/>
              <w:start w:w="75" w:type="dxa"/>
              <w:bottom w:w="55" w:type="dxa"/>
              <w:end w:w="75" w:type="dxa"/>
            </w:tcMar>
          </w:tcPr>
          <w:p>
            <w:pPr>
              <w:spacing w:after="0" w:line="240" w:lineRule="auto"/>
            </w:pPr>
            <w:r>
              <w:rPr>
                <w:color w:val="1C2B37"/>
                <w:sz w:val="16"/>
              </w:rPr>
              <w:t>Status rule</w:t>
            </w:r>
          </w:p>
        </w:tc>
        <w:tc>
          <w:tcPr>
            <w:tcW w:type="dxa" w:w="8424"/>
            <w:vAlign w:val="top"/>
            <w:shd w:fill="F5F8FA"/>
            <w:tcMar>
              <w:top w:w="55" w:type="dxa"/>
              <w:start w:w="75" w:type="dxa"/>
              <w:bottom w:w="55" w:type="dxa"/>
              <w:end w:w="75" w:type="dxa"/>
            </w:tcMar>
          </w:tcPr>
          <w:p>
            <w:pPr>
              <w:spacing w:after="0" w:line="240" w:lineRule="auto"/>
            </w:pPr>
            <w:r>
              <w:rPr>
                <w:color w:val="1C2B37"/>
                <w:sz w:val="16"/>
              </w:rPr>
              <w:t>Only evidence-backed work is called complete; planned, partial, unverified and access-blocked work is labeled separately.</w:t>
            </w:r>
          </w:p>
        </w:tc>
      </w:tr>
    </w:tbl>
    <w:p>
      <w:pPr>
        <w:spacing w:after="0"/>
      </w:pPr>
    </w:p>
    <w:p>
      <w:pPr>
        <w:pStyle w:val="Heading1"/>
      </w:pPr>
      <w:r>
        <w:t>1. Executive position</w:t>
      </w:r>
    </w:p>
    <w:p>
      <w:r>
        <w:t>Rovvy is a high-fidelity group-travel operating system, not a single booking page. Its strongest implemented foundation is the connected planning-and-execution loop: discover places, organize people and trips, compare travel options, coordinate through Lounge, navigate in Live Mode, and settle shared expenses. The architecture is substantial: FastAPI and SQLAlchemy/PostgreSQL on the backend; Next.js 16, React 19 and TypeScript on the frontend; Firebase reserved for transient real-time state; external providers isolated behind services and adapters.</w:t>
      </w:r>
    </w:p>
    <w:p>
      <w:r>
        <w:t>Current delivery reality: the platform has broad working modules, but release maturity is uneven. Core collaboration, public trip sharing, deterministic route intelligence, Live map behavior, AI-assisted explanations, and the Flights comparison foundation exist. The most active product program is Flights. Sprint 1 is technically complete and awaits Product Owner acceptance. Sprint 2 has begun early: provider-specific request limits, transparent zero-result recovery, currency/substitution integrity and the official Travelpayouts white-label embed are implemented; provider governance, redirect allowlisting and production-domain proof are not yet complete.</w:t>
      </w:r>
    </w:p>
    <w:p>
      <w:pPr>
        <w:pStyle w:val="Heading1"/>
      </w:pPr>
      <w:r>
        <w:t>2. What has been developed so far</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1800"/>
            <w:shd w:fill="123B5D"/>
            <w:vAlign w:val="center"/>
          </w:tcPr>
          <w:p>
            <w:pPr>
              <w:spacing w:after="0"/>
            </w:pPr>
            <w:r>
              <w:rPr>
                <w:b/>
                <w:color w:val="FFFFFF"/>
                <w:sz w:val="14"/>
              </w:rPr>
              <w:t>Product area</w:t>
            </w:r>
          </w:p>
        </w:tc>
        <w:tc>
          <w:tcPr>
            <w:tcW w:type="dxa" w:w="5904"/>
            <w:shd w:fill="123B5D"/>
            <w:vAlign w:val="center"/>
          </w:tcPr>
          <w:p>
            <w:pPr>
              <w:spacing w:after="0"/>
            </w:pPr>
            <w:r>
              <w:rPr>
                <w:b/>
                <w:color w:val="FFFFFF"/>
                <w:sz w:val="14"/>
              </w:rPr>
              <w:t>Developed capability</w:t>
            </w:r>
          </w:p>
        </w:tc>
        <w:tc>
          <w:tcPr>
            <w:tcW w:type="dxa" w:w="2664"/>
            <w:shd w:fill="123B5D"/>
            <w:vAlign w:val="center"/>
          </w:tcPr>
          <w:p>
            <w:pPr>
              <w:spacing w:after="0"/>
            </w:pPr>
            <w:r>
              <w:rPr>
                <w:b/>
                <w:color w:val="FFFFFF"/>
                <w:sz w:val="14"/>
              </w:rPr>
              <w:t>Current confidence</w:t>
            </w:r>
          </w:p>
        </w:tc>
        <w:trPr>
          <w:tblHeader/>
        </w:trPr>
      </w:tr>
      <w:tr>
        <w:tc>
          <w:tcPr>
            <w:tcW w:type="dxa" w:w="1800"/>
            <w:vAlign w:val="top"/>
            <w:tcMar>
              <w:top w:w="55" w:type="dxa"/>
              <w:start w:w="75" w:type="dxa"/>
              <w:bottom w:w="55" w:type="dxa"/>
              <w:end w:w="75" w:type="dxa"/>
            </w:tcMar>
          </w:tcPr>
          <w:p>
            <w:pPr>
              <w:spacing w:after="0" w:line="240" w:lineRule="auto"/>
            </w:pPr>
            <w:r>
              <w:rPr>
                <w:color w:val="1C2B37"/>
                <w:sz w:val="14"/>
              </w:rPr>
              <w:t>Identity &amp; access</w:t>
            </w:r>
          </w:p>
        </w:tc>
        <w:tc>
          <w:tcPr>
            <w:tcW w:type="dxa" w:w="5904"/>
            <w:vAlign w:val="top"/>
            <w:tcMar>
              <w:top w:w="55" w:type="dxa"/>
              <w:start w:w="75" w:type="dxa"/>
              <w:bottom w:w="55" w:type="dxa"/>
              <w:end w:w="75" w:type="dxa"/>
            </w:tcMar>
          </w:tcPr>
          <w:p>
            <w:pPr>
              <w:spacing w:after="0" w:line="240" w:lineRule="auto"/>
            </w:pPr>
            <w:r>
              <w:rPr>
                <w:color w:val="1C2B37"/>
                <w:sz w:val="14"/>
              </w:rPr>
              <w:t>JWT auth, profiles, Google/Facebook OAuth paths, email verification, presence heartbeat, public-profile control.</w:t>
            </w:r>
          </w:p>
        </w:tc>
        <w:tc>
          <w:tcPr>
            <w:tcW w:type="dxa" w:w="2664"/>
            <w:vAlign w:val="top"/>
            <w:tcMar>
              <w:top w:w="55" w:type="dxa"/>
              <w:start w:w="75" w:type="dxa"/>
              <w:bottom w:w="55" w:type="dxa"/>
              <w:end w:w="75" w:type="dxa"/>
            </w:tcMar>
          </w:tcPr>
          <w:p>
            <w:pPr>
              <w:spacing w:after="0" w:line="240" w:lineRule="auto"/>
            </w:pPr>
            <w:r>
              <w:rPr>
                <w:color w:val="1C2B37"/>
                <w:sz w:val="14"/>
              </w:rPr>
              <w:t>Implemented; production configuration still environment-dependent.</w:t>
            </w:r>
          </w:p>
        </w:tc>
      </w:tr>
      <w:tr>
        <w:tc>
          <w:tcPr>
            <w:tcW w:type="dxa" w:w="1800"/>
            <w:vAlign w:val="top"/>
            <w:shd w:fill="F5F8FA"/>
            <w:tcMar>
              <w:top w:w="55" w:type="dxa"/>
              <w:start w:w="75" w:type="dxa"/>
              <w:bottom w:w="55" w:type="dxa"/>
              <w:end w:w="75" w:type="dxa"/>
            </w:tcMar>
          </w:tcPr>
          <w:p>
            <w:pPr>
              <w:spacing w:after="0" w:line="240" w:lineRule="auto"/>
            </w:pPr>
            <w:r>
              <w:rPr>
                <w:color w:val="1C2B37"/>
                <w:sz w:val="14"/>
              </w:rPr>
              <w:t>Groups &amp; trips</w:t>
            </w:r>
          </w:p>
        </w:tc>
        <w:tc>
          <w:tcPr>
            <w:tcW w:type="dxa" w:w="5904"/>
            <w:vAlign w:val="top"/>
            <w:shd w:fill="F5F8FA"/>
            <w:tcMar>
              <w:top w:w="55" w:type="dxa"/>
              <w:start w:w="75" w:type="dxa"/>
              <w:bottom w:w="55" w:type="dxa"/>
              <w:end w:w="75" w:type="dxa"/>
            </w:tcMar>
          </w:tcPr>
          <w:p>
            <w:pPr>
              <w:spacing w:after="0" w:line="240" w:lineRule="auto"/>
            </w:pPr>
            <w:r>
              <w:rPr>
                <w:color w:val="1C2B37"/>
                <w:sz w:val="14"/>
              </w:rPr>
              <w:t>Groups, invite/join flows, admin approval, trip CRUD, public trip preview, roster notes and trip-to-group join requests.</w:t>
            </w:r>
          </w:p>
        </w:tc>
        <w:tc>
          <w:tcPr>
            <w:tcW w:type="dxa" w:w="2664"/>
            <w:vAlign w:val="top"/>
            <w:shd w:fill="F5F8FA"/>
            <w:tcMar>
              <w:top w:w="55" w:type="dxa"/>
              <w:start w:w="75" w:type="dxa"/>
              <w:bottom w:w="55" w:type="dxa"/>
              <w:end w:w="75" w:type="dxa"/>
            </w:tcMar>
          </w:tcPr>
          <w:p>
            <w:pPr>
              <w:spacing w:after="0" w:line="240" w:lineRule="auto"/>
            </w:pPr>
            <w:r>
              <w:rPr>
                <w:color w:val="1C2B37"/>
                <w:sz w:val="14"/>
              </w:rPr>
              <w:t>Implemented; deeper invite and trip-only membership remain future work.</w:t>
            </w:r>
          </w:p>
        </w:tc>
      </w:tr>
      <w:tr>
        <w:tc>
          <w:tcPr>
            <w:tcW w:type="dxa" w:w="1800"/>
            <w:vAlign w:val="top"/>
            <w:tcMar>
              <w:top w:w="55" w:type="dxa"/>
              <w:start w:w="75" w:type="dxa"/>
              <w:bottom w:w="55" w:type="dxa"/>
              <w:end w:w="75" w:type="dxa"/>
            </w:tcMar>
          </w:tcPr>
          <w:p>
            <w:pPr>
              <w:spacing w:after="0" w:line="240" w:lineRule="auto"/>
            </w:pPr>
            <w:r>
              <w:rPr>
                <w:color w:val="1C2B37"/>
                <w:sz w:val="14"/>
              </w:rPr>
              <w:t>Explore &amp; planning</w:t>
            </w:r>
          </w:p>
        </w:tc>
        <w:tc>
          <w:tcPr>
            <w:tcW w:type="dxa" w:w="5904"/>
            <w:vAlign w:val="top"/>
            <w:tcMar>
              <w:top w:w="55" w:type="dxa"/>
              <w:start w:w="75" w:type="dxa"/>
              <w:bottom w:w="55" w:type="dxa"/>
              <w:end w:w="75" w:type="dxa"/>
            </w:tcMar>
          </w:tcPr>
          <w:p>
            <w:pPr>
              <w:spacing w:after="0" w:line="240" w:lineRule="auto"/>
            </w:pPr>
            <w:r>
              <w:rPr>
                <w:color w:val="1C2B37"/>
                <w:sz w:val="14"/>
              </w:rPr>
              <w:t>POI/activity discovery, locations, pins, polls, feed, weather and planning surfaces.</w:t>
            </w:r>
          </w:p>
        </w:tc>
        <w:tc>
          <w:tcPr>
            <w:tcW w:type="dxa" w:w="2664"/>
            <w:vAlign w:val="top"/>
            <w:tcMar>
              <w:top w:w="55" w:type="dxa"/>
              <w:start w:w="75" w:type="dxa"/>
              <w:bottom w:w="55" w:type="dxa"/>
              <w:end w:w="75" w:type="dxa"/>
            </w:tcMar>
          </w:tcPr>
          <w:p>
            <w:pPr>
              <w:spacing w:after="0" w:line="240" w:lineRule="auto"/>
            </w:pPr>
            <w:r>
              <w:rPr>
                <w:color w:val="1C2B37"/>
                <w:sz w:val="14"/>
              </w:rPr>
              <w:t>Implemented with varying UI depth and external-data dependency.</w:t>
            </w:r>
          </w:p>
        </w:tc>
      </w:tr>
      <w:tr>
        <w:tc>
          <w:tcPr>
            <w:tcW w:type="dxa" w:w="1800"/>
            <w:vAlign w:val="top"/>
            <w:shd w:fill="F5F8FA"/>
            <w:tcMar>
              <w:top w:w="55" w:type="dxa"/>
              <w:start w:w="75" w:type="dxa"/>
              <w:bottom w:w="55" w:type="dxa"/>
              <w:end w:w="75" w:type="dxa"/>
            </w:tcMar>
          </w:tcPr>
          <w:p>
            <w:pPr>
              <w:spacing w:after="0" w:line="240" w:lineRule="auto"/>
            </w:pPr>
            <w:r>
              <w:rPr>
                <w:color w:val="1C2B37"/>
                <w:sz w:val="14"/>
              </w:rPr>
              <w:t>Live &amp; route intelligence</w:t>
            </w:r>
          </w:p>
        </w:tc>
        <w:tc>
          <w:tcPr>
            <w:tcW w:type="dxa" w:w="5904"/>
            <w:vAlign w:val="top"/>
            <w:shd w:fill="F5F8FA"/>
            <w:tcMar>
              <w:top w:w="55" w:type="dxa"/>
              <w:start w:w="75" w:type="dxa"/>
              <w:bottom w:w="55" w:type="dxa"/>
              <w:end w:w="75" w:type="dxa"/>
            </w:tcMar>
          </w:tcPr>
          <w:p>
            <w:pPr>
              <w:spacing w:after="0" w:line="240" w:lineRule="auto"/>
            </w:pPr>
            <w:r>
              <w:rPr>
                <w:color w:val="1C2B37"/>
                <w:sz w:val="14"/>
              </w:rPr>
              <w:t>MapLibre Live workspace, GPS tracking, OSRM local routing, place previews, long-distance deterministic route resolution and AI explanation fallback.</w:t>
            </w:r>
          </w:p>
        </w:tc>
        <w:tc>
          <w:tcPr>
            <w:tcW w:type="dxa" w:w="2664"/>
            <w:vAlign w:val="top"/>
            <w:shd w:fill="F5F8FA"/>
            <w:tcMar>
              <w:top w:w="55" w:type="dxa"/>
              <w:start w:w="75" w:type="dxa"/>
              <w:bottom w:w="55" w:type="dxa"/>
              <w:end w:w="75" w:type="dxa"/>
            </w:tcMar>
          </w:tcPr>
          <w:p>
            <w:pPr>
              <w:spacing w:after="0" w:line="240" w:lineRule="auto"/>
            </w:pPr>
            <w:r>
              <w:rPr>
                <w:color w:val="1C2B37"/>
                <w:sz w:val="14"/>
              </w:rPr>
              <w:t>Strong implementation; Group Live/Convoy and offline operation remain incomplete.</w:t>
            </w:r>
          </w:p>
        </w:tc>
      </w:tr>
      <w:tr>
        <w:tc>
          <w:tcPr>
            <w:tcW w:type="dxa" w:w="1800"/>
            <w:vAlign w:val="top"/>
            <w:tcMar>
              <w:top w:w="55" w:type="dxa"/>
              <w:start w:w="75" w:type="dxa"/>
              <w:bottom w:w="55" w:type="dxa"/>
              <w:end w:w="75" w:type="dxa"/>
            </w:tcMar>
          </w:tcPr>
          <w:p>
            <w:pPr>
              <w:spacing w:after="0" w:line="240" w:lineRule="auto"/>
            </w:pPr>
            <w:r>
              <w:rPr>
                <w:color w:val="1C2B37"/>
                <w:sz w:val="14"/>
              </w:rPr>
              <w:t>Lounge &amp; group coordination</w:t>
            </w:r>
          </w:p>
        </w:tc>
        <w:tc>
          <w:tcPr>
            <w:tcW w:type="dxa" w:w="5904"/>
            <w:vAlign w:val="top"/>
            <w:tcMar>
              <w:top w:w="55" w:type="dxa"/>
              <w:start w:w="75" w:type="dxa"/>
              <w:bottom w:w="55" w:type="dxa"/>
              <w:end w:w="75" w:type="dxa"/>
            </w:tcMar>
          </w:tcPr>
          <w:p>
            <w:pPr>
              <w:spacing w:after="0" w:line="240" w:lineRule="auto"/>
            </w:pPr>
            <w:r>
              <w:rPr>
                <w:color w:val="1C2B37"/>
                <w:sz w:val="14"/>
              </w:rPr>
              <w:t>Lounge/chat overlay, member presence and shared decision context.</w:t>
            </w:r>
          </w:p>
        </w:tc>
        <w:tc>
          <w:tcPr>
            <w:tcW w:type="dxa" w:w="2664"/>
            <w:vAlign w:val="top"/>
            <w:tcMar>
              <w:top w:w="55" w:type="dxa"/>
              <w:start w:w="75" w:type="dxa"/>
              <w:bottom w:w="55" w:type="dxa"/>
              <w:end w:w="75" w:type="dxa"/>
            </w:tcMar>
          </w:tcPr>
          <w:p>
            <w:pPr>
              <w:spacing w:after="0" w:line="240" w:lineRule="auto"/>
            </w:pPr>
            <w:r>
              <w:rPr>
                <w:color w:val="1C2B37"/>
                <w:sz w:val="14"/>
              </w:rPr>
              <w:t>Implemented foundation; production real-time depth needs continued hardening.</w:t>
            </w:r>
          </w:p>
        </w:tc>
      </w:tr>
      <w:tr>
        <w:tc>
          <w:tcPr>
            <w:tcW w:type="dxa" w:w="1800"/>
            <w:vAlign w:val="top"/>
            <w:shd w:fill="F5F8FA"/>
            <w:tcMar>
              <w:top w:w="55" w:type="dxa"/>
              <w:start w:w="75" w:type="dxa"/>
              <w:bottom w:w="55" w:type="dxa"/>
              <w:end w:w="75" w:type="dxa"/>
            </w:tcMar>
          </w:tcPr>
          <w:p>
            <w:pPr>
              <w:spacing w:after="0" w:line="240" w:lineRule="auto"/>
            </w:pPr>
            <w:r>
              <w:rPr>
                <w:color w:val="1C2B37"/>
                <w:sz w:val="14"/>
              </w:rPr>
              <w:t>Expenses &amp; subscriptions</w:t>
            </w:r>
          </w:p>
        </w:tc>
        <w:tc>
          <w:tcPr>
            <w:tcW w:type="dxa" w:w="5904"/>
            <w:vAlign w:val="top"/>
            <w:shd w:fill="F5F8FA"/>
            <w:tcMar>
              <w:top w:w="55" w:type="dxa"/>
              <w:start w:w="75" w:type="dxa"/>
              <w:bottom w:w="55" w:type="dxa"/>
              <w:end w:w="75" w:type="dxa"/>
            </w:tcMar>
          </w:tcPr>
          <w:p>
            <w:pPr>
              <w:spacing w:after="0" w:line="240" w:lineRule="auto"/>
            </w:pPr>
            <w:r>
              <w:rPr>
                <w:color w:val="1C2B37"/>
                <w:sz w:val="14"/>
              </w:rPr>
              <w:t>Expense allocation, split activities, Stripe-oriented subscription surface.</w:t>
            </w:r>
          </w:p>
        </w:tc>
        <w:tc>
          <w:tcPr>
            <w:tcW w:type="dxa" w:w="2664"/>
            <w:vAlign w:val="top"/>
            <w:shd w:fill="F5F8FA"/>
            <w:tcMar>
              <w:top w:w="55" w:type="dxa"/>
              <w:start w:w="75" w:type="dxa"/>
              <w:bottom w:w="55" w:type="dxa"/>
              <w:end w:w="75" w:type="dxa"/>
            </w:tcMar>
          </w:tcPr>
          <w:p>
            <w:pPr>
              <w:spacing w:after="0" w:line="240" w:lineRule="auto"/>
            </w:pPr>
            <w:r>
              <w:rPr>
                <w:color w:val="1C2B37"/>
                <w:sz w:val="14"/>
              </w:rPr>
              <w:t>Core logic exists; business workspace billing is not built.</w:t>
            </w:r>
          </w:p>
        </w:tc>
      </w:tr>
      <w:tr>
        <w:tc>
          <w:tcPr>
            <w:tcW w:type="dxa" w:w="1800"/>
            <w:vAlign w:val="top"/>
            <w:tcMar>
              <w:top w:w="55" w:type="dxa"/>
              <w:start w:w="75" w:type="dxa"/>
              <w:bottom w:w="55" w:type="dxa"/>
              <w:end w:w="75" w:type="dxa"/>
            </w:tcMar>
          </w:tcPr>
          <w:p>
            <w:pPr>
              <w:spacing w:after="0" w:line="240" w:lineRule="auto"/>
            </w:pPr>
            <w:r>
              <w:rPr>
                <w:color w:val="1C2B37"/>
                <w:sz w:val="14"/>
              </w:rPr>
              <w:t>Travel unit</w:t>
            </w:r>
          </w:p>
        </w:tc>
        <w:tc>
          <w:tcPr>
            <w:tcW w:type="dxa" w:w="5904"/>
            <w:vAlign w:val="top"/>
            <w:tcMar>
              <w:top w:w="55" w:type="dxa"/>
              <w:start w:w="75" w:type="dxa"/>
              <w:bottom w:w="55" w:type="dxa"/>
              <w:end w:w="75" w:type="dxa"/>
            </w:tcMar>
          </w:tcPr>
          <w:p>
            <w:pPr>
              <w:spacing w:after="0" w:line="240" w:lineRule="auto"/>
            </w:pPr>
            <w:r>
              <w:rPr>
                <w:color w:val="1C2B37"/>
                <w:sz w:val="14"/>
              </w:rPr>
              <w:t>Flights, hotels, routes and buses service/schema surfaces; Flights is the current governed delivery program.</w:t>
            </w:r>
          </w:p>
        </w:tc>
        <w:tc>
          <w:tcPr>
            <w:tcW w:type="dxa" w:w="2664"/>
            <w:vAlign w:val="top"/>
            <w:tcMar>
              <w:top w:w="55" w:type="dxa"/>
              <w:start w:w="75" w:type="dxa"/>
              <w:bottom w:w="55" w:type="dxa"/>
              <w:end w:w="75" w:type="dxa"/>
            </w:tcMar>
          </w:tcPr>
          <w:p>
            <w:pPr>
              <w:spacing w:after="0" w:line="240" w:lineRule="auto"/>
            </w:pPr>
            <w:r>
              <w:rPr>
                <w:color w:val="1C2B37"/>
                <w:sz w:val="14"/>
              </w:rPr>
              <w:t>Flights advanced; hotels/buses/provider depth is mixed.</w:t>
            </w:r>
          </w:p>
        </w:tc>
      </w:tr>
    </w:tbl>
    <w:p>
      <w:pPr>
        <w:spacing w:after="0"/>
      </w:pPr>
    </w:p>
    <w:p>
      <w:r>
        <w:br w:type="page"/>
      </w:r>
    </w:p>
    <w:p>
      <w:pPr>
        <w:pStyle w:val="Heading1"/>
      </w:pPr>
      <w:r>
        <w:t>3. System architecture and operating model</w:t>
      </w:r>
    </w:p>
    <w:p>
      <w:r>
        <w:t>Backend flow: HTTP routes validate and authorize requests, services own business rules and provider coordination, schemas define stable contracts, and SQLAlchemy models persist relational state. PostgreSQL/Supabase is the durable source of truth. Firebase is intentionally limited to ephemeral presence, location and timer-like state. This separation protects transactional integrity while keeping live interactions responsive.</w:t>
      </w:r>
    </w:p>
    <w:p>
      <w:r>
        <w:t>Frontend flow: Next.js App Router separates public/auth routes from the authenticated dashboard shell. Shared API helpers attach bearer tokens when available and support guest-safe calls where the product permits them. The application uses componentized travel, Lounge and Live surfaces rather than duplicating logic inside pages. MapLibre/Leaflet, OSRM and geocoding services power the map experience; deterministic route facts are assembled before AI is allowed to explain them.</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1440"/>
            <w:shd w:fill="123B5D"/>
            <w:vAlign w:val="center"/>
          </w:tcPr>
          <w:p>
            <w:pPr>
              <w:spacing w:after="0"/>
            </w:pPr>
            <w:r>
              <w:rPr>
                <w:b/>
                <w:color w:val="FFFFFF"/>
                <w:sz w:val="15"/>
              </w:rPr>
              <w:t>Layer</w:t>
            </w:r>
          </w:p>
        </w:tc>
        <w:tc>
          <w:tcPr>
            <w:tcW w:type="dxa" w:w="4536"/>
            <w:shd w:fill="123B5D"/>
            <w:vAlign w:val="center"/>
          </w:tcPr>
          <w:p>
            <w:pPr>
              <w:spacing w:after="0"/>
            </w:pPr>
            <w:r>
              <w:rPr>
                <w:b/>
                <w:color w:val="FFFFFF"/>
                <w:sz w:val="15"/>
              </w:rPr>
              <w:t>Primary responsibility</w:t>
            </w:r>
          </w:p>
        </w:tc>
        <w:tc>
          <w:tcPr>
            <w:tcW w:type="dxa" w:w="4392"/>
            <w:shd w:fill="123B5D"/>
            <w:vAlign w:val="center"/>
          </w:tcPr>
          <w:p>
            <w:pPr>
              <w:spacing w:after="0"/>
            </w:pPr>
            <w:r>
              <w:rPr>
                <w:b/>
                <w:color w:val="FFFFFF"/>
                <w:sz w:val="15"/>
              </w:rPr>
              <w:t>Notable modules / controls</w:t>
            </w:r>
          </w:p>
        </w:tc>
        <w:trPr>
          <w:tblHeader/>
        </w:trPr>
      </w:tr>
      <w:tr>
        <w:tc>
          <w:tcPr>
            <w:tcW w:type="dxa" w:w="1440"/>
            <w:vAlign w:val="top"/>
            <w:tcMar>
              <w:top w:w="55" w:type="dxa"/>
              <w:start w:w="75" w:type="dxa"/>
              <w:bottom w:w="55" w:type="dxa"/>
              <w:end w:w="75" w:type="dxa"/>
            </w:tcMar>
          </w:tcPr>
          <w:p>
            <w:pPr>
              <w:spacing w:after="0" w:line="240" w:lineRule="auto"/>
            </w:pPr>
            <w:r>
              <w:rPr>
                <w:color w:val="1C2B37"/>
                <w:sz w:val="15"/>
              </w:rPr>
              <w:t>Presentation</w:t>
            </w:r>
          </w:p>
        </w:tc>
        <w:tc>
          <w:tcPr>
            <w:tcW w:type="dxa" w:w="4536"/>
            <w:vAlign w:val="top"/>
            <w:tcMar>
              <w:top w:w="55" w:type="dxa"/>
              <w:start w:w="75" w:type="dxa"/>
              <w:bottom w:w="55" w:type="dxa"/>
              <w:end w:w="75" w:type="dxa"/>
            </w:tcMar>
          </w:tcPr>
          <w:p>
            <w:pPr>
              <w:spacing w:after="0" w:line="240" w:lineRule="auto"/>
            </w:pPr>
            <w:r>
              <w:rPr>
                <w:color w:val="1C2B37"/>
                <w:sz w:val="15"/>
              </w:rPr>
              <w:t>Responsive pages, results, filters, map panels, comparison and group actions</w:t>
            </w:r>
          </w:p>
        </w:tc>
        <w:tc>
          <w:tcPr>
            <w:tcW w:type="dxa" w:w="4392"/>
            <w:vAlign w:val="top"/>
            <w:tcMar>
              <w:top w:w="55" w:type="dxa"/>
              <w:start w:w="75" w:type="dxa"/>
              <w:bottom w:w="55" w:type="dxa"/>
              <w:end w:w="75" w:type="dxa"/>
            </w:tcMar>
          </w:tcPr>
          <w:p>
            <w:pPr>
              <w:spacing w:after="0" w:line="240" w:lineRule="auto"/>
            </w:pPr>
            <w:r>
              <w:rPr>
                <w:color w:val="1C2B37"/>
                <w:sz w:val="15"/>
              </w:rPr>
              <w:t>Dashboard route group; Travel components; Lounge dock; Live panels</w:t>
            </w:r>
          </w:p>
        </w:tc>
      </w:tr>
      <w:tr>
        <w:tc>
          <w:tcPr>
            <w:tcW w:type="dxa" w:w="1440"/>
            <w:vAlign w:val="top"/>
            <w:shd w:fill="F5F8FA"/>
            <w:tcMar>
              <w:top w:w="55" w:type="dxa"/>
              <w:start w:w="75" w:type="dxa"/>
              <w:bottom w:w="55" w:type="dxa"/>
              <w:end w:w="75" w:type="dxa"/>
            </w:tcMar>
          </w:tcPr>
          <w:p>
            <w:pPr>
              <w:spacing w:after="0" w:line="240" w:lineRule="auto"/>
            </w:pPr>
            <w:r>
              <w:rPr>
                <w:color w:val="1C2B37"/>
                <w:sz w:val="15"/>
              </w:rPr>
              <w:t>Client data</w:t>
            </w:r>
          </w:p>
        </w:tc>
        <w:tc>
          <w:tcPr>
            <w:tcW w:type="dxa" w:w="4536"/>
            <w:vAlign w:val="top"/>
            <w:shd w:fill="F5F8FA"/>
            <w:tcMar>
              <w:top w:w="55" w:type="dxa"/>
              <w:start w:w="75" w:type="dxa"/>
              <w:bottom w:w="55" w:type="dxa"/>
              <w:end w:w="75" w:type="dxa"/>
            </w:tcMar>
          </w:tcPr>
          <w:p>
            <w:pPr>
              <w:spacing w:after="0" w:line="240" w:lineRule="auto"/>
            </w:pPr>
            <w:r>
              <w:rPr>
                <w:color w:val="1C2B37"/>
                <w:sz w:val="15"/>
              </w:rPr>
              <w:t>API calls, auth token handling, search serialization, safe display formatting</w:t>
            </w:r>
          </w:p>
        </w:tc>
        <w:tc>
          <w:tcPr>
            <w:tcW w:type="dxa" w:w="4392"/>
            <w:vAlign w:val="top"/>
            <w:shd w:fill="F5F8FA"/>
            <w:tcMar>
              <w:top w:w="55" w:type="dxa"/>
              <w:start w:w="75" w:type="dxa"/>
              <w:bottom w:w="55" w:type="dxa"/>
              <w:end w:w="75" w:type="dxa"/>
            </w:tcMar>
          </w:tcPr>
          <w:p>
            <w:pPr>
              <w:spacing w:after="0" w:line="240" w:lineRule="auto"/>
            </w:pPr>
            <w:r>
              <w:rPr>
                <w:color w:val="1C2B37"/>
                <w:sz w:val="15"/>
              </w:rPr>
              <w:t>frontend/lib/api.ts; flight-* libraries; dashboard user context</w:t>
            </w:r>
          </w:p>
        </w:tc>
      </w:tr>
      <w:tr>
        <w:tc>
          <w:tcPr>
            <w:tcW w:type="dxa" w:w="1440"/>
            <w:vAlign w:val="top"/>
            <w:tcMar>
              <w:top w:w="55" w:type="dxa"/>
              <w:start w:w="75" w:type="dxa"/>
              <w:bottom w:w="55" w:type="dxa"/>
              <w:end w:w="75" w:type="dxa"/>
            </w:tcMar>
          </w:tcPr>
          <w:p>
            <w:pPr>
              <w:spacing w:after="0" w:line="240" w:lineRule="auto"/>
            </w:pPr>
            <w:r>
              <w:rPr>
                <w:color w:val="1C2B37"/>
                <w:sz w:val="15"/>
              </w:rPr>
              <w:t>API</w:t>
            </w:r>
          </w:p>
        </w:tc>
        <w:tc>
          <w:tcPr>
            <w:tcW w:type="dxa" w:w="4536"/>
            <w:vAlign w:val="top"/>
            <w:tcMar>
              <w:top w:w="55" w:type="dxa"/>
              <w:start w:w="75" w:type="dxa"/>
              <w:bottom w:w="55" w:type="dxa"/>
              <w:end w:w="75" w:type="dxa"/>
            </w:tcMar>
          </w:tcPr>
          <w:p>
            <w:pPr>
              <w:spacing w:after="0" w:line="240" w:lineRule="auto"/>
            </w:pPr>
            <w:r>
              <w:rPr>
                <w:color w:val="1C2B37"/>
                <w:sz w:val="15"/>
              </w:rPr>
              <w:t>Request validation, access checks, stable response contracts</w:t>
            </w:r>
          </w:p>
        </w:tc>
        <w:tc>
          <w:tcPr>
            <w:tcW w:type="dxa" w:w="4392"/>
            <w:vAlign w:val="top"/>
            <w:tcMar>
              <w:top w:w="55" w:type="dxa"/>
              <w:start w:w="75" w:type="dxa"/>
              <w:bottom w:w="55" w:type="dxa"/>
              <w:end w:w="75" w:type="dxa"/>
            </w:tcMar>
          </w:tcPr>
          <w:p>
            <w:pPr>
              <w:spacing w:after="0" w:line="240" w:lineRule="auto"/>
            </w:pPr>
            <w:r>
              <w:rPr>
                <w:color w:val="1C2B37"/>
                <w:sz w:val="15"/>
              </w:rPr>
              <w:t>FastAPI routers under /api/v1; health at /health</w:t>
            </w:r>
          </w:p>
        </w:tc>
      </w:tr>
      <w:tr>
        <w:tc>
          <w:tcPr>
            <w:tcW w:type="dxa" w:w="1440"/>
            <w:vAlign w:val="top"/>
            <w:shd w:fill="F5F8FA"/>
            <w:tcMar>
              <w:top w:w="55" w:type="dxa"/>
              <w:start w:w="75" w:type="dxa"/>
              <w:bottom w:w="55" w:type="dxa"/>
              <w:end w:w="75" w:type="dxa"/>
            </w:tcMar>
          </w:tcPr>
          <w:p>
            <w:pPr>
              <w:spacing w:after="0" w:line="240" w:lineRule="auto"/>
            </w:pPr>
            <w:r>
              <w:rPr>
                <w:color w:val="1C2B37"/>
                <w:sz w:val="15"/>
              </w:rPr>
              <w:t>Domain services</w:t>
            </w:r>
          </w:p>
        </w:tc>
        <w:tc>
          <w:tcPr>
            <w:tcW w:type="dxa" w:w="4536"/>
            <w:vAlign w:val="top"/>
            <w:shd w:fill="F5F8FA"/>
            <w:tcMar>
              <w:top w:w="55" w:type="dxa"/>
              <w:start w:w="75" w:type="dxa"/>
              <w:bottom w:w="55" w:type="dxa"/>
              <w:end w:w="75" w:type="dxa"/>
            </w:tcMar>
          </w:tcPr>
          <w:p>
            <w:pPr>
              <w:spacing w:after="0" w:line="240" w:lineRule="auto"/>
            </w:pPr>
            <w:r>
              <w:rPr>
                <w:color w:val="1C2B37"/>
                <w:sz w:val="15"/>
              </w:rPr>
              <w:t>Trips, groups, expenses, route intelligence, provider orchestration, disclosure and recovery</w:t>
            </w:r>
          </w:p>
        </w:tc>
        <w:tc>
          <w:tcPr>
            <w:tcW w:type="dxa" w:w="4392"/>
            <w:vAlign w:val="top"/>
            <w:shd w:fill="F5F8FA"/>
            <w:tcMar>
              <w:top w:w="55" w:type="dxa"/>
              <w:start w:w="75" w:type="dxa"/>
              <w:bottom w:w="55" w:type="dxa"/>
              <w:end w:w="75" w:type="dxa"/>
            </w:tcMar>
          </w:tcPr>
          <w:p>
            <w:pPr>
              <w:spacing w:after="0" w:line="240" w:lineRule="auto"/>
            </w:pPr>
            <w:r>
              <w:rPr>
                <w:color w:val="1C2B37"/>
                <w:sz w:val="15"/>
              </w:rPr>
              <w:t>app/services/*; provider-neutral Flights coordinator/adapters</w:t>
            </w:r>
          </w:p>
        </w:tc>
      </w:tr>
      <w:tr>
        <w:tc>
          <w:tcPr>
            <w:tcW w:type="dxa" w:w="1440"/>
            <w:vAlign w:val="top"/>
            <w:tcMar>
              <w:top w:w="55" w:type="dxa"/>
              <w:start w:w="75" w:type="dxa"/>
              <w:bottom w:w="55" w:type="dxa"/>
              <w:end w:w="75" w:type="dxa"/>
            </w:tcMar>
          </w:tcPr>
          <w:p>
            <w:pPr>
              <w:spacing w:after="0" w:line="240" w:lineRule="auto"/>
            </w:pPr>
            <w:r>
              <w:rPr>
                <w:color w:val="1C2B37"/>
                <w:sz w:val="15"/>
              </w:rPr>
              <w:t>Persistence</w:t>
            </w:r>
          </w:p>
        </w:tc>
        <w:tc>
          <w:tcPr>
            <w:tcW w:type="dxa" w:w="4536"/>
            <w:vAlign w:val="top"/>
            <w:tcMar>
              <w:top w:w="55" w:type="dxa"/>
              <w:start w:w="75" w:type="dxa"/>
              <w:bottom w:w="55" w:type="dxa"/>
              <w:end w:w="75" w:type="dxa"/>
            </w:tcMar>
          </w:tcPr>
          <w:p>
            <w:pPr>
              <w:spacing w:after="0" w:line="240" w:lineRule="auto"/>
            </w:pPr>
            <w:r>
              <w:rPr>
                <w:color w:val="1C2B37"/>
                <w:sz w:val="15"/>
              </w:rPr>
              <w:t>Users, groups, trips, rosters, polls, expenses, subscriptions and caches</w:t>
            </w:r>
          </w:p>
        </w:tc>
        <w:tc>
          <w:tcPr>
            <w:tcW w:type="dxa" w:w="4392"/>
            <w:vAlign w:val="top"/>
            <w:tcMar>
              <w:top w:w="55" w:type="dxa"/>
              <w:start w:w="75" w:type="dxa"/>
              <w:bottom w:w="55" w:type="dxa"/>
              <w:end w:w="75" w:type="dxa"/>
            </w:tcMar>
          </w:tcPr>
          <w:p>
            <w:pPr>
              <w:spacing w:after="0" w:line="240" w:lineRule="auto"/>
            </w:pPr>
            <w:r>
              <w:rPr>
                <w:color w:val="1C2B37"/>
                <w:sz w:val="15"/>
              </w:rPr>
              <w:t>SQLAlchemy 2 + PostgreSQL + Alembic</w:t>
            </w:r>
          </w:p>
        </w:tc>
      </w:tr>
      <w:tr>
        <w:tc>
          <w:tcPr>
            <w:tcW w:type="dxa" w:w="1440"/>
            <w:vAlign w:val="top"/>
            <w:shd w:fill="F5F8FA"/>
            <w:tcMar>
              <w:top w:w="55" w:type="dxa"/>
              <w:start w:w="75" w:type="dxa"/>
              <w:bottom w:w="55" w:type="dxa"/>
              <w:end w:w="75" w:type="dxa"/>
            </w:tcMar>
          </w:tcPr>
          <w:p>
            <w:pPr>
              <w:spacing w:after="0" w:line="240" w:lineRule="auto"/>
            </w:pPr>
            <w:r>
              <w:rPr>
                <w:color w:val="1C2B37"/>
                <w:sz w:val="15"/>
              </w:rPr>
              <w:t>Real-time</w:t>
            </w:r>
          </w:p>
        </w:tc>
        <w:tc>
          <w:tcPr>
            <w:tcW w:type="dxa" w:w="4536"/>
            <w:vAlign w:val="top"/>
            <w:shd w:fill="F5F8FA"/>
            <w:tcMar>
              <w:top w:w="55" w:type="dxa"/>
              <w:start w:w="75" w:type="dxa"/>
              <w:bottom w:w="55" w:type="dxa"/>
              <w:end w:w="75" w:type="dxa"/>
            </w:tcMar>
          </w:tcPr>
          <w:p>
            <w:pPr>
              <w:spacing w:after="0" w:line="240" w:lineRule="auto"/>
            </w:pPr>
            <w:r>
              <w:rPr>
                <w:color w:val="1C2B37"/>
                <w:sz w:val="15"/>
              </w:rPr>
              <w:t>Transient presence and active location state</w:t>
            </w:r>
          </w:p>
        </w:tc>
        <w:tc>
          <w:tcPr>
            <w:tcW w:type="dxa" w:w="4392"/>
            <w:vAlign w:val="top"/>
            <w:shd w:fill="F5F8FA"/>
            <w:tcMar>
              <w:top w:w="55" w:type="dxa"/>
              <w:start w:w="75" w:type="dxa"/>
              <w:bottom w:w="55" w:type="dxa"/>
              <w:end w:w="75" w:type="dxa"/>
            </w:tcMar>
          </w:tcPr>
          <w:p>
            <w:pPr>
              <w:spacing w:after="0" w:line="240" w:lineRule="auto"/>
            </w:pPr>
            <w:r>
              <w:rPr>
                <w:color w:val="1C2B37"/>
                <w:sz w:val="15"/>
              </w:rPr>
              <w:t>Firebase RTDB; never the permanent relational store</w:t>
            </w:r>
          </w:p>
        </w:tc>
      </w:tr>
      <w:tr>
        <w:tc>
          <w:tcPr>
            <w:tcW w:type="dxa" w:w="1440"/>
            <w:vAlign w:val="top"/>
            <w:tcMar>
              <w:top w:w="55" w:type="dxa"/>
              <w:start w:w="75" w:type="dxa"/>
              <w:bottom w:w="55" w:type="dxa"/>
              <w:end w:w="75" w:type="dxa"/>
            </w:tcMar>
          </w:tcPr>
          <w:p>
            <w:pPr>
              <w:spacing w:after="0" w:line="240" w:lineRule="auto"/>
            </w:pPr>
            <w:r>
              <w:rPr>
                <w:color w:val="1C2B37"/>
                <w:sz w:val="15"/>
              </w:rPr>
              <w:t>External</w:t>
            </w:r>
          </w:p>
        </w:tc>
        <w:tc>
          <w:tcPr>
            <w:tcW w:type="dxa" w:w="4536"/>
            <w:vAlign w:val="top"/>
            <w:tcMar>
              <w:top w:w="55" w:type="dxa"/>
              <w:start w:w="75" w:type="dxa"/>
              <w:bottom w:w="55" w:type="dxa"/>
              <w:end w:w="75" w:type="dxa"/>
            </w:tcMar>
          </w:tcPr>
          <w:p>
            <w:pPr>
              <w:spacing w:after="0" w:line="240" w:lineRule="auto"/>
            </w:pPr>
            <w:r>
              <w:rPr>
                <w:color w:val="1C2B37"/>
                <w:sz w:val="15"/>
              </w:rPr>
              <w:t>Maps, routing, weather, AI and travel inventory</w:t>
            </w:r>
          </w:p>
        </w:tc>
        <w:tc>
          <w:tcPr>
            <w:tcW w:type="dxa" w:w="4392"/>
            <w:vAlign w:val="top"/>
            <w:tcMar>
              <w:top w:w="55" w:type="dxa"/>
              <w:start w:w="75" w:type="dxa"/>
              <w:bottom w:w="55" w:type="dxa"/>
              <w:end w:w="75" w:type="dxa"/>
            </w:tcMar>
          </w:tcPr>
          <w:p>
            <w:pPr>
              <w:spacing w:after="0" w:line="240" w:lineRule="auto"/>
            </w:pPr>
            <w:r>
              <w:rPr>
                <w:color w:val="1C2B37"/>
                <w:sz w:val="15"/>
              </w:rPr>
              <w:t>Provider credentials, terms, timeouts and fallbacks govern usability</w:t>
            </w:r>
          </w:p>
        </w:tc>
      </w:tr>
    </w:tbl>
    <w:p>
      <w:pPr>
        <w:spacing w:after="0"/>
      </w:pPr>
    </w:p>
    <w:p>
      <w:pPr>
        <w:pStyle w:val="Heading1"/>
      </w:pPr>
      <w:r>
        <w:t>4. Product boundary and decisions already made</w:t>
      </w:r>
    </w:p>
    <w:p>
      <w:pPr>
        <w:pStyle w:val="ListBullet"/>
      </w:pPr>
      <w:r>
        <w:t>Rovvy is a social travel operating system. Its differentiator is coordination across planning, execution and group decisions—not simply listing inventory.</w:t>
      </w:r>
    </w:p>
    <w:p>
      <w:pPr>
        <w:pStyle w:val="ListBullet"/>
      </w:pPr>
      <w:r>
        <w:t>Flights is currently a metasearch and planning layer. Rovvy searches, compares, explains and redirects; the selected airline, OTA or authorized provider owns payment, ticketing, changes, cancellations, refunds and support.</w:t>
      </w:r>
    </w:p>
    <w:p>
      <w:pPr>
        <w:pStyle w:val="ListBullet"/>
      </w:pPr>
      <w:r>
        <w:t>Public Flights must not enter Rovvy checkout. Dormant historical booking screens may remain guarded for reference, but ordinary routes and calls to action cannot reach them.</w:t>
      </w:r>
    </w:p>
    <w:p>
      <w:pPr>
        <w:pStyle w:val="ListBullet"/>
      </w:pPr>
      <w:r>
        <w:t>Sandbox/test inventory must be unmistakable and non-bookable. Provider identity, environment, price freshness and actionability must remain auditable.</w:t>
      </w:r>
    </w:p>
    <w:p>
      <w:pPr>
        <w:pStyle w:val="ListBullet"/>
      </w:pPr>
      <w:r>
        <w:t>Provider-supplied through itineraries are prioritized. Rovvy-generated separate-ticket combinations are deferred until policy and risk handling mature.</w:t>
      </w:r>
    </w:p>
    <w:p>
      <w:pPr>
        <w:pStyle w:val="ListBullet"/>
      </w:pPr>
      <w:r>
        <w:t>AI may explain verified structured route facts; it must not invent flights, fares, visa rules, connection protection or baggage transfer.</w:t>
      </w:r>
    </w:p>
    <w:p>
      <w:pPr>
        <w:pStyle w:val="ListBullet"/>
      </w:pPr>
      <w:r>
        <w:t>Revenue follows trust. Creator/business modes, direct eSIM sales and deeper monetization are later phases, not reasons to weaken current disclosure or safety gates.</w:t>
      </w:r>
    </w:p>
    <w:p>
      <w:pPr>
        <w:pStyle w:val="Heading1"/>
      </w:pPr>
      <w:r>
        <w:t>5. Current platform phases</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1944"/>
            <w:shd w:fill="123B5D"/>
            <w:vAlign w:val="center"/>
          </w:tcPr>
          <w:p>
            <w:pPr>
              <w:spacing w:after="0"/>
            </w:pPr>
            <w:r>
              <w:rPr>
                <w:b/>
                <w:color w:val="FFFFFF"/>
                <w:sz w:val="15"/>
              </w:rPr>
              <w:t>Platform phase</w:t>
            </w:r>
          </w:p>
        </w:tc>
        <w:tc>
          <w:tcPr>
            <w:tcW w:type="dxa" w:w="6264"/>
            <w:shd w:fill="123B5D"/>
            <w:vAlign w:val="center"/>
          </w:tcPr>
          <w:p>
            <w:pPr>
              <w:spacing w:after="0"/>
            </w:pPr>
            <w:r>
              <w:rPr>
                <w:b/>
                <w:color w:val="FFFFFF"/>
                <w:sz w:val="15"/>
              </w:rPr>
              <w:t>Meaning</w:t>
            </w:r>
          </w:p>
        </w:tc>
        <w:tc>
          <w:tcPr>
            <w:tcW w:type="dxa" w:w="2160"/>
            <w:shd w:fill="123B5D"/>
            <w:vAlign w:val="center"/>
          </w:tcPr>
          <w:p>
            <w:pPr>
              <w:spacing w:after="0"/>
            </w:pPr>
            <w:r>
              <w:rPr>
                <w:b/>
                <w:color w:val="FFFFFF"/>
                <w:sz w:val="15"/>
              </w:rPr>
              <w:t>Status</w:t>
            </w:r>
          </w:p>
        </w:tc>
        <w:trPr>
          <w:tblHeader/>
        </w:trPr>
      </w:tr>
      <w:tr>
        <w:tc>
          <w:tcPr>
            <w:tcW w:type="dxa" w:w="1944"/>
            <w:vAlign w:val="top"/>
            <w:tcMar>
              <w:top w:w="55" w:type="dxa"/>
              <w:start w:w="75" w:type="dxa"/>
              <w:bottom w:w="55" w:type="dxa"/>
              <w:end w:w="75" w:type="dxa"/>
            </w:tcMar>
          </w:tcPr>
          <w:p>
            <w:pPr>
              <w:spacing w:after="0" w:line="240" w:lineRule="auto"/>
            </w:pPr>
            <w:r>
              <w:rPr>
                <w:color w:val="1C2B37"/>
                <w:sz w:val="15"/>
              </w:rPr>
              <w:t>Foundation</w:t>
            </w:r>
          </w:p>
        </w:tc>
        <w:tc>
          <w:tcPr>
            <w:tcW w:type="dxa" w:w="6264"/>
            <w:vAlign w:val="top"/>
            <w:tcMar>
              <w:top w:w="55" w:type="dxa"/>
              <w:start w:w="75" w:type="dxa"/>
              <w:bottom w:w="55" w:type="dxa"/>
              <w:end w:w="75" w:type="dxa"/>
            </w:tcMar>
          </w:tcPr>
          <w:p>
            <w:pPr>
              <w:spacing w:after="0" w:line="240" w:lineRule="auto"/>
            </w:pPr>
            <w:r>
              <w:rPr>
                <w:color w:val="1C2B37"/>
                <w:sz w:val="15"/>
              </w:rPr>
              <w:t>Identity, groups, trips, planning data, public sharing, deployment scaffolding</w:t>
            </w:r>
          </w:p>
        </w:tc>
        <w:tc>
          <w:tcPr>
            <w:tcW w:type="dxa" w:w="2160"/>
            <w:vAlign w:val="top"/>
            <w:tcMar>
              <w:top w:w="55" w:type="dxa"/>
              <w:start w:w="75" w:type="dxa"/>
              <w:bottom w:w="55" w:type="dxa"/>
              <w:end w:w="75" w:type="dxa"/>
            </w:tcMar>
          </w:tcPr>
          <w:p>
            <w:pPr>
              <w:spacing w:after="0" w:line="240" w:lineRule="auto"/>
            </w:pPr>
            <w:r>
              <w:rPr>
                <w:color w:val="1C2B37"/>
                <w:sz w:val="15"/>
              </w:rPr>
              <w:t>Largely implemented; production config and edge cases remain.</w:t>
            </w:r>
          </w:p>
        </w:tc>
      </w:tr>
      <w:tr>
        <w:tc>
          <w:tcPr>
            <w:tcW w:type="dxa" w:w="1944"/>
            <w:vAlign w:val="top"/>
            <w:shd w:fill="F5F8FA"/>
            <w:tcMar>
              <w:top w:w="55" w:type="dxa"/>
              <w:start w:w="75" w:type="dxa"/>
              <w:bottom w:w="55" w:type="dxa"/>
              <w:end w:w="75" w:type="dxa"/>
            </w:tcMar>
          </w:tcPr>
          <w:p>
            <w:pPr>
              <w:spacing w:after="0" w:line="240" w:lineRule="auto"/>
            </w:pPr>
            <w:r>
              <w:rPr>
                <w:color w:val="1C2B37"/>
                <w:sz w:val="15"/>
              </w:rPr>
              <w:t>Execution</w:t>
            </w:r>
          </w:p>
        </w:tc>
        <w:tc>
          <w:tcPr>
            <w:tcW w:type="dxa" w:w="6264"/>
            <w:vAlign w:val="top"/>
            <w:shd w:fill="F5F8FA"/>
            <w:tcMar>
              <w:top w:w="55" w:type="dxa"/>
              <w:start w:w="75" w:type="dxa"/>
              <w:bottom w:w="55" w:type="dxa"/>
              <w:end w:w="75" w:type="dxa"/>
            </w:tcMar>
          </w:tcPr>
          <w:p>
            <w:pPr>
              <w:spacing w:after="0" w:line="240" w:lineRule="auto"/>
            </w:pPr>
            <w:r>
              <w:rPr>
                <w:color w:val="1C2B37"/>
                <w:sz w:val="15"/>
              </w:rPr>
              <w:t>Live map, local navigation, route intelligence, Lounge and expenses</w:t>
            </w:r>
          </w:p>
        </w:tc>
        <w:tc>
          <w:tcPr>
            <w:tcW w:type="dxa" w:w="2160"/>
            <w:vAlign w:val="top"/>
            <w:shd w:fill="F5F8FA"/>
            <w:tcMar>
              <w:top w:w="55" w:type="dxa"/>
              <w:start w:w="75" w:type="dxa"/>
              <w:bottom w:w="55" w:type="dxa"/>
              <w:end w:w="75" w:type="dxa"/>
            </w:tcMar>
          </w:tcPr>
          <w:p>
            <w:pPr>
              <w:spacing w:after="0" w:line="240" w:lineRule="auto"/>
            </w:pPr>
            <w:r>
              <w:rPr>
                <w:color w:val="1C2B37"/>
                <w:sz w:val="15"/>
              </w:rPr>
              <w:t>Implemented foundation; Convoy/offline sync incomplete.</w:t>
            </w:r>
          </w:p>
        </w:tc>
      </w:tr>
      <w:tr>
        <w:tc>
          <w:tcPr>
            <w:tcW w:type="dxa" w:w="1944"/>
            <w:vAlign w:val="top"/>
            <w:tcMar>
              <w:top w:w="55" w:type="dxa"/>
              <w:start w:w="75" w:type="dxa"/>
              <w:bottom w:w="55" w:type="dxa"/>
              <w:end w:w="75" w:type="dxa"/>
            </w:tcMar>
          </w:tcPr>
          <w:p>
            <w:pPr>
              <w:spacing w:after="0" w:line="240" w:lineRule="auto"/>
            </w:pPr>
            <w:r>
              <w:rPr>
                <w:color w:val="1C2B37"/>
                <w:sz w:val="15"/>
              </w:rPr>
              <w:t>Trustworthy Travel</w:t>
            </w:r>
          </w:p>
        </w:tc>
        <w:tc>
          <w:tcPr>
            <w:tcW w:type="dxa" w:w="6264"/>
            <w:vAlign w:val="top"/>
            <w:tcMar>
              <w:top w:w="55" w:type="dxa"/>
              <w:start w:w="75" w:type="dxa"/>
              <w:bottom w:w="55" w:type="dxa"/>
              <w:end w:w="75" w:type="dxa"/>
            </w:tcMar>
          </w:tcPr>
          <w:p>
            <w:pPr>
              <w:spacing w:after="0" w:line="240" w:lineRule="auto"/>
            </w:pPr>
            <w:r>
              <w:rPr>
                <w:color w:val="1C2B37"/>
                <w:sz w:val="15"/>
              </w:rPr>
              <w:t>Provider-neutral comparison, safe redirects, exact aggregation and visible provenance</w:t>
            </w:r>
          </w:p>
        </w:tc>
        <w:tc>
          <w:tcPr>
            <w:tcW w:type="dxa" w:w="2160"/>
            <w:vAlign w:val="top"/>
            <w:tcMar>
              <w:top w:w="55" w:type="dxa"/>
              <w:start w:w="75" w:type="dxa"/>
              <w:bottom w:w="55" w:type="dxa"/>
              <w:end w:w="75" w:type="dxa"/>
            </w:tcMar>
          </w:tcPr>
          <w:p>
            <w:pPr>
              <w:spacing w:after="0" w:line="240" w:lineRule="auto"/>
            </w:pPr>
            <w:r>
              <w:rPr>
                <w:color w:val="1C2B37"/>
                <w:sz w:val="15"/>
              </w:rPr>
              <w:t>Active program; Flights Sprints 1–2 current.</w:t>
            </w:r>
          </w:p>
        </w:tc>
      </w:tr>
      <w:tr>
        <w:tc>
          <w:tcPr>
            <w:tcW w:type="dxa" w:w="1944"/>
            <w:vAlign w:val="top"/>
            <w:shd w:fill="F5F8FA"/>
            <w:tcMar>
              <w:top w:w="55" w:type="dxa"/>
              <w:start w:w="75" w:type="dxa"/>
              <w:bottom w:w="55" w:type="dxa"/>
              <w:end w:w="75" w:type="dxa"/>
            </w:tcMar>
          </w:tcPr>
          <w:p>
            <w:pPr>
              <w:spacing w:after="0" w:line="240" w:lineRule="auto"/>
            </w:pPr>
            <w:r>
              <w:rPr>
                <w:color w:val="1C2B37"/>
                <w:sz w:val="15"/>
              </w:rPr>
              <w:t>Reliability</w:t>
            </w:r>
          </w:p>
        </w:tc>
        <w:tc>
          <w:tcPr>
            <w:tcW w:type="dxa" w:w="6264"/>
            <w:vAlign w:val="top"/>
            <w:shd w:fill="F5F8FA"/>
            <w:tcMar>
              <w:top w:w="55" w:type="dxa"/>
              <w:start w:w="75" w:type="dxa"/>
              <w:bottom w:w="55" w:type="dxa"/>
              <w:end w:w="75" w:type="dxa"/>
            </w:tcMar>
          </w:tcPr>
          <w:p>
            <w:pPr>
              <w:spacing w:after="0" w:line="240" w:lineRule="auto"/>
            </w:pPr>
            <w:r>
              <w:rPr>
                <w:color w:val="1C2B37"/>
                <w:sz w:val="15"/>
              </w:rPr>
              <w:t>Offline caching, sync reconciliation, comprehensive E2E/visual gates and operational evidence</w:t>
            </w:r>
          </w:p>
        </w:tc>
        <w:tc>
          <w:tcPr>
            <w:tcW w:type="dxa" w:w="2160"/>
            <w:vAlign w:val="top"/>
            <w:shd w:fill="F5F8FA"/>
            <w:tcMar>
              <w:top w:w="55" w:type="dxa"/>
              <w:start w:w="75" w:type="dxa"/>
              <w:bottom w:w="55" w:type="dxa"/>
              <w:end w:w="75" w:type="dxa"/>
            </w:tcMar>
          </w:tcPr>
          <w:p>
            <w:pPr>
              <w:spacing w:after="0" w:line="240" w:lineRule="auto"/>
            </w:pPr>
            <w:r>
              <w:rPr>
                <w:color w:val="1C2B37"/>
                <w:sz w:val="15"/>
              </w:rPr>
              <w:t>Planned / partially scaffolded.</w:t>
            </w:r>
          </w:p>
        </w:tc>
      </w:tr>
      <w:tr>
        <w:tc>
          <w:tcPr>
            <w:tcW w:type="dxa" w:w="1944"/>
            <w:vAlign w:val="top"/>
            <w:tcMar>
              <w:top w:w="55" w:type="dxa"/>
              <w:start w:w="75" w:type="dxa"/>
              <w:bottom w:w="55" w:type="dxa"/>
              <w:end w:w="75" w:type="dxa"/>
            </w:tcMar>
          </w:tcPr>
          <w:p>
            <w:pPr>
              <w:spacing w:after="0" w:line="240" w:lineRule="auto"/>
            </w:pPr>
            <w:r>
              <w:rPr>
                <w:color w:val="1C2B37"/>
                <w:sz w:val="15"/>
              </w:rPr>
              <w:t>Growth &amp; monetization</w:t>
            </w:r>
          </w:p>
        </w:tc>
        <w:tc>
          <w:tcPr>
            <w:tcW w:type="dxa" w:w="6264"/>
            <w:vAlign w:val="top"/>
            <w:tcMar>
              <w:top w:w="55" w:type="dxa"/>
              <w:start w:w="75" w:type="dxa"/>
              <w:bottom w:w="55" w:type="dxa"/>
              <w:end w:w="75" w:type="dxa"/>
            </w:tcMar>
          </w:tcPr>
          <w:p>
            <w:pPr>
              <w:spacing w:after="0" w:line="240" w:lineRule="auto"/>
            </w:pPr>
            <w:r>
              <w:rPr>
                <w:color w:val="1C2B37"/>
                <w:sz w:val="15"/>
              </w:rPr>
              <w:t>Creator sharing, business workspaces/billing, optional partner commerce</w:t>
            </w:r>
          </w:p>
        </w:tc>
        <w:tc>
          <w:tcPr>
            <w:tcW w:type="dxa" w:w="2160"/>
            <w:vAlign w:val="top"/>
            <w:tcMar>
              <w:top w:w="55" w:type="dxa"/>
              <w:start w:w="75" w:type="dxa"/>
              <w:bottom w:w="55" w:type="dxa"/>
              <w:end w:w="75" w:type="dxa"/>
            </w:tcMar>
          </w:tcPr>
          <w:p>
            <w:pPr>
              <w:spacing w:after="0" w:line="240" w:lineRule="auto"/>
            </w:pPr>
            <w:r>
              <w:rPr>
                <w:color w:val="1C2B37"/>
                <w:sz w:val="15"/>
              </w:rPr>
              <w:t>Later; intentionally gated behind trust.</w:t>
            </w:r>
          </w:p>
        </w:tc>
      </w:tr>
    </w:tbl>
    <w:p>
      <w:pPr>
        <w:spacing w:after="0"/>
      </w:pPr>
    </w:p>
    <w:p>
      <w:r>
        <w:br w:type="page"/>
      </w:r>
    </w:p>
    <w:p>
      <w:pPr>
        <w:pStyle w:val="Heading1"/>
      </w:pPr>
      <w:r>
        <w:t>6. Flights delivery: six-sprint program</w:t>
      </w:r>
    </w:p>
    <w:p>
      <w:r>
        <w:t>The authoritative Flights plan runs from 24 August through 13 November 2026 in six proposed two-week sprints. Dates are planning assumptions; technical evidence and acceptance decisions govern the real status.</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2642"/>
        <w:gridCol w:w="2642"/>
        <w:gridCol w:w="2642"/>
        <w:gridCol w:w="2642"/>
      </w:tblGrid>
      <w:tr>
        <w:tc>
          <w:tcPr>
            <w:tcW w:type="dxa" w:w="1656"/>
            <w:shd w:fill="123B5D"/>
            <w:vAlign w:val="center"/>
          </w:tcPr>
          <w:p>
            <w:pPr>
              <w:spacing w:after="0"/>
            </w:pPr>
            <w:r>
              <w:rPr>
                <w:b/>
                <w:color w:val="FFFFFF"/>
                <w:sz w:val="14"/>
              </w:rPr>
              <w:t>Sprint</w:t>
            </w:r>
          </w:p>
        </w:tc>
        <w:tc>
          <w:tcPr>
            <w:tcW w:type="dxa" w:w="3528"/>
            <w:shd w:fill="123B5D"/>
            <w:vAlign w:val="center"/>
          </w:tcPr>
          <w:p>
            <w:pPr>
              <w:spacing w:after="0"/>
            </w:pPr>
            <w:r>
              <w:rPr>
                <w:b/>
                <w:color w:val="FFFFFF"/>
                <w:sz w:val="14"/>
              </w:rPr>
              <w:t>Objective</w:t>
            </w:r>
          </w:p>
        </w:tc>
        <w:tc>
          <w:tcPr>
            <w:tcW w:type="dxa" w:w="2664"/>
            <w:shd w:fill="123B5D"/>
            <w:vAlign w:val="center"/>
          </w:tcPr>
          <w:p>
            <w:pPr>
              <w:spacing w:after="0"/>
            </w:pPr>
            <w:r>
              <w:rPr>
                <w:b/>
                <w:color w:val="FFFFFF"/>
                <w:sz w:val="14"/>
              </w:rPr>
              <w:t>Status as of 2 Sep</w:t>
            </w:r>
          </w:p>
        </w:tc>
        <w:tc>
          <w:tcPr>
            <w:tcW w:type="dxa" w:w="2520"/>
            <w:shd w:fill="123B5D"/>
            <w:vAlign w:val="center"/>
          </w:tcPr>
          <w:p>
            <w:pPr>
              <w:spacing w:after="0"/>
            </w:pPr>
            <w:r>
              <w:rPr>
                <w:b/>
                <w:color w:val="FFFFFF"/>
                <w:sz w:val="14"/>
              </w:rPr>
              <w:t>Exit condition</w:t>
            </w:r>
          </w:p>
        </w:tc>
        <w:trPr>
          <w:tblHeader/>
        </w:trPr>
      </w:tr>
      <w:tr>
        <w:tc>
          <w:tcPr>
            <w:tcW w:type="dxa" w:w="1656"/>
            <w:vAlign w:val="top"/>
            <w:tcMar>
              <w:top w:w="55" w:type="dxa"/>
              <w:start w:w="75" w:type="dxa"/>
              <w:bottom w:w="55" w:type="dxa"/>
              <w:end w:w="75" w:type="dxa"/>
            </w:tcMar>
          </w:tcPr>
          <w:p>
            <w:pPr>
              <w:spacing w:after="0" w:line="240" w:lineRule="auto"/>
            </w:pPr>
            <w:r>
              <w:rPr>
                <w:color w:val="1C2B37"/>
                <w:sz w:val="14"/>
              </w:rPr>
              <w:t>1 — Redirect-only alignment</w:t>
            </w:r>
          </w:p>
        </w:tc>
        <w:tc>
          <w:tcPr>
            <w:tcW w:type="dxa" w:w="3528"/>
            <w:vAlign w:val="top"/>
            <w:tcMar>
              <w:top w:w="55" w:type="dxa"/>
              <w:start w:w="75" w:type="dxa"/>
              <w:bottom w:w="55" w:type="dxa"/>
              <w:end w:w="75" w:type="dxa"/>
            </w:tcMar>
          </w:tcPr>
          <w:p>
            <w:pPr>
              <w:spacing w:after="0" w:line="240" w:lineRule="auto"/>
            </w:pPr>
            <w:r>
              <w:rPr>
                <w:color w:val="1C2B37"/>
                <w:sz w:val="14"/>
              </w:rPr>
              <w:t>Remove public Rovvy checkout paths and misleading booking language.</w:t>
            </w:r>
          </w:p>
        </w:tc>
        <w:tc>
          <w:tcPr>
            <w:tcW w:type="dxa" w:w="2664"/>
            <w:vAlign w:val="top"/>
            <w:tcMar>
              <w:top w:w="55" w:type="dxa"/>
              <w:start w:w="75" w:type="dxa"/>
              <w:bottom w:w="55" w:type="dxa"/>
              <w:end w:w="75" w:type="dxa"/>
            </w:tcMar>
          </w:tcPr>
          <w:p>
            <w:pPr>
              <w:spacing w:after="0" w:line="240" w:lineRule="auto"/>
            </w:pPr>
            <w:r>
              <w:rPr>
                <w:color w:val="1C2B37"/>
                <w:sz w:val="14"/>
              </w:rPr>
              <w:t>Technical Complete; PO Review Pending. Seven goals recorded complete.</w:t>
            </w:r>
          </w:p>
        </w:tc>
        <w:tc>
          <w:tcPr>
            <w:tcW w:type="dxa" w:w="2520"/>
            <w:vAlign w:val="top"/>
            <w:tcMar>
              <w:top w:w="55" w:type="dxa"/>
              <w:start w:w="75" w:type="dxa"/>
              <w:bottom w:w="55" w:type="dxa"/>
              <w:end w:w="75" w:type="dxa"/>
            </w:tcMar>
          </w:tcPr>
          <w:p>
            <w:pPr>
              <w:spacing w:after="0" w:line="240" w:lineRule="auto"/>
            </w:pPr>
            <w:r>
              <w:rPr>
                <w:color w:val="1C2B37"/>
                <w:sz w:val="14"/>
              </w:rPr>
              <w:t>Product Owner accepts the demonstrated redirect-only increment.</w:t>
            </w:r>
          </w:p>
        </w:tc>
      </w:tr>
      <w:tr>
        <w:tc>
          <w:tcPr>
            <w:tcW w:type="dxa" w:w="1656"/>
            <w:vAlign w:val="top"/>
            <w:shd w:fill="F5F8FA"/>
            <w:tcMar>
              <w:top w:w="55" w:type="dxa"/>
              <w:start w:w="75" w:type="dxa"/>
              <w:bottom w:w="55" w:type="dxa"/>
              <w:end w:w="75" w:type="dxa"/>
            </w:tcMar>
          </w:tcPr>
          <w:p>
            <w:pPr>
              <w:spacing w:after="0" w:line="240" w:lineRule="auto"/>
            </w:pPr>
            <w:r>
              <w:rPr>
                <w:color w:val="1C2B37"/>
                <w:sz w:val="14"/>
              </w:rPr>
              <w:t>2 — Provider governance</w:t>
            </w:r>
          </w:p>
        </w:tc>
        <w:tc>
          <w:tcPr>
            <w:tcW w:type="dxa" w:w="3528"/>
            <w:vAlign w:val="top"/>
            <w:shd w:fill="F5F8FA"/>
            <w:tcMar>
              <w:top w:w="55" w:type="dxa"/>
              <w:start w:w="75" w:type="dxa"/>
              <w:bottom w:w="55" w:type="dxa"/>
              <w:end w:w="75" w:type="dxa"/>
            </w:tcMar>
          </w:tcPr>
          <w:p>
            <w:pPr>
              <w:spacing w:after="0" w:line="240" w:lineRule="auto"/>
            </w:pPr>
            <w:r>
              <w:rPr>
                <w:color w:val="1C2B37"/>
                <w:sz w:val="14"/>
              </w:rPr>
              <w:t>Lifecycle, authorization, environment, actionability, safe handoff and partial-result controls.</w:t>
            </w:r>
          </w:p>
        </w:tc>
        <w:tc>
          <w:tcPr>
            <w:tcW w:type="dxa" w:w="2664"/>
            <w:vAlign w:val="top"/>
            <w:shd w:fill="F5F8FA"/>
            <w:tcMar>
              <w:top w:w="55" w:type="dxa"/>
              <w:start w:w="75" w:type="dxa"/>
              <w:bottom w:w="55" w:type="dxa"/>
              <w:end w:w="75" w:type="dxa"/>
            </w:tcMar>
          </w:tcPr>
          <w:p>
            <w:pPr>
              <w:spacing w:after="0" w:line="240" w:lineRule="auto"/>
            </w:pPr>
            <w:r>
              <w:rPr>
                <w:color w:val="1C2B37"/>
                <w:sz w:val="14"/>
              </w:rPr>
              <w:t>12.5% in roadmap; early technical work completed, FL-045 still in progress.</w:t>
            </w:r>
          </w:p>
        </w:tc>
        <w:tc>
          <w:tcPr>
            <w:tcW w:type="dxa" w:w="2520"/>
            <w:vAlign w:val="top"/>
            <w:shd w:fill="F5F8FA"/>
            <w:tcMar>
              <w:top w:w="55" w:type="dxa"/>
              <w:start w:w="75" w:type="dxa"/>
              <w:bottom w:w="55" w:type="dxa"/>
              <w:end w:w="75" w:type="dxa"/>
            </w:tcMar>
          </w:tcPr>
          <w:p>
            <w:pPr>
              <w:spacing w:after="0" w:line="240" w:lineRule="auto"/>
            </w:pPr>
            <w:r>
              <w:rPr>
                <w:color w:val="1C2B37"/>
                <w:sz w:val="14"/>
              </w:rPr>
              <w:t>Only authorized/actionable sellers; HTTPS allowlisted redirects; transparent failure behavior.</w:t>
            </w:r>
          </w:p>
        </w:tc>
      </w:tr>
      <w:tr>
        <w:tc>
          <w:tcPr>
            <w:tcW w:type="dxa" w:w="1656"/>
            <w:vAlign w:val="top"/>
            <w:tcMar>
              <w:top w:w="55" w:type="dxa"/>
              <w:start w:w="75" w:type="dxa"/>
              <w:bottom w:w="55" w:type="dxa"/>
              <w:end w:w="75" w:type="dxa"/>
            </w:tcMar>
          </w:tcPr>
          <w:p>
            <w:pPr>
              <w:spacing w:after="0" w:line="240" w:lineRule="auto"/>
            </w:pPr>
            <w:r>
              <w:rPr>
                <w:color w:val="1C2B37"/>
                <w:sz w:val="14"/>
              </w:rPr>
              <w:t>3 — Aggregation correctness</w:t>
            </w:r>
          </w:p>
        </w:tc>
        <w:tc>
          <w:tcPr>
            <w:tcW w:type="dxa" w:w="3528"/>
            <w:vAlign w:val="top"/>
            <w:tcMar>
              <w:top w:w="55" w:type="dxa"/>
              <w:start w:w="75" w:type="dxa"/>
              <w:bottom w:w="55" w:type="dxa"/>
              <w:end w:w="75" w:type="dxa"/>
            </w:tcMar>
          </w:tcPr>
          <w:p>
            <w:pPr>
              <w:spacing w:after="0" w:line="240" w:lineRule="auto"/>
            </w:pPr>
            <w:r>
              <w:rPr>
                <w:color w:val="1C2B37"/>
                <w:sz w:val="14"/>
              </w:rPr>
              <w:t>Exact fingerprints, deduplication, near-match protection, currency integrity and seller ordering.</w:t>
            </w:r>
          </w:p>
        </w:tc>
        <w:tc>
          <w:tcPr>
            <w:tcW w:type="dxa" w:w="2664"/>
            <w:vAlign w:val="top"/>
            <w:tcMar>
              <w:top w:w="55" w:type="dxa"/>
              <w:start w:w="75" w:type="dxa"/>
              <w:bottom w:w="55" w:type="dxa"/>
              <w:end w:w="75" w:type="dxa"/>
            </w:tcMar>
          </w:tcPr>
          <w:p>
            <w:pPr>
              <w:spacing w:after="0" w:line="240" w:lineRule="auto"/>
            </w:pPr>
            <w:r>
              <w:rPr>
                <w:color w:val="1C2B37"/>
                <w:sz w:val="14"/>
              </w:rPr>
              <w:t>Pending, although some enabling code/tests already exist.</w:t>
            </w:r>
          </w:p>
        </w:tc>
        <w:tc>
          <w:tcPr>
            <w:tcW w:type="dxa" w:w="2520"/>
            <w:vAlign w:val="top"/>
            <w:tcMar>
              <w:top w:w="55" w:type="dxa"/>
              <w:start w:w="75" w:type="dxa"/>
              <w:bottom w:w="55" w:type="dxa"/>
              <w:end w:w="75" w:type="dxa"/>
            </w:tcMar>
          </w:tcPr>
          <w:p>
            <w:pPr>
              <w:spacing w:after="0" w:line="240" w:lineRule="auto"/>
            </w:pPr>
            <w:r>
              <w:rPr>
                <w:color w:val="1C2B37"/>
                <w:sz w:val="14"/>
              </w:rPr>
              <w:t>Same itinerary groups; materially different or expired journeys do not.</w:t>
            </w:r>
          </w:p>
        </w:tc>
      </w:tr>
      <w:tr>
        <w:tc>
          <w:tcPr>
            <w:tcW w:type="dxa" w:w="1656"/>
            <w:vAlign w:val="top"/>
            <w:shd w:fill="F5F8FA"/>
            <w:tcMar>
              <w:top w:w="55" w:type="dxa"/>
              <w:start w:w="75" w:type="dxa"/>
              <w:bottom w:w="55" w:type="dxa"/>
              <w:end w:w="75" w:type="dxa"/>
            </w:tcMar>
          </w:tcPr>
          <w:p>
            <w:pPr>
              <w:spacing w:after="0" w:line="240" w:lineRule="auto"/>
            </w:pPr>
            <w:r>
              <w:rPr>
                <w:color w:val="1C2B37"/>
                <w:sz w:val="14"/>
              </w:rPr>
              <w:t>4 — Results &amp; group usefulness</w:t>
            </w:r>
          </w:p>
        </w:tc>
        <w:tc>
          <w:tcPr>
            <w:tcW w:type="dxa" w:w="3528"/>
            <w:vAlign w:val="top"/>
            <w:shd w:fill="F5F8FA"/>
            <w:tcMar>
              <w:top w:w="55" w:type="dxa"/>
              <w:start w:w="75" w:type="dxa"/>
              <w:bottom w:w="55" w:type="dxa"/>
              <w:end w:w="75" w:type="dxa"/>
            </w:tcMar>
          </w:tcPr>
          <w:p>
            <w:pPr>
              <w:spacing w:after="0" w:line="240" w:lineRule="auto"/>
            </w:pPr>
            <w:r>
              <w:rPr>
                <w:color w:val="1C2B37"/>
                <w:sz w:val="14"/>
              </w:rPr>
              <w:t>Compact hierarchy, coverage/freshness, recommendation reasons, accessibility and Trip Space attachment.</w:t>
            </w:r>
          </w:p>
        </w:tc>
        <w:tc>
          <w:tcPr>
            <w:tcW w:type="dxa" w:w="2664"/>
            <w:vAlign w:val="top"/>
            <w:shd w:fill="F5F8FA"/>
            <w:tcMar>
              <w:top w:w="55" w:type="dxa"/>
              <w:start w:w="75" w:type="dxa"/>
              <w:bottom w:w="55" w:type="dxa"/>
              <w:end w:w="75" w:type="dxa"/>
            </w:tcMar>
          </w:tcPr>
          <w:p>
            <w:pPr>
              <w:spacing w:after="0" w:line="240" w:lineRule="auto"/>
            </w:pPr>
            <w:r>
              <w:rPr>
                <w:color w:val="1C2B37"/>
                <w:sz w:val="14"/>
              </w:rPr>
              <w:t>Pending; parts of results UI and curation already exist.</w:t>
            </w:r>
          </w:p>
        </w:tc>
        <w:tc>
          <w:tcPr>
            <w:tcW w:type="dxa" w:w="2520"/>
            <w:vAlign w:val="top"/>
            <w:shd w:fill="F5F8FA"/>
            <w:tcMar>
              <w:top w:w="55" w:type="dxa"/>
              <w:start w:w="75" w:type="dxa"/>
              <w:bottom w:w="55" w:type="dxa"/>
              <w:end w:w="75" w:type="dxa"/>
            </w:tcMar>
          </w:tcPr>
          <w:p>
            <w:pPr>
              <w:spacing w:after="0" w:line="240" w:lineRule="auto"/>
            </w:pPr>
            <w:r>
              <w:rPr>
                <w:color w:val="1C2B37"/>
                <w:sz w:val="14"/>
              </w:rPr>
              <w:t>Accessible decisions for solo/group users with honest provenance.</w:t>
            </w:r>
          </w:p>
        </w:tc>
      </w:tr>
      <w:tr>
        <w:tc>
          <w:tcPr>
            <w:tcW w:type="dxa" w:w="1656"/>
            <w:vAlign w:val="top"/>
            <w:tcMar>
              <w:top w:w="55" w:type="dxa"/>
              <w:start w:w="75" w:type="dxa"/>
              <w:bottom w:w="55" w:type="dxa"/>
              <w:end w:w="75" w:type="dxa"/>
            </w:tcMar>
          </w:tcPr>
          <w:p>
            <w:pPr>
              <w:spacing w:after="0" w:line="240" w:lineRule="auto"/>
            </w:pPr>
            <w:r>
              <w:rPr>
                <w:color w:val="1C2B37"/>
                <w:sz w:val="14"/>
              </w:rPr>
              <w:t>5 — First authorized source</w:t>
            </w:r>
          </w:p>
        </w:tc>
        <w:tc>
          <w:tcPr>
            <w:tcW w:type="dxa" w:w="3528"/>
            <w:vAlign w:val="top"/>
            <w:tcMar>
              <w:top w:w="55" w:type="dxa"/>
              <w:start w:w="75" w:type="dxa"/>
              <w:bottom w:w="55" w:type="dxa"/>
              <w:end w:w="75" w:type="dxa"/>
            </w:tcMar>
          </w:tcPr>
          <w:p>
            <w:pPr>
              <w:spacing w:after="0" w:line="240" w:lineRule="auto"/>
            </w:pPr>
            <w:r>
              <w:rPr>
                <w:color w:val="1C2B37"/>
                <w:sz w:val="14"/>
              </w:rPr>
              <w:t>Finish provider-neutral adapter gate and connect one lawful evaluation source.</w:t>
            </w:r>
          </w:p>
        </w:tc>
        <w:tc>
          <w:tcPr>
            <w:tcW w:type="dxa" w:w="2664"/>
            <w:vAlign w:val="top"/>
            <w:tcMar>
              <w:top w:w="55" w:type="dxa"/>
              <w:start w:w="75" w:type="dxa"/>
              <w:bottom w:w="55" w:type="dxa"/>
              <w:end w:w="75" w:type="dxa"/>
            </w:tcMar>
          </w:tcPr>
          <w:p>
            <w:pPr>
              <w:spacing w:after="0" w:line="240" w:lineRule="auto"/>
            </w:pPr>
            <w:r>
              <w:rPr>
                <w:color w:val="1C2B37"/>
                <w:sz w:val="14"/>
              </w:rPr>
              <w:t>Pending; provider access work is dependency-blocked.</w:t>
            </w:r>
          </w:p>
        </w:tc>
        <w:tc>
          <w:tcPr>
            <w:tcW w:type="dxa" w:w="2520"/>
            <w:vAlign w:val="top"/>
            <w:tcMar>
              <w:top w:w="55" w:type="dxa"/>
              <w:start w:w="75" w:type="dxa"/>
              <w:bottom w:w="55" w:type="dxa"/>
              <w:end w:w="75" w:type="dxa"/>
            </w:tcMar>
          </w:tcPr>
          <w:p>
            <w:pPr>
              <w:spacing w:after="0" w:line="240" w:lineRule="auto"/>
            </w:pPr>
            <w:r>
              <w:rPr>
                <w:color w:val="1C2B37"/>
                <w:sz w:val="14"/>
              </w:rPr>
              <w:t>One authorized source yields permitted offers and itinerary-specific handoff.</w:t>
            </w:r>
          </w:p>
        </w:tc>
      </w:tr>
      <w:tr>
        <w:tc>
          <w:tcPr>
            <w:tcW w:type="dxa" w:w="1656"/>
            <w:vAlign w:val="top"/>
            <w:shd w:fill="F5F8FA"/>
            <w:tcMar>
              <w:top w:w="55" w:type="dxa"/>
              <w:start w:w="75" w:type="dxa"/>
              <w:bottom w:w="55" w:type="dxa"/>
              <w:end w:w="75" w:type="dxa"/>
            </w:tcMar>
          </w:tcPr>
          <w:p>
            <w:pPr>
              <w:spacing w:after="0" w:line="240" w:lineRule="auto"/>
            </w:pPr>
            <w:r>
              <w:rPr>
                <w:color w:val="1C2B37"/>
                <w:sz w:val="14"/>
              </w:rPr>
              <w:t>6 — Hardening &amp; evidence</w:t>
            </w:r>
          </w:p>
        </w:tc>
        <w:tc>
          <w:tcPr>
            <w:tcW w:type="dxa" w:w="3528"/>
            <w:vAlign w:val="top"/>
            <w:shd w:fill="F5F8FA"/>
            <w:tcMar>
              <w:top w:w="55" w:type="dxa"/>
              <w:start w:w="75" w:type="dxa"/>
              <w:bottom w:w="55" w:type="dxa"/>
              <w:end w:w="75" w:type="dxa"/>
            </w:tcMar>
          </w:tcPr>
          <w:p>
            <w:pPr>
              <w:spacing w:after="0" w:line="240" w:lineRule="auto"/>
            </w:pPr>
            <w:r>
              <w:rPr>
                <w:color w:val="1C2B37"/>
                <w:sz w:val="14"/>
              </w:rPr>
              <w:t>Unified release command, security/performance/failure testing, demo, provider brief and release ownership.</w:t>
            </w:r>
          </w:p>
        </w:tc>
        <w:tc>
          <w:tcPr>
            <w:tcW w:type="dxa" w:w="2664"/>
            <w:vAlign w:val="top"/>
            <w:shd w:fill="F5F8FA"/>
            <w:tcMar>
              <w:top w:w="55" w:type="dxa"/>
              <w:start w:w="75" w:type="dxa"/>
              <w:bottom w:w="55" w:type="dxa"/>
              <w:end w:w="75" w:type="dxa"/>
            </w:tcMar>
          </w:tcPr>
          <w:p>
            <w:pPr>
              <w:spacing w:after="0" w:line="240" w:lineRule="auto"/>
            </w:pPr>
            <w:r>
              <w:rPr>
                <w:color w:val="1C2B37"/>
                <w:sz w:val="14"/>
              </w:rPr>
              <w:t>Pending.</w:t>
            </w:r>
          </w:p>
        </w:tc>
        <w:tc>
          <w:tcPr>
            <w:tcW w:type="dxa" w:w="2520"/>
            <w:vAlign w:val="top"/>
            <w:shd w:fill="F5F8FA"/>
            <w:tcMar>
              <w:top w:w="55" w:type="dxa"/>
              <w:start w:w="75" w:type="dxa"/>
              <w:bottom w:w="55" w:type="dxa"/>
              <w:end w:w="75" w:type="dxa"/>
            </w:tcMar>
          </w:tcPr>
          <w:p>
            <w:pPr>
              <w:spacing w:after="0" w:line="240" w:lineRule="auto"/>
            </w:pPr>
            <w:r>
              <w:rPr>
                <w:color w:val="1C2B37"/>
                <w:sz w:val="14"/>
              </w:rPr>
              <w:t>Stable non-commercial preview with approval and rollback evidence.</w:t>
            </w:r>
          </w:p>
        </w:tc>
      </w:tr>
    </w:tbl>
    <w:p>
      <w:pPr>
        <w:spacing w:after="0"/>
      </w:pPr>
    </w:p>
    <w:p>
      <w:pPr>
        <w:pStyle w:val="Heading1"/>
      </w:pPr>
      <w:r>
        <w:t>7. Flights work verified to date</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2232"/>
            <w:shd w:fill="123B5D"/>
            <w:vAlign w:val="center"/>
          </w:tcPr>
          <w:p>
            <w:pPr>
              <w:spacing w:after="0"/>
            </w:pPr>
            <w:r>
              <w:rPr>
                <w:b/>
                <w:color w:val="FFFFFF"/>
                <w:sz w:val="13"/>
              </w:rPr>
              <w:t>Delivered control</w:t>
            </w:r>
          </w:p>
        </w:tc>
        <w:tc>
          <w:tcPr>
            <w:tcW w:type="dxa" w:w="5544"/>
            <w:shd w:fill="123B5D"/>
            <w:vAlign w:val="center"/>
          </w:tcPr>
          <w:p>
            <w:pPr>
              <w:spacing w:after="0"/>
            </w:pPr>
            <w:r>
              <w:rPr>
                <w:b/>
                <w:color w:val="FFFFFF"/>
                <w:sz w:val="13"/>
              </w:rPr>
              <w:t>Verified result</w:t>
            </w:r>
          </w:p>
        </w:tc>
        <w:tc>
          <w:tcPr>
            <w:tcW w:type="dxa" w:w="2592"/>
            <w:shd w:fill="123B5D"/>
            <w:vAlign w:val="center"/>
          </w:tcPr>
          <w:p>
            <w:pPr>
              <w:spacing w:after="0"/>
            </w:pPr>
            <w:r>
              <w:rPr>
                <w:b/>
                <w:color w:val="FFFFFF"/>
                <w:sz w:val="13"/>
              </w:rPr>
              <w:t>Residual caveat</w:t>
            </w:r>
          </w:p>
        </w:tc>
        <w:trPr>
          <w:tblHeader/>
        </w:trPr>
      </w:tr>
      <w:tr>
        <w:tc>
          <w:tcPr>
            <w:tcW w:type="dxa" w:w="2232"/>
            <w:vAlign w:val="top"/>
            <w:tcMar>
              <w:top w:w="55" w:type="dxa"/>
              <w:start w:w="75" w:type="dxa"/>
              <w:bottom w:w="55" w:type="dxa"/>
              <w:end w:w="75" w:type="dxa"/>
            </w:tcMar>
          </w:tcPr>
          <w:p>
            <w:pPr>
              <w:spacing w:after="0" w:line="240" w:lineRule="auto"/>
            </w:pPr>
            <w:r>
              <w:rPr>
                <w:color w:val="1C2B37"/>
                <w:sz w:val="13"/>
              </w:rPr>
              <w:t>Redirect-only public flow</w:t>
            </w:r>
          </w:p>
        </w:tc>
        <w:tc>
          <w:tcPr>
            <w:tcW w:type="dxa" w:w="5544"/>
            <w:vAlign w:val="top"/>
            <w:tcMar>
              <w:top w:w="55" w:type="dxa"/>
              <w:start w:w="75" w:type="dxa"/>
              <w:bottom w:w="55" w:type="dxa"/>
              <w:end w:w="75" w:type="dxa"/>
            </w:tcMar>
          </w:tcPr>
          <w:p>
            <w:pPr>
              <w:spacing w:after="0" w:line="240" w:lineRule="auto"/>
            </w:pPr>
            <w:r>
              <w:rPr>
                <w:color w:val="1C2B37"/>
                <w:sz w:val="13"/>
              </w:rPr>
              <w:t>Results use external redirect only when a provider URL exists; missing links are unavailable.</w:t>
            </w:r>
          </w:p>
        </w:tc>
        <w:tc>
          <w:tcPr>
            <w:tcW w:type="dxa" w:w="2592"/>
            <w:vAlign w:val="top"/>
            <w:tcMar>
              <w:top w:w="55" w:type="dxa"/>
              <w:start w:w="75" w:type="dxa"/>
              <w:bottom w:w="55" w:type="dxa"/>
              <w:end w:w="75" w:type="dxa"/>
            </w:tcMar>
          </w:tcPr>
          <w:p>
            <w:pPr>
              <w:spacing w:after="0" w:line="240" w:lineRule="auto"/>
            </w:pPr>
            <w:r>
              <w:rPr>
                <w:color w:val="1C2B37"/>
                <w:sz w:val="13"/>
              </w:rPr>
              <w:t>Production handoff still requires an authorized link.</w:t>
            </w:r>
          </w:p>
        </w:tc>
      </w:tr>
      <w:tr>
        <w:tc>
          <w:tcPr>
            <w:tcW w:type="dxa" w:w="2232"/>
            <w:vAlign w:val="top"/>
            <w:shd w:fill="F5F8FA"/>
            <w:tcMar>
              <w:top w:w="55" w:type="dxa"/>
              <w:start w:w="75" w:type="dxa"/>
              <w:bottom w:w="55" w:type="dxa"/>
              <w:end w:w="75" w:type="dxa"/>
            </w:tcMar>
          </w:tcPr>
          <w:p>
            <w:pPr>
              <w:spacing w:after="0" w:line="240" w:lineRule="auto"/>
            </w:pPr>
            <w:r>
              <w:rPr>
                <w:color w:val="1C2B37"/>
                <w:sz w:val="13"/>
              </w:rPr>
              <w:t>Checkout route guards</w:t>
            </w:r>
          </w:p>
        </w:tc>
        <w:tc>
          <w:tcPr>
            <w:tcW w:type="dxa" w:w="5544"/>
            <w:vAlign w:val="top"/>
            <w:shd w:fill="F5F8FA"/>
            <w:tcMar>
              <w:top w:w="55" w:type="dxa"/>
              <w:start w:w="75" w:type="dxa"/>
              <w:bottom w:w="55" w:type="dxa"/>
              <w:end w:w="75" w:type="dxa"/>
            </w:tcMar>
          </w:tcPr>
          <w:p>
            <w:pPr>
              <w:spacing w:after="0" w:line="240" w:lineRule="auto"/>
            </w:pPr>
            <w:r>
              <w:rPr>
                <w:color w:val="1C2B37"/>
                <w:sz w:val="13"/>
              </w:rPr>
              <w:t>Offer, checkout and booking route families are disabled in public product mode.</w:t>
            </w:r>
          </w:p>
        </w:tc>
        <w:tc>
          <w:tcPr>
            <w:tcW w:type="dxa" w:w="2592"/>
            <w:vAlign w:val="top"/>
            <w:shd w:fill="F5F8FA"/>
            <w:tcMar>
              <w:top w:w="55" w:type="dxa"/>
              <w:start w:w="75" w:type="dxa"/>
              <w:bottom w:w="55" w:type="dxa"/>
              <w:end w:w="75" w:type="dxa"/>
            </w:tcMar>
          </w:tcPr>
          <w:p>
            <w:pPr>
              <w:spacing w:after="0" w:line="240" w:lineRule="auto"/>
            </w:pPr>
            <w:r>
              <w:rPr>
                <w:color w:val="1C2B37"/>
                <w:sz w:val="13"/>
              </w:rPr>
              <w:t>Add stronger behavioral router/component tests during hardening.</w:t>
            </w:r>
          </w:p>
        </w:tc>
      </w:tr>
      <w:tr>
        <w:tc>
          <w:tcPr>
            <w:tcW w:type="dxa" w:w="2232"/>
            <w:vAlign w:val="top"/>
            <w:tcMar>
              <w:top w:w="55" w:type="dxa"/>
              <w:start w:w="75" w:type="dxa"/>
              <w:bottom w:w="55" w:type="dxa"/>
              <w:end w:w="75" w:type="dxa"/>
            </w:tcMar>
          </w:tcPr>
          <w:p>
            <w:pPr>
              <w:spacing w:after="0" w:line="240" w:lineRule="auto"/>
            </w:pPr>
            <w:r>
              <w:rPr>
                <w:color w:val="1C2B37"/>
                <w:sz w:val="13"/>
              </w:rPr>
              <w:t>Trust and copy</w:t>
            </w:r>
          </w:p>
        </w:tc>
        <w:tc>
          <w:tcPr>
            <w:tcW w:type="dxa" w:w="5544"/>
            <w:vAlign w:val="top"/>
            <w:tcMar>
              <w:top w:w="55" w:type="dxa"/>
              <w:start w:w="75" w:type="dxa"/>
              <w:bottom w:w="55" w:type="dxa"/>
              <w:end w:w="75" w:type="dxa"/>
            </w:tcMar>
          </w:tcPr>
          <w:p>
            <w:pPr>
              <w:spacing w:after="0" w:line="240" w:lineRule="auto"/>
            </w:pPr>
            <w:r>
              <w:rPr>
                <w:color w:val="1C2B37"/>
                <w:sz w:val="13"/>
              </w:rPr>
              <w:t>Test inventory disclosure and seller-owned payment/support language are visible; guest comparison does not require login.</w:t>
            </w:r>
          </w:p>
        </w:tc>
        <w:tc>
          <w:tcPr>
            <w:tcW w:type="dxa" w:w="2592"/>
            <w:vAlign w:val="top"/>
            <w:tcMar>
              <w:top w:w="55" w:type="dxa"/>
              <w:start w:w="75" w:type="dxa"/>
              <w:bottom w:w="55" w:type="dxa"/>
              <w:end w:w="75" w:type="dxa"/>
            </w:tcMar>
          </w:tcPr>
          <w:p>
            <w:pPr>
              <w:spacing w:after="0" w:line="240" w:lineRule="auto"/>
            </w:pPr>
            <w:r>
              <w:rPr>
                <w:color w:val="1C2B37"/>
                <w:sz w:val="13"/>
              </w:rPr>
              <w:t>Historical checkout code remains dormant behind guards.</w:t>
            </w:r>
          </w:p>
        </w:tc>
      </w:tr>
      <w:tr>
        <w:tc>
          <w:tcPr>
            <w:tcW w:type="dxa" w:w="2232"/>
            <w:vAlign w:val="top"/>
            <w:shd w:fill="F5F8FA"/>
            <w:tcMar>
              <w:top w:w="55" w:type="dxa"/>
              <w:start w:w="75" w:type="dxa"/>
              <w:bottom w:w="55" w:type="dxa"/>
              <w:end w:w="75" w:type="dxa"/>
            </w:tcMar>
          </w:tcPr>
          <w:p>
            <w:pPr>
              <w:spacing w:after="0" w:line="240" w:lineRule="auto"/>
            </w:pPr>
            <w:r>
              <w:rPr>
                <w:color w:val="1C2B37"/>
                <w:sz w:val="13"/>
              </w:rPr>
              <w:t>Provider request safety</w:t>
            </w:r>
          </w:p>
        </w:tc>
        <w:tc>
          <w:tcPr>
            <w:tcW w:type="dxa" w:w="5544"/>
            <w:vAlign w:val="top"/>
            <w:shd w:fill="F5F8FA"/>
            <w:tcMar>
              <w:top w:w="55" w:type="dxa"/>
              <w:start w:w="75" w:type="dxa"/>
              <w:bottom w:w="55" w:type="dxa"/>
              <w:end w:w="75" w:type="dxa"/>
            </w:tcMar>
          </w:tcPr>
          <w:p>
            <w:pPr>
              <w:spacing w:after="0" w:line="240" w:lineRule="auto"/>
            </w:pPr>
            <w:r>
              <w:rPr>
                <w:color w:val="1C2B37"/>
                <w:sz w:val="13"/>
              </w:rPr>
              <w:t>Duffel maximum connections are capped at its supported limit of two while Rovvy retains provider-neutral inputs.</w:t>
            </w:r>
          </w:p>
        </w:tc>
        <w:tc>
          <w:tcPr>
            <w:tcW w:type="dxa" w:w="2592"/>
            <w:vAlign w:val="top"/>
            <w:shd w:fill="F5F8FA"/>
            <w:tcMar>
              <w:top w:w="55" w:type="dxa"/>
              <w:start w:w="75" w:type="dxa"/>
              <w:bottom w:w="55" w:type="dxa"/>
              <w:end w:w="75" w:type="dxa"/>
            </w:tcMar>
          </w:tcPr>
          <w:p>
            <w:pPr>
              <w:spacing w:after="0" w:line="240" w:lineRule="auto"/>
            </w:pPr>
            <w:r>
              <w:rPr>
                <w:color w:val="1C2B37"/>
                <w:sz w:val="13"/>
              </w:rPr>
              <w:t>Duffel sandbox has no redirect-only seller handoff.</w:t>
            </w:r>
          </w:p>
        </w:tc>
      </w:tr>
      <w:tr>
        <w:tc>
          <w:tcPr>
            <w:tcW w:type="dxa" w:w="2232"/>
            <w:vAlign w:val="top"/>
            <w:tcMar>
              <w:top w:w="55" w:type="dxa"/>
              <w:start w:w="75" w:type="dxa"/>
              <w:bottom w:w="55" w:type="dxa"/>
              <w:end w:w="75" w:type="dxa"/>
            </w:tcMar>
          </w:tcPr>
          <w:p>
            <w:pPr>
              <w:spacing w:after="0" w:line="240" w:lineRule="auto"/>
            </w:pPr>
            <w:r>
              <w:rPr>
                <w:color w:val="1C2B37"/>
                <w:sz w:val="13"/>
              </w:rPr>
              <w:t>Zero-result recovery</w:t>
            </w:r>
          </w:p>
        </w:tc>
        <w:tc>
          <w:tcPr>
            <w:tcW w:type="dxa" w:w="5544"/>
            <w:vAlign w:val="top"/>
            <w:tcMar>
              <w:top w:w="55" w:type="dxa"/>
              <w:start w:w="75" w:type="dxa"/>
              <w:bottom w:w="55" w:type="dxa"/>
              <w:end w:w="75" w:type="dxa"/>
            </w:tcMar>
          </w:tcPr>
          <w:p>
            <w:pPr>
              <w:spacing w:after="0" w:line="240" w:lineRule="auto"/>
            </w:pPr>
            <w:r>
              <w:rPr>
                <w:color w:val="1C2B37"/>
                <w:sz w:val="13"/>
              </w:rPr>
              <w:t>Exact search can propose bounded nearby/gateway searches; HLC→KHG produced seven transparent alternatives.</w:t>
            </w:r>
          </w:p>
        </w:tc>
        <w:tc>
          <w:tcPr>
            <w:tcW w:type="dxa" w:w="2592"/>
            <w:vAlign w:val="top"/>
            <w:tcMar>
              <w:top w:w="55" w:type="dxa"/>
              <w:start w:w="75" w:type="dxa"/>
              <w:bottom w:w="55" w:type="dxa"/>
              <w:end w:w="75" w:type="dxa"/>
            </w:tcMar>
          </w:tcPr>
          <w:p>
            <w:pPr>
              <w:spacing w:after="0" w:line="240" w:lineRule="auto"/>
            </w:pPr>
            <w:r>
              <w:rPr>
                <w:color w:val="1C2B37"/>
                <w:sz w:val="13"/>
              </w:rPr>
              <w:t>Alternatives are new searches, not confirmed itineraries or prices.</w:t>
            </w:r>
          </w:p>
        </w:tc>
      </w:tr>
      <w:tr>
        <w:tc>
          <w:tcPr>
            <w:tcW w:type="dxa" w:w="2232"/>
            <w:vAlign w:val="top"/>
            <w:shd w:fill="F5F8FA"/>
            <w:tcMar>
              <w:top w:w="55" w:type="dxa"/>
              <w:start w:w="75" w:type="dxa"/>
              <w:bottom w:w="55" w:type="dxa"/>
              <w:end w:w="75" w:type="dxa"/>
            </w:tcMar>
          </w:tcPr>
          <w:p>
            <w:pPr>
              <w:spacing w:after="0" w:line="240" w:lineRule="auto"/>
            </w:pPr>
            <w:r>
              <w:rPr>
                <w:color w:val="1C2B37"/>
                <w:sz w:val="13"/>
              </w:rPr>
              <w:t>Data integrity</w:t>
            </w:r>
          </w:p>
        </w:tc>
        <w:tc>
          <w:tcPr>
            <w:tcW w:type="dxa" w:w="5544"/>
            <w:vAlign w:val="top"/>
            <w:shd w:fill="F5F8FA"/>
            <w:tcMar>
              <w:top w:w="55" w:type="dxa"/>
              <w:start w:w="75" w:type="dxa"/>
              <w:bottom w:w="55" w:type="dxa"/>
              <w:end w:w="75" w:type="dxa"/>
            </w:tcMar>
          </w:tcPr>
          <w:p>
            <w:pPr>
              <w:spacing w:after="0" w:line="240" w:lineRule="auto"/>
            </w:pPr>
            <w:r>
              <w:rPr>
                <w:color w:val="1C2B37"/>
                <w:sz w:val="13"/>
              </w:rPr>
              <w:t>Airport substitutions are excluded from exact results; provider-reported currency is retained; recovery objects contain no fabricated price.</w:t>
            </w:r>
          </w:p>
        </w:tc>
        <w:tc>
          <w:tcPr>
            <w:tcW w:type="dxa" w:w="2592"/>
            <w:vAlign w:val="top"/>
            <w:shd w:fill="F5F8FA"/>
            <w:tcMar>
              <w:top w:w="55" w:type="dxa"/>
              <w:start w:w="75" w:type="dxa"/>
              <w:bottom w:w="55" w:type="dxa"/>
              <w:end w:w="75" w:type="dxa"/>
            </w:tcMar>
          </w:tcPr>
          <w:p>
            <w:pPr>
              <w:spacing w:after="0" w:line="240" w:lineRule="auto"/>
            </w:pPr>
            <w:r>
              <w:rPr>
                <w:color w:val="1C2B37"/>
                <w:sz w:val="13"/>
              </w:rPr>
              <w:t>No exchange-rate normalization service yet.</w:t>
            </w:r>
          </w:p>
        </w:tc>
      </w:tr>
      <w:tr>
        <w:tc>
          <w:tcPr>
            <w:tcW w:type="dxa" w:w="2232"/>
            <w:vAlign w:val="top"/>
            <w:tcMar>
              <w:top w:w="55" w:type="dxa"/>
              <w:start w:w="75" w:type="dxa"/>
              <w:bottom w:w="55" w:type="dxa"/>
              <w:end w:w="75" w:type="dxa"/>
            </w:tcMar>
          </w:tcPr>
          <w:p>
            <w:pPr>
              <w:spacing w:after="0" w:line="240" w:lineRule="auto"/>
            </w:pPr>
            <w:r>
              <w:rPr>
                <w:color w:val="1C2B37"/>
                <w:sz w:val="13"/>
              </w:rPr>
              <w:t>Travelpayouts white label</w:t>
            </w:r>
          </w:p>
        </w:tc>
        <w:tc>
          <w:tcPr>
            <w:tcW w:type="dxa" w:w="5544"/>
            <w:vAlign w:val="top"/>
            <w:tcMar>
              <w:top w:w="55" w:type="dxa"/>
              <w:start w:w="75" w:type="dxa"/>
              <w:bottom w:w="55" w:type="dxa"/>
              <w:end w:w="75" w:type="dxa"/>
            </w:tcMar>
          </w:tcPr>
          <w:p>
            <w:pPr>
              <w:spacing w:after="0" w:line="240" w:lineRule="auto"/>
            </w:pPr>
            <w:r>
              <w:rPr>
                <w:color w:val="1C2B37"/>
                <w:sz w:val="13"/>
              </w:rPr>
              <w:t>Official WL 21482 embed integrated with separate search/results containers, provider-owned disclosure, responsive loading and script-error fallback; focused ESLint passed.</w:t>
            </w:r>
          </w:p>
        </w:tc>
        <w:tc>
          <w:tcPr>
            <w:tcW w:type="dxa" w:w="2592"/>
            <w:vAlign w:val="top"/>
            <w:tcMar>
              <w:top w:w="55" w:type="dxa"/>
              <w:start w:w="75" w:type="dxa"/>
              <w:bottom w:w="55" w:type="dxa"/>
              <w:end w:w="75" w:type="dxa"/>
            </w:tcMar>
          </w:tcPr>
          <w:p>
            <w:pPr>
              <w:spacing w:after="0" w:line="240" w:lineRule="auto"/>
            </w:pPr>
            <w:r>
              <w:rPr>
                <w:color w:val="1C2B37"/>
                <w:sz w:val="13"/>
              </w:rPr>
              <w:t>Configured for rovvy.app; localhost cannot prove production rendering or outbound handoff.</w:t>
            </w:r>
          </w:p>
        </w:tc>
      </w:tr>
      <w:tr>
        <w:tc>
          <w:tcPr>
            <w:tcW w:type="dxa" w:w="2232"/>
            <w:vAlign w:val="top"/>
            <w:shd w:fill="F5F8FA"/>
            <w:tcMar>
              <w:top w:w="55" w:type="dxa"/>
              <w:start w:w="75" w:type="dxa"/>
              <w:bottom w:w="55" w:type="dxa"/>
              <w:end w:w="75" w:type="dxa"/>
            </w:tcMar>
          </w:tcPr>
          <w:p>
            <w:pPr>
              <w:spacing w:after="0" w:line="240" w:lineRule="auto"/>
            </w:pPr>
            <w:r>
              <w:rPr>
                <w:color w:val="1C2B37"/>
                <w:sz w:val="13"/>
              </w:rPr>
              <w:t>Provider probes</w:t>
            </w:r>
          </w:p>
        </w:tc>
        <w:tc>
          <w:tcPr>
            <w:tcW w:type="dxa" w:w="5544"/>
            <w:vAlign w:val="top"/>
            <w:shd w:fill="F5F8FA"/>
            <w:tcMar>
              <w:top w:w="55" w:type="dxa"/>
              <w:start w:w="75" w:type="dxa"/>
              <w:bottom w:w="55" w:type="dxa"/>
              <w:end w:w="75" w:type="dxa"/>
            </w:tcMar>
          </w:tcPr>
          <w:p>
            <w:pPr>
              <w:spacing w:after="0" w:line="240" w:lineRule="auto"/>
            </w:pPr>
            <w:r>
              <w:rPr>
                <w:color w:val="1C2B37"/>
                <w:sz w:val="13"/>
              </w:rPr>
              <w:t>Duffel sandbox search passed; Travelpayouts authenticated but returned zero cached fares on audited routes; Kiwi key returned HTTP 401.</w:t>
            </w:r>
          </w:p>
        </w:tc>
        <w:tc>
          <w:tcPr>
            <w:tcW w:type="dxa" w:w="2592"/>
            <w:vAlign w:val="top"/>
            <w:shd w:fill="F5F8FA"/>
            <w:tcMar>
              <w:top w:w="55" w:type="dxa"/>
              <w:start w:w="75" w:type="dxa"/>
              <w:bottom w:w="55" w:type="dxa"/>
              <w:end w:w="75" w:type="dxa"/>
            </w:tcMar>
          </w:tcPr>
          <w:p>
            <w:pPr>
              <w:spacing w:after="0" w:line="240" w:lineRule="auto"/>
            </w:pPr>
            <w:r>
              <w:rPr>
                <w:color w:val="1C2B37"/>
                <w:sz w:val="13"/>
              </w:rPr>
              <w:t>Zero of three audited providers was then eligible as a live selectable redirect seller.</w:t>
            </w:r>
          </w:p>
        </w:tc>
      </w:tr>
    </w:tbl>
    <w:p>
      <w:pPr>
        <w:spacing w:after="0"/>
      </w:pPr>
    </w:p>
    <w:p>
      <w:pPr>
        <w:pStyle w:val="Heading1"/>
      </w:pPr>
      <w:r>
        <w:t>8. Test evidence already recorded</w:t>
      </w:r>
    </w:p>
    <w:p>
      <w:r>
        <w:t>Sprint 1 evidence records TypeScript with zero errors, 47 Vitest files / 239 tests passing, 57 focused backend tests passing, and the full backend suite at 872 passed / 4 skipped. Sprint 2 recovery records 33 focused backend tests and TypeScript passing. The current repository contains 100 backend test files and 47 frontend test/spec files. These are historical verified results from the project records; this report generation did not rerun the entire suite.</w:t>
      </w:r>
    </w:p>
    <w:p>
      <w:r>
        <w:br w:type="page"/>
      </w:r>
    </w:p>
    <w:p>
      <w:pPr>
        <w:pStyle w:val="Heading1"/>
      </w:pPr>
      <w:r>
        <w:t>9. Findings, gaps and unresolved risks</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2520"/>
            <w:shd w:fill="123B5D"/>
            <w:vAlign w:val="center"/>
          </w:tcPr>
          <w:p>
            <w:pPr>
              <w:spacing w:after="0"/>
            </w:pPr>
            <w:r>
              <w:rPr>
                <w:b/>
                <w:color w:val="FFFFFF"/>
                <w:sz w:val="13"/>
              </w:rPr>
              <w:t>Finding / risk</w:t>
            </w:r>
          </w:p>
        </w:tc>
        <w:tc>
          <w:tcPr>
            <w:tcW w:type="dxa" w:w="3960"/>
            <w:shd w:fill="123B5D"/>
            <w:vAlign w:val="center"/>
          </w:tcPr>
          <w:p>
            <w:pPr>
              <w:spacing w:after="0"/>
            </w:pPr>
            <w:r>
              <w:rPr>
                <w:b/>
                <w:color w:val="FFFFFF"/>
                <w:sz w:val="13"/>
              </w:rPr>
              <w:t>Why it matters</w:t>
            </w:r>
          </w:p>
        </w:tc>
        <w:tc>
          <w:tcPr>
            <w:tcW w:type="dxa" w:w="3888"/>
            <w:shd w:fill="123B5D"/>
            <w:vAlign w:val="center"/>
          </w:tcPr>
          <w:p>
            <w:pPr>
              <w:spacing w:after="0"/>
            </w:pPr>
            <w:r>
              <w:rPr>
                <w:b/>
                <w:color w:val="FFFFFF"/>
                <w:sz w:val="13"/>
              </w:rPr>
              <w:t>Required control / decision</w:t>
            </w:r>
          </w:p>
        </w:tc>
        <w:trPr>
          <w:tblHeader/>
        </w:trPr>
      </w:tr>
      <w:tr>
        <w:tc>
          <w:tcPr>
            <w:tcW w:type="dxa" w:w="2520"/>
            <w:vAlign w:val="top"/>
            <w:tcMar>
              <w:top w:w="55" w:type="dxa"/>
              <w:start w:w="75" w:type="dxa"/>
              <w:bottom w:w="55" w:type="dxa"/>
              <w:end w:w="75" w:type="dxa"/>
            </w:tcMar>
          </w:tcPr>
          <w:p>
            <w:pPr>
              <w:spacing w:after="0" w:line="240" w:lineRule="auto"/>
            </w:pPr>
            <w:r>
              <w:rPr>
                <w:color w:val="1C2B37"/>
                <w:sz w:val="13"/>
              </w:rPr>
              <w:t>Provider authorization is the release bottleneck</w:t>
            </w:r>
          </w:p>
        </w:tc>
        <w:tc>
          <w:tcPr>
            <w:tcW w:type="dxa" w:w="3960"/>
            <w:vAlign w:val="top"/>
            <w:tcMar>
              <w:top w:w="55" w:type="dxa"/>
              <w:start w:w="75" w:type="dxa"/>
              <w:bottom w:w="55" w:type="dxa"/>
              <w:end w:w="75" w:type="dxa"/>
            </w:tcMar>
          </w:tcPr>
          <w:p>
            <w:pPr>
              <w:spacing w:after="0" w:line="240" w:lineRule="auto"/>
            </w:pPr>
            <w:r>
              <w:rPr>
                <w:color w:val="1C2B37"/>
                <w:sz w:val="13"/>
              </w:rPr>
              <w:t>Code presence or a credential does not prove permission to display prices or redirect users.</w:t>
            </w:r>
          </w:p>
        </w:tc>
        <w:tc>
          <w:tcPr>
            <w:tcW w:type="dxa" w:w="3888"/>
            <w:vAlign w:val="top"/>
            <w:tcMar>
              <w:top w:w="55" w:type="dxa"/>
              <w:start w:w="75" w:type="dxa"/>
              <w:bottom w:w="55" w:type="dxa"/>
              <w:end w:w="75" w:type="dxa"/>
            </w:tcMar>
          </w:tcPr>
          <w:p>
            <w:pPr>
              <w:spacing w:after="0" w:line="240" w:lineRule="auto"/>
            </w:pPr>
            <w:r>
              <w:rPr>
                <w:color w:val="1C2B37"/>
                <w:sz w:val="13"/>
              </w:rPr>
              <w:t>Record authorization type, display/price/redirect rights, terms date, environment and approved domains before activation.</w:t>
            </w:r>
          </w:p>
        </w:tc>
      </w:tr>
      <w:tr>
        <w:tc>
          <w:tcPr>
            <w:tcW w:type="dxa" w:w="2520"/>
            <w:vAlign w:val="top"/>
            <w:shd w:fill="F5F8FA"/>
            <w:tcMar>
              <w:top w:w="55" w:type="dxa"/>
              <w:start w:w="75" w:type="dxa"/>
              <w:bottom w:w="55" w:type="dxa"/>
              <w:end w:w="75" w:type="dxa"/>
            </w:tcMar>
          </w:tcPr>
          <w:p>
            <w:pPr>
              <w:spacing w:after="0" w:line="240" w:lineRule="auto"/>
            </w:pPr>
            <w:r>
              <w:rPr>
                <w:color w:val="1C2B37"/>
                <w:sz w:val="13"/>
              </w:rPr>
              <w:t>Production-domain proof is missing for the white label</w:t>
            </w:r>
          </w:p>
        </w:tc>
        <w:tc>
          <w:tcPr>
            <w:tcW w:type="dxa" w:w="3960"/>
            <w:vAlign w:val="top"/>
            <w:shd w:fill="F5F8FA"/>
            <w:tcMar>
              <w:top w:w="55" w:type="dxa"/>
              <w:start w:w="75" w:type="dxa"/>
              <w:bottom w:w="55" w:type="dxa"/>
              <w:end w:w="75" w:type="dxa"/>
            </w:tcMar>
          </w:tcPr>
          <w:p>
            <w:pPr>
              <w:spacing w:after="0" w:line="240" w:lineRule="auto"/>
            </w:pPr>
            <w:r>
              <w:rPr>
                <w:color w:val="1C2B37"/>
                <w:sz w:val="13"/>
              </w:rPr>
              <w:t>The Travelpayouts widget is configured for rovvy.app; localhost evidence is insufficient.</w:t>
            </w:r>
          </w:p>
        </w:tc>
        <w:tc>
          <w:tcPr>
            <w:tcW w:type="dxa" w:w="3888"/>
            <w:vAlign w:val="top"/>
            <w:shd w:fill="F5F8FA"/>
            <w:tcMar>
              <w:top w:w="55" w:type="dxa"/>
              <w:start w:w="75" w:type="dxa"/>
              <w:bottom w:w="55" w:type="dxa"/>
              <w:end w:w="75" w:type="dxa"/>
            </w:tcMar>
          </w:tcPr>
          <w:p>
            <w:pPr>
              <w:spacing w:after="0" w:line="240" w:lineRule="auto"/>
            </w:pPr>
            <w:r>
              <w:rPr>
                <w:color w:val="1C2B37"/>
                <w:sz w:val="13"/>
              </w:rPr>
              <w:t>Deploy to the authorized domain and verify rendering, live results, outbound handoff, mobile behavior and failure fallback.</w:t>
            </w:r>
          </w:p>
        </w:tc>
      </w:tr>
      <w:tr>
        <w:tc>
          <w:tcPr>
            <w:tcW w:type="dxa" w:w="2520"/>
            <w:vAlign w:val="top"/>
            <w:tcMar>
              <w:top w:w="55" w:type="dxa"/>
              <w:start w:w="75" w:type="dxa"/>
              <w:bottom w:w="55" w:type="dxa"/>
              <w:end w:w="75" w:type="dxa"/>
            </w:tcMar>
          </w:tcPr>
          <w:p>
            <w:pPr>
              <w:spacing w:after="0" w:line="240" w:lineRule="auto"/>
            </w:pPr>
            <w:r>
              <w:rPr>
                <w:color w:val="1C2B37"/>
                <w:sz w:val="13"/>
              </w:rPr>
              <w:t>Safe redirect boundary is unfinished</w:t>
            </w:r>
          </w:p>
        </w:tc>
        <w:tc>
          <w:tcPr>
            <w:tcW w:type="dxa" w:w="3960"/>
            <w:vAlign w:val="top"/>
            <w:tcMar>
              <w:top w:w="55" w:type="dxa"/>
              <w:start w:w="75" w:type="dxa"/>
              <w:bottom w:w="55" w:type="dxa"/>
              <w:end w:w="75" w:type="dxa"/>
            </w:tcMar>
          </w:tcPr>
          <w:p>
            <w:pPr>
              <w:spacing w:after="0" w:line="240" w:lineRule="auto"/>
            </w:pPr>
            <w:r>
              <w:rPr>
                <w:color w:val="1C2B37"/>
                <w:sz w:val="13"/>
              </w:rPr>
              <w:t>An arbitrary or stale URL can create phishing/open-redirect risk.</w:t>
            </w:r>
          </w:p>
        </w:tc>
        <w:tc>
          <w:tcPr>
            <w:tcW w:type="dxa" w:w="3888"/>
            <w:vAlign w:val="top"/>
            <w:tcMar>
              <w:top w:w="55" w:type="dxa"/>
              <w:start w:w="75" w:type="dxa"/>
              <w:bottom w:w="55" w:type="dxa"/>
              <w:end w:w="75" w:type="dxa"/>
            </w:tcMar>
          </w:tcPr>
          <w:p>
            <w:pPr>
              <w:spacing w:after="0" w:line="240" w:lineRule="auto"/>
            </w:pPr>
            <w:r>
              <w:rPr>
                <w:color w:val="1C2B37"/>
                <w:sz w:val="13"/>
              </w:rPr>
              <w:t>Server-known offer token, freshness check, HTTPS-only policy, provider host allowlist and safe expired-link errors.</w:t>
            </w:r>
          </w:p>
        </w:tc>
      </w:tr>
      <w:tr>
        <w:tc>
          <w:tcPr>
            <w:tcW w:type="dxa" w:w="2520"/>
            <w:vAlign w:val="top"/>
            <w:shd w:fill="F5F8FA"/>
            <w:tcMar>
              <w:top w:w="55" w:type="dxa"/>
              <w:start w:w="75" w:type="dxa"/>
              <w:bottom w:w="55" w:type="dxa"/>
              <w:end w:w="75" w:type="dxa"/>
            </w:tcMar>
          </w:tcPr>
          <w:p>
            <w:pPr>
              <w:spacing w:after="0" w:line="240" w:lineRule="auto"/>
            </w:pPr>
            <w:r>
              <w:rPr>
                <w:color w:val="1C2B37"/>
                <w:sz w:val="13"/>
              </w:rPr>
              <w:t>Exact itinerary grouping remains a high-risk correctness area</w:t>
            </w:r>
          </w:p>
        </w:tc>
        <w:tc>
          <w:tcPr>
            <w:tcW w:type="dxa" w:w="3960"/>
            <w:vAlign w:val="top"/>
            <w:shd w:fill="F5F8FA"/>
            <w:tcMar>
              <w:top w:w="55" w:type="dxa"/>
              <w:start w:w="75" w:type="dxa"/>
              <w:bottom w:w="55" w:type="dxa"/>
              <w:end w:w="75" w:type="dxa"/>
            </w:tcMar>
          </w:tcPr>
          <w:p>
            <w:pPr>
              <w:spacing w:after="0" w:line="240" w:lineRule="auto"/>
            </w:pPr>
            <w:r>
              <w:rPr>
                <w:color w:val="1C2B37"/>
                <w:sz w:val="13"/>
              </w:rPr>
              <w:t>Bad fingerprints can merge different flights or separate identical seller offers.</w:t>
            </w:r>
          </w:p>
        </w:tc>
        <w:tc>
          <w:tcPr>
            <w:tcW w:type="dxa" w:w="3888"/>
            <w:vAlign w:val="top"/>
            <w:shd w:fill="F5F8FA"/>
            <w:tcMar>
              <w:top w:w="55" w:type="dxa"/>
              <w:start w:w="75" w:type="dxa"/>
              <w:bottom w:w="55" w:type="dxa"/>
              <w:end w:w="75" w:type="dxa"/>
            </w:tcMar>
          </w:tcPr>
          <w:p>
            <w:pPr>
              <w:spacing w:after="0" w:line="240" w:lineRule="auto"/>
            </w:pPr>
            <w:r>
              <w:rPr>
                <w:color w:val="1C2B37"/>
                <w:sz w:val="13"/>
              </w:rPr>
              <w:t>Test dates, time zones, overnight arrivals, flight/operating carrier, terminals, ordered connections, codeshares and duplicates.</w:t>
            </w:r>
          </w:p>
        </w:tc>
      </w:tr>
      <w:tr>
        <w:tc>
          <w:tcPr>
            <w:tcW w:type="dxa" w:w="2520"/>
            <w:vAlign w:val="top"/>
            <w:tcMar>
              <w:top w:w="55" w:type="dxa"/>
              <w:start w:w="75" w:type="dxa"/>
              <w:bottom w:w="55" w:type="dxa"/>
              <w:end w:w="75" w:type="dxa"/>
            </w:tcMar>
          </w:tcPr>
          <w:p>
            <w:pPr>
              <w:spacing w:after="0" w:line="240" w:lineRule="auto"/>
            </w:pPr>
            <w:r>
              <w:rPr>
                <w:color w:val="1C2B37"/>
                <w:sz w:val="13"/>
              </w:rPr>
              <w:t>Freshness and coverage must remain explicit</w:t>
            </w:r>
          </w:p>
        </w:tc>
        <w:tc>
          <w:tcPr>
            <w:tcW w:type="dxa" w:w="3960"/>
            <w:vAlign w:val="top"/>
            <w:tcMar>
              <w:top w:w="55" w:type="dxa"/>
              <w:start w:w="75" w:type="dxa"/>
              <w:bottom w:w="55" w:type="dxa"/>
              <w:end w:w="75" w:type="dxa"/>
            </w:tcMar>
          </w:tcPr>
          <w:p>
            <w:pPr>
              <w:spacing w:after="0" w:line="240" w:lineRule="auto"/>
            </w:pPr>
            <w:r>
              <w:rPr>
                <w:color w:val="1C2B37"/>
                <w:sz w:val="13"/>
              </w:rPr>
              <w:t>A low price is misleading if expired or based on partial provider success.</w:t>
            </w:r>
          </w:p>
        </w:tc>
        <w:tc>
          <w:tcPr>
            <w:tcW w:type="dxa" w:w="3888"/>
            <w:vAlign w:val="top"/>
            <w:tcMar>
              <w:top w:w="55" w:type="dxa"/>
              <w:start w:w="75" w:type="dxa"/>
              <w:bottom w:w="55" w:type="dxa"/>
              <w:end w:w="75" w:type="dxa"/>
            </w:tcMar>
          </w:tcPr>
          <w:p>
            <w:pPr>
              <w:spacing w:after="0" w:line="240" w:lineRule="auto"/>
            </w:pPr>
            <w:r>
              <w:rPr>
                <w:color w:val="1C2B37"/>
                <w:sz w:val="13"/>
              </w:rPr>
              <w:t>Exclude expired/non-actionable offers from starting price; show checked time, coverage and partial-result status.</w:t>
            </w:r>
          </w:p>
        </w:tc>
      </w:tr>
      <w:tr>
        <w:tc>
          <w:tcPr>
            <w:tcW w:type="dxa" w:w="2520"/>
            <w:vAlign w:val="top"/>
            <w:shd w:fill="F5F8FA"/>
            <w:tcMar>
              <w:top w:w="55" w:type="dxa"/>
              <w:start w:w="75" w:type="dxa"/>
              <w:bottom w:w="55" w:type="dxa"/>
              <w:end w:w="75" w:type="dxa"/>
            </w:tcMar>
          </w:tcPr>
          <w:p>
            <w:pPr>
              <w:spacing w:after="0" w:line="240" w:lineRule="auto"/>
            </w:pPr>
            <w:r>
              <w:rPr>
                <w:color w:val="1C2B37"/>
                <w:sz w:val="13"/>
              </w:rPr>
              <w:t>Uncommitted working tree is large</w:t>
            </w:r>
          </w:p>
        </w:tc>
        <w:tc>
          <w:tcPr>
            <w:tcW w:type="dxa" w:w="3960"/>
            <w:vAlign w:val="top"/>
            <w:shd w:fill="F5F8FA"/>
            <w:tcMar>
              <w:top w:w="55" w:type="dxa"/>
              <w:start w:w="75" w:type="dxa"/>
              <w:bottom w:w="55" w:type="dxa"/>
              <w:end w:w="75" w:type="dxa"/>
            </w:tcMar>
          </w:tcPr>
          <w:p>
            <w:pPr>
              <w:spacing w:after="0" w:line="240" w:lineRule="auto"/>
            </w:pPr>
            <w:r>
              <w:rPr>
                <w:color w:val="1C2B37"/>
                <w:sz w:val="13"/>
              </w:rPr>
              <w:t>Most recent Flights work and Scram Book records are present as modified/untracked files, beyond the latest commit dated 12 Aug.</w:t>
            </w:r>
          </w:p>
        </w:tc>
        <w:tc>
          <w:tcPr>
            <w:tcW w:type="dxa" w:w="3888"/>
            <w:vAlign w:val="top"/>
            <w:shd w:fill="F5F8FA"/>
            <w:tcMar>
              <w:top w:w="55" w:type="dxa"/>
              <w:start w:w="75" w:type="dxa"/>
              <w:bottom w:w="55" w:type="dxa"/>
              <w:end w:w="75" w:type="dxa"/>
            </w:tcMar>
          </w:tcPr>
          <w:p>
            <w:pPr>
              <w:spacing w:after="0" w:line="240" w:lineRule="auto"/>
            </w:pPr>
            <w:r>
              <w:rPr>
                <w:color w:val="1C2B37"/>
                <w:sz w:val="13"/>
              </w:rPr>
              <w:t>Review, separate generated/cache files, run gates, then commit coherent changes with documentation.</w:t>
            </w:r>
          </w:p>
        </w:tc>
      </w:tr>
      <w:tr>
        <w:tc>
          <w:tcPr>
            <w:tcW w:type="dxa" w:w="2520"/>
            <w:vAlign w:val="top"/>
            <w:tcMar>
              <w:top w:w="55" w:type="dxa"/>
              <w:start w:w="75" w:type="dxa"/>
              <w:bottom w:w="55" w:type="dxa"/>
              <w:end w:w="75" w:type="dxa"/>
            </w:tcMar>
          </w:tcPr>
          <w:p>
            <w:pPr>
              <w:spacing w:after="0" w:line="240" w:lineRule="auto"/>
            </w:pPr>
            <w:r>
              <w:rPr>
                <w:color w:val="1C2B37"/>
                <w:sz w:val="13"/>
              </w:rPr>
              <w:t>End-to-end browser coverage is thin</w:t>
            </w:r>
          </w:p>
        </w:tc>
        <w:tc>
          <w:tcPr>
            <w:tcW w:type="dxa" w:w="3960"/>
            <w:vAlign w:val="top"/>
            <w:tcMar>
              <w:top w:w="55" w:type="dxa"/>
              <w:start w:w="75" w:type="dxa"/>
              <w:bottom w:w="55" w:type="dxa"/>
              <w:end w:w="75" w:type="dxa"/>
            </w:tcMar>
          </w:tcPr>
          <w:p>
            <w:pPr>
              <w:spacing w:after="0" w:line="240" w:lineRule="auto"/>
            </w:pPr>
            <w:r>
              <w:rPr>
                <w:color w:val="1C2B37"/>
                <w:sz w:val="13"/>
              </w:rPr>
              <w:t>Static/source and unit tests cannot fully prove redirects, protected-child non-rendering or mobile provider behavior.</w:t>
            </w:r>
          </w:p>
        </w:tc>
        <w:tc>
          <w:tcPr>
            <w:tcW w:type="dxa" w:w="3888"/>
            <w:vAlign w:val="top"/>
            <w:tcMar>
              <w:top w:w="55" w:type="dxa"/>
              <w:start w:w="75" w:type="dxa"/>
              <w:bottom w:w="55" w:type="dxa"/>
              <w:end w:w="75" w:type="dxa"/>
            </w:tcMar>
          </w:tcPr>
          <w:p>
            <w:pPr>
              <w:spacing w:after="0" w:line="240" w:lineRule="auto"/>
            </w:pPr>
            <w:r>
              <w:rPr>
                <w:color w:val="1C2B37"/>
                <w:sz w:val="13"/>
              </w:rPr>
              <w:t>Add Playwright/Cypress or focused component/router tests plus responsive visual regression.</w:t>
            </w:r>
          </w:p>
        </w:tc>
      </w:tr>
      <w:tr>
        <w:tc>
          <w:tcPr>
            <w:tcW w:type="dxa" w:w="2520"/>
            <w:vAlign w:val="top"/>
            <w:shd w:fill="F5F8FA"/>
            <w:tcMar>
              <w:top w:w="55" w:type="dxa"/>
              <w:start w:w="75" w:type="dxa"/>
              <w:bottom w:w="55" w:type="dxa"/>
              <w:end w:w="75" w:type="dxa"/>
            </w:tcMar>
          </w:tcPr>
          <w:p>
            <w:pPr>
              <w:spacing w:after="0" w:line="240" w:lineRule="auto"/>
            </w:pPr>
            <w:r>
              <w:rPr>
                <w:color w:val="1C2B37"/>
                <w:sz w:val="13"/>
              </w:rPr>
              <w:t>Group Live / Convoy is incomplete</w:t>
            </w:r>
          </w:p>
        </w:tc>
        <w:tc>
          <w:tcPr>
            <w:tcW w:type="dxa" w:w="3960"/>
            <w:vAlign w:val="top"/>
            <w:shd w:fill="F5F8FA"/>
            <w:tcMar>
              <w:top w:w="55" w:type="dxa"/>
              <w:start w:w="75" w:type="dxa"/>
              <w:bottom w:w="55" w:type="dxa"/>
              <w:end w:w="75" w:type="dxa"/>
            </w:tcMar>
          </w:tcPr>
          <w:p>
            <w:pPr>
              <w:spacing w:after="0" w:line="240" w:lineRule="auto"/>
            </w:pPr>
            <w:r>
              <w:rPr>
                <w:color w:val="1C2B37"/>
                <w:sz w:val="13"/>
              </w:rPr>
              <w:t>A core social differentiator lacks full multi-user real-time completion.</w:t>
            </w:r>
          </w:p>
        </w:tc>
        <w:tc>
          <w:tcPr>
            <w:tcW w:type="dxa" w:w="3888"/>
            <w:vAlign w:val="top"/>
            <w:shd w:fill="F5F8FA"/>
            <w:tcMar>
              <w:top w:w="55" w:type="dxa"/>
              <w:start w:w="75" w:type="dxa"/>
              <w:bottom w:w="55" w:type="dxa"/>
              <w:end w:w="75" w:type="dxa"/>
            </w:tcMar>
          </w:tcPr>
          <w:p>
            <w:pPr>
              <w:spacing w:after="0" w:line="240" w:lineRule="auto"/>
            </w:pPr>
            <w:r>
              <w:rPr>
                <w:color w:val="1C2B37"/>
                <w:sz w:val="13"/>
              </w:rPr>
              <w:t>Complete Firebase synchronization, explicit consent, expiry and recovery behavior.</w:t>
            </w:r>
          </w:p>
        </w:tc>
      </w:tr>
      <w:tr>
        <w:tc>
          <w:tcPr>
            <w:tcW w:type="dxa" w:w="2520"/>
            <w:vAlign w:val="top"/>
            <w:tcMar>
              <w:top w:w="55" w:type="dxa"/>
              <w:start w:w="75" w:type="dxa"/>
              <w:bottom w:w="55" w:type="dxa"/>
              <w:end w:w="75" w:type="dxa"/>
            </w:tcMar>
          </w:tcPr>
          <w:p>
            <w:pPr>
              <w:spacing w:after="0" w:line="240" w:lineRule="auto"/>
            </w:pPr>
            <w:r>
              <w:rPr>
                <w:color w:val="1C2B37"/>
                <w:sz w:val="13"/>
              </w:rPr>
              <w:t>Offline readiness and sync do not exist</w:t>
            </w:r>
          </w:p>
        </w:tc>
        <w:tc>
          <w:tcPr>
            <w:tcW w:type="dxa" w:w="3960"/>
            <w:vAlign w:val="top"/>
            <w:tcMar>
              <w:top w:w="55" w:type="dxa"/>
              <w:start w:w="75" w:type="dxa"/>
              <w:bottom w:w="55" w:type="dxa"/>
              <w:end w:w="75" w:type="dxa"/>
            </w:tcMar>
          </w:tcPr>
          <w:p>
            <w:pPr>
              <w:spacing w:after="0" w:line="240" w:lineRule="auto"/>
            </w:pPr>
            <w:r>
              <w:rPr>
                <w:color w:val="1C2B37"/>
                <w:sz w:val="13"/>
              </w:rPr>
              <w:t>Travel execution can fail when connectivity drops; offline writes can conflict.</w:t>
            </w:r>
          </w:p>
        </w:tc>
        <w:tc>
          <w:tcPr>
            <w:tcW w:type="dxa" w:w="3888"/>
            <w:vAlign w:val="top"/>
            <w:tcMar>
              <w:top w:w="55" w:type="dxa"/>
              <w:start w:w="75" w:type="dxa"/>
              <w:bottom w:w="55" w:type="dxa"/>
              <w:end w:w="75" w:type="dxa"/>
            </w:tcMar>
          </w:tcPr>
          <w:p>
            <w:pPr>
              <w:spacing w:after="0" w:line="240" w:lineRule="auto"/>
            </w:pPr>
            <w:r>
              <w:rPr>
                <w:color w:val="1C2B37"/>
                <w:sz w:val="13"/>
              </w:rPr>
              <w:t>Add IndexedDB/local cache, visible stale/offline state and a deliberate reconciliation policy.</w:t>
            </w:r>
          </w:p>
        </w:tc>
      </w:tr>
      <w:tr>
        <w:tc>
          <w:tcPr>
            <w:tcW w:type="dxa" w:w="2520"/>
            <w:vAlign w:val="top"/>
            <w:shd w:fill="F5F8FA"/>
            <w:tcMar>
              <w:top w:w="55" w:type="dxa"/>
              <w:start w:w="75" w:type="dxa"/>
              <w:bottom w:w="55" w:type="dxa"/>
              <w:end w:w="75" w:type="dxa"/>
            </w:tcMar>
          </w:tcPr>
          <w:p>
            <w:pPr>
              <w:spacing w:after="0" w:line="240" w:lineRule="auto"/>
            </w:pPr>
            <w:r>
              <w:rPr>
                <w:color w:val="1C2B37"/>
                <w:sz w:val="13"/>
              </w:rPr>
              <w:t>Creator and business modes are not yet modeled</w:t>
            </w:r>
          </w:p>
        </w:tc>
        <w:tc>
          <w:tcPr>
            <w:tcW w:type="dxa" w:w="3960"/>
            <w:vAlign w:val="top"/>
            <w:shd w:fill="F5F8FA"/>
            <w:tcMar>
              <w:top w:w="55" w:type="dxa"/>
              <w:start w:w="75" w:type="dxa"/>
              <w:bottom w:w="55" w:type="dxa"/>
              <w:end w:w="75" w:type="dxa"/>
            </w:tcMar>
          </w:tcPr>
          <w:p>
            <w:pPr>
              <w:spacing w:after="0" w:line="240" w:lineRule="auto"/>
            </w:pPr>
            <w:r>
              <w:rPr>
                <w:color w:val="1C2B37"/>
                <w:sz w:val="13"/>
              </w:rPr>
              <w:t>Public creator profiles, organization isolation, seat billing and usage controls need schema and product design.</w:t>
            </w:r>
          </w:p>
        </w:tc>
        <w:tc>
          <w:tcPr>
            <w:tcW w:type="dxa" w:w="3888"/>
            <w:vAlign w:val="top"/>
            <w:shd w:fill="F5F8FA"/>
            <w:tcMar>
              <w:top w:w="55" w:type="dxa"/>
              <w:start w:w="75" w:type="dxa"/>
              <w:bottom w:w="55" w:type="dxa"/>
              <w:end w:w="75" w:type="dxa"/>
            </w:tcMar>
          </w:tcPr>
          <w:p>
            <w:pPr>
              <w:spacing w:after="0" w:line="240" w:lineRule="auto"/>
            </w:pPr>
            <w:r>
              <w:rPr>
                <w:color w:val="1C2B37"/>
                <w:sz w:val="13"/>
              </w:rPr>
              <w:t>Keep them later-phase until core trust/reliability gates are met.</w:t>
            </w:r>
          </w:p>
        </w:tc>
      </w:tr>
      <w:tr>
        <w:tc>
          <w:tcPr>
            <w:tcW w:type="dxa" w:w="2520"/>
            <w:vAlign w:val="top"/>
            <w:tcMar>
              <w:top w:w="55" w:type="dxa"/>
              <w:start w:w="75" w:type="dxa"/>
              <w:bottom w:w="55" w:type="dxa"/>
              <w:end w:w="75" w:type="dxa"/>
            </w:tcMar>
          </w:tcPr>
          <w:p>
            <w:pPr>
              <w:spacing w:after="0" w:line="240" w:lineRule="auto"/>
            </w:pPr>
            <w:r>
              <w:rPr>
                <w:color w:val="1C2B37"/>
                <w:sz w:val="13"/>
              </w:rPr>
              <w:t>Operational and legal dependencies remain</w:t>
            </w:r>
          </w:p>
        </w:tc>
        <w:tc>
          <w:tcPr>
            <w:tcW w:type="dxa" w:w="3960"/>
            <w:vAlign w:val="top"/>
            <w:tcMar>
              <w:top w:w="55" w:type="dxa"/>
              <w:start w:w="75" w:type="dxa"/>
              <w:bottom w:w="55" w:type="dxa"/>
              <w:end w:w="75" w:type="dxa"/>
            </w:tcMar>
          </w:tcPr>
          <w:p>
            <w:pPr>
              <w:spacing w:after="0" w:line="240" w:lineRule="auto"/>
            </w:pPr>
            <w:r>
              <w:rPr>
                <w:color w:val="1C2B37"/>
                <w:sz w:val="13"/>
              </w:rPr>
              <w:t>OAuth/secrets, provider terms, privacy, location consent and production infrastructure determine launch safety.</w:t>
            </w:r>
          </w:p>
        </w:tc>
        <w:tc>
          <w:tcPr>
            <w:tcW w:type="dxa" w:w="3888"/>
            <w:vAlign w:val="top"/>
            <w:tcMar>
              <w:top w:w="55" w:type="dxa"/>
              <w:start w:w="75" w:type="dxa"/>
              <w:bottom w:w="55" w:type="dxa"/>
              <w:end w:w="75" w:type="dxa"/>
            </w:tcMar>
          </w:tcPr>
          <w:p>
            <w:pPr>
              <w:spacing w:after="0" w:line="240" w:lineRule="auto"/>
            </w:pPr>
            <w:r>
              <w:rPr>
                <w:color w:val="1C2B37"/>
                <w:sz w:val="13"/>
              </w:rPr>
              <w:t>Finish environment audit, counsel/product disclosure review, monitoring, rollback ownership and incident runbooks.</w:t>
            </w:r>
          </w:p>
        </w:tc>
      </w:tr>
    </w:tbl>
    <w:p>
      <w:pPr>
        <w:spacing w:after="0"/>
      </w:pPr>
    </w:p>
    <w:p>
      <w:pPr>
        <w:pStyle w:val="Heading1"/>
      </w:pPr>
      <w:r>
        <w:t>10. Provider decision snapshot</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1872"/>
            <w:shd w:fill="123B5D"/>
            <w:vAlign w:val="center"/>
          </w:tcPr>
          <w:p>
            <w:pPr>
              <w:spacing w:after="0"/>
            </w:pPr>
            <w:r>
              <w:rPr>
                <w:b/>
                <w:color w:val="FFFFFF"/>
                <w:sz w:val="14"/>
              </w:rPr>
              <w:t>Source</w:t>
            </w:r>
          </w:p>
        </w:tc>
        <w:tc>
          <w:tcPr>
            <w:tcW w:type="dxa" w:w="5256"/>
            <w:shd w:fill="123B5D"/>
            <w:vAlign w:val="center"/>
          </w:tcPr>
          <w:p>
            <w:pPr>
              <w:spacing w:after="0"/>
            </w:pPr>
            <w:r>
              <w:rPr>
                <w:b/>
                <w:color w:val="FFFFFF"/>
                <w:sz w:val="14"/>
              </w:rPr>
              <w:t>Observed state</w:t>
            </w:r>
          </w:p>
        </w:tc>
        <w:tc>
          <w:tcPr>
            <w:tcW w:type="dxa" w:w="3240"/>
            <w:shd w:fill="123B5D"/>
            <w:vAlign w:val="center"/>
          </w:tcPr>
          <w:p>
            <w:pPr>
              <w:spacing w:after="0"/>
            </w:pPr>
            <w:r>
              <w:rPr>
                <w:b/>
                <w:color w:val="FFFFFF"/>
                <w:sz w:val="14"/>
              </w:rPr>
              <w:t>Decision</w:t>
            </w:r>
          </w:p>
        </w:tc>
        <w:trPr>
          <w:tblHeader/>
        </w:trPr>
      </w:tr>
      <w:tr>
        <w:tc>
          <w:tcPr>
            <w:tcW w:type="dxa" w:w="1872"/>
            <w:vAlign w:val="top"/>
            <w:tcMar>
              <w:top w:w="55" w:type="dxa"/>
              <w:start w:w="75" w:type="dxa"/>
              <w:bottom w:w="55" w:type="dxa"/>
              <w:end w:w="75" w:type="dxa"/>
            </w:tcMar>
          </w:tcPr>
          <w:p>
            <w:pPr>
              <w:spacing w:after="0" w:line="240" w:lineRule="auto"/>
            </w:pPr>
            <w:r>
              <w:rPr>
                <w:color w:val="1C2B37"/>
                <w:sz w:val="14"/>
              </w:rPr>
              <w:t>Duffel</w:t>
            </w:r>
          </w:p>
        </w:tc>
        <w:tc>
          <w:tcPr>
            <w:tcW w:type="dxa" w:w="5256"/>
            <w:vAlign w:val="top"/>
            <w:tcMar>
              <w:top w:w="55" w:type="dxa"/>
              <w:start w:w="75" w:type="dxa"/>
              <w:bottom w:w="55" w:type="dxa"/>
              <w:end w:w="75" w:type="dxa"/>
            </w:tcMar>
          </w:tcPr>
          <w:p>
            <w:pPr>
              <w:spacing w:after="0" w:line="240" w:lineRule="auto"/>
            </w:pPr>
            <w:r>
              <w:rPr>
                <w:color w:val="1C2B37"/>
                <w:sz w:val="14"/>
              </w:rPr>
              <w:t>Adapter and sandbox search capability exist; sandbox offer is test inventory and lacks an external redirect-only seller link.</w:t>
            </w:r>
          </w:p>
        </w:tc>
        <w:tc>
          <w:tcPr>
            <w:tcW w:type="dxa" w:w="3240"/>
            <w:vAlign w:val="top"/>
            <w:tcMar>
              <w:top w:w="55" w:type="dxa"/>
              <w:start w:w="75" w:type="dxa"/>
              <w:bottom w:w="55" w:type="dxa"/>
              <w:end w:w="75" w:type="dxa"/>
            </w:tcMar>
          </w:tcPr>
          <w:p>
            <w:pPr>
              <w:spacing w:after="0" w:line="240" w:lineRule="auto"/>
            </w:pPr>
            <w:r>
              <w:rPr>
                <w:color w:val="1C2B37"/>
                <w:sz w:val="14"/>
              </w:rPr>
              <w:t>Keep non-actionable in the public redirect-only experience; do not add order/checkout calls.</w:t>
            </w:r>
          </w:p>
        </w:tc>
      </w:tr>
      <w:tr>
        <w:tc>
          <w:tcPr>
            <w:tcW w:type="dxa" w:w="1872"/>
            <w:vAlign w:val="top"/>
            <w:shd w:fill="F5F8FA"/>
            <w:tcMar>
              <w:top w:w="55" w:type="dxa"/>
              <w:start w:w="75" w:type="dxa"/>
              <w:bottom w:w="55" w:type="dxa"/>
              <w:end w:w="75" w:type="dxa"/>
            </w:tcMar>
          </w:tcPr>
          <w:p>
            <w:pPr>
              <w:spacing w:after="0" w:line="240" w:lineRule="auto"/>
            </w:pPr>
            <w:r>
              <w:rPr>
                <w:color w:val="1C2B37"/>
                <w:sz w:val="14"/>
              </w:rPr>
              <w:t>Travelpayouts / Aviasales</w:t>
            </w:r>
          </w:p>
        </w:tc>
        <w:tc>
          <w:tcPr>
            <w:tcW w:type="dxa" w:w="5256"/>
            <w:vAlign w:val="top"/>
            <w:shd w:fill="F5F8FA"/>
            <w:tcMar>
              <w:top w:w="55" w:type="dxa"/>
              <w:start w:w="75" w:type="dxa"/>
              <w:bottom w:w="55" w:type="dxa"/>
              <w:end w:w="75" w:type="dxa"/>
            </w:tcMar>
          </w:tcPr>
          <w:p>
            <w:pPr>
              <w:spacing w:after="0" w:line="240" w:lineRule="auto"/>
            </w:pPr>
            <w:r>
              <w:rPr>
                <w:color w:val="1C2B37"/>
                <w:sz w:val="14"/>
              </w:rPr>
              <w:t>Data API authentication verified; audited exact searches returned zero cached offers. Official white-label widget is integrated for rovvy.app.</w:t>
            </w:r>
          </w:p>
        </w:tc>
        <w:tc>
          <w:tcPr>
            <w:tcW w:type="dxa" w:w="3240"/>
            <w:vAlign w:val="top"/>
            <w:shd w:fill="F5F8FA"/>
            <w:tcMar>
              <w:top w:w="55" w:type="dxa"/>
              <w:start w:w="75" w:type="dxa"/>
              <w:bottom w:w="55" w:type="dxa"/>
              <w:end w:w="75" w:type="dxa"/>
            </w:tcMar>
          </w:tcPr>
          <w:p>
            <w:pPr>
              <w:spacing w:after="0" w:line="240" w:lineRule="auto"/>
            </w:pPr>
            <w:r>
              <w:rPr>
                <w:color w:val="1C2B37"/>
                <w:sz w:val="14"/>
              </w:rPr>
              <w:t>Continue as current evaluation path; prove authorized-domain behavior and do not normalize embed data without separate rights.</w:t>
            </w:r>
          </w:p>
        </w:tc>
      </w:tr>
      <w:tr>
        <w:tc>
          <w:tcPr>
            <w:tcW w:type="dxa" w:w="1872"/>
            <w:vAlign w:val="top"/>
            <w:tcMar>
              <w:top w:w="55" w:type="dxa"/>
              <w:start w:w="75" w:type="dxa"/>
              <w:bottom w:w="55" w:type="dxa"/>
              <w:end w:w="75" w:type="dxa"/>
            </w:tcMar>
          </w:tcPr>
          <w:p>
            <w:pPr>
              <w:spacing w:after="0" w:line="240" w:lineRule="auto"/>
            </w:pPr>
            <w:r>
              <w:rPr>
                <w:color w:val="1C2B37"/>
                <w:sz w:val="14"/>
              </w:rPr>
              <w:t>Kiwi.com Tequila</w:t>
            </w:r>
          </w:p>
        </w:tc>
        <w:tc>
          <w:tcPr>
            <w:tcW w:type="dxa" w:w="5256"/>
            <w:vAlign w:val="top"/>
            <w:tcMar>
              <w:top w:w="55" w:type="dxa"/>
              <w:start w:w="75" w:type="dxa"/>
              <w:bottom w:w="55" w:type="dxa"/>
              <w:end w:w="75" w:type="dxa"/>
            </w:tcMar>
          </w:tcPr>
          <w:p>
            <w:pPr>
              <w:spacing w:after="0" w:line="240" w:lineRule="auto"/>
            </w:pPr>
            <w:r>
              <w:rPr>
                <w:color w:val="1C2B37"/>
                <w:sz w:val="14"/>
              </w:rPr>
              <w:t>Code path exists, but configured key was rejected with HTTP 401; current partnership access is constrained.</w:t>
            </w:r>
          </w:p>
        </w:tc>
        <w:tc>
          <w:tcPr>
            <w:tcW w:type="dxa" w:w="3240"/>
            <w:vAlign w:val="top"/>
            <w:tcMar>
              <w:top w:w="55" w:type="dxa"/>
              <w:start w:w="75" w:type="dxa"/>
              <w:bottom w:w="55" w:type="dxa"/>
              <w:end w:w="75" w:type="dxa"/>
            </w:tcMar>
          </w:tcPr>
          <w:p>
            <w:pPr>
              <w:spacing w:after="0" w:line="240" w:lineRule="auto"/>
            </w:pPr>
            <w:r>
              <w:rPr>
                <w:color w:val="1C2B37"/>
                <w:sz w:val="14"/>
              </w:rPr>
              <w:t>Treat as blocked until active authorization and credentials are obtained.</w:t>
            </w:r>
          </w:p>
        </w:tc>
      </w:tr>
      <w:tr>
        <w:tc>
          <w:tcPr>
            <w:tcW w:type="dxa" w:w="1872"/>
            <w:vAlign w:val="top"/>
            <w:shd w:fill="F5F8FA"/>
            <w:tcMar>
              <w:top w:w="55" w:type="dxa"/>
              <w:start w:w="75" w:type="dxa"/>
              <w:bottom w:w="55" w:type="dxa"/>
              <w:end w:w="75" w:type="dxa"/>
            </w:tcMar>
          </w:tcPr>
          <w:p>
            <w:pPr>
              <w:spacing w:after="0" w:line="240" w:lineRule="auto"/>
            </w:pPr>
            <w:r>
              <w:rPr>
                <w:color w:val="1C2B37"/>
                <w:sz w:val="14"/>
              </w:rPr>
              <w:t>Amadeus and other candidates</w:t>
            </w:r>
          </w:p>
        </w:tc>
        <w:tc>
          <w:tcPr>
            <w:tcW w:type="dxa" w:w="5256"/>
            <w:vAlign w:val="top"/>
            <w:shd w:fill="F5F8FA"/>
            <w:tcMar>
              <w:top w:w="55" w:type="dxa"/>
              <w:start w:w="75" w:type="dxa"/>
              <w:bottom w:w="55" w:type="dxa"/>
              <w:end w:w="75" w:type="dxa"/>
            </w:tcMar>
          </w:tcPr>
          <w:p>
            <w:pPr>
              <w:spacing w:after="0" w:line="240" w:lineRule="auto"/>
            </w:pPr>
            <w:r>
              <w:rPr>
                <w:color w:val="1C2B37"/>
                <w:sz w:val="14"/>
              </w:rPr>
              <w:t>Provider-neutral architecture and an Amadeus adapter/test surface appear in the working tree, while authorization/production suitability remains unproven.</w:t>
            </w:r>
          </w:p>
        </w:tc>
        <w:tc>
          <w:tcPr>
            <w:tcW w:type="dxa" w:w="3240"/>
            <w:vAlign w:val="top"/>
            <w:shd w:fill="F5F8FA"/>
            <w:tcMar>
              <w:top w:w="55" w:type="dxa"/>
              <w:start w:w="75" w:type="dxa"/>
              <w:bottom w:w="55" w:type="dxa"/>
              <w:end w:w="75" w:type="dxa"/>
            </w:tcMar>
          </w:tcPr>
          <w:p>
            <w:pPr>
              <w:spacing w:after="0" w:line="240" w:lineRule="auto"/>
            </w:pPr>
            <w:r>
              <w:rPr>
                <w:color w:val="1C2B37"/>
                <w:sz w:val="14"/>
              </w:rPr>
              <w:t>Do not advertise or activate a provider until code, credentials, rights and live/actionable behavior are each verified.</w:t>
            </w:r>
          </w:p>
        </w:tc>
      </w:tr>
    </w:tbl>
    <w:p>
      <w:pPr>
        <w:spacing w:after="0"/>
      </w:pPr>
    </w:p>
    <w:p>
      <w:pPr>
        <w:pStyle w:val="Heading1"/>
      </w:pPr>
      <w:r>
        <w:t>11. Quality interpretation</w:t>
      </w:r>
    </w:p>
    <w:p>
      <w:r>
        <w:t>The project has meaningful automated coverage, but readiness must be judged by layers. Unit and contract tests prove local logic; focused provider probes prove only the tested environment and date/route; browser checks prove a rendered scenario; production-domain validation proves authorized hosting behavior; Product Owner review establishes acceptance. None of those layers substitutes for the others. The report therefore does not equate ‘implemented’ with ‘launched,’ ‘configured’ with ‘authorized,’ or ‘HTTP 200’ with ‘usable inventory.’</w:t>
      </w:r>
    </w:p>
    <w:p>
      <w:r>
        <w:br w:type="page"/>
      </w:r>
    </w:p>
    <w:p>
      <w:pPr>
        <w:pStyle w:val="Heading1"/>
      </w:pPr>
      <w:r>
        <w:t>12. Recommended sequence from now</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3523"/>
        <w:gridCol w:w="3523"/>
        <w:gridCol w:w="3523"/>
      </w:tblGrid>
      <w:tr>
        <w:tc>
          <w:tcPr>
            <w:tcW w:type="dxa" w:w="720"/>
            <w:shd w:fill="123B5D"/>
            <w:vAlign w:val="center"/>
          </w:tcPr>
          <w:p>
            <w:pPr>
              <w:spacing w:after="0"/>
            </w:pPr>
            <w:r>
              <w:rPr>
                <w:b/>
                <w:color w:val="FFFFFF"/>
                <w:sz w:val="14"/>
              </w:rPr>
              <w:t>Order</w:t>
            </w:r>
          </w:p>
        </w:tc>
        <w:tc>
          <w:tcPr>
            <w:tcW w:type="dxa" w:w="5976"/>
            <w:shd w:fill="123B5D"/>
            <w:vAlign w:val="center"/>
          </w:tcPr>
          <w:p>
            <w:pPr>
              <w:spacing w:after="0"/>
            </w:pPr>
            <w:r>
              <w:rPr>
                <w:b/>
                <w:color w:val="FFFFFF"/>
                <w:sz w:val="14"/>
              </w:rPr>
              <w:t>Next action</w:t>
            </w:r>
          </w:p>
        </w:tc>
        <w:tc>
          <w:tcPr>
            <w:tcW w:type="dxa" w:w="3672"/>
            <w:shd w:fill="123B5D"/>
            <w:vAlign w:val="center"/>
          </w:tcPr>
          <w:p>
            <w:pPr>
              <w:spacing w:after="0"/>
            </w:pPr>
            <w:r>
              <w:rPr>
                <w:b/>
                <w:color w:val="FFFFFF"/>
                <w:sz w:val="14"/>
              </w:rPr>
              <w:t>Evidence required</w:t>
            </w:r>
          </w:p>
        </w:tc>
        <w:trPr>
          <w:tblHeader/>
        </w:trPr>
      </w:tr>
      <w:tr>
        <w:tc>
          <w:tcPr>
            <w:tcW w:type="dxa" w:w="720"/>
            <w:vAlign w:val="top"/>
            <w:tcMar>
              <w:top w:w="55" w:type="dxa"/>
              <w:start w:w="75" w:type="dxa"/>
              <w:bottom w:w="55" w:type="dxa"/>
              <w:end w:w="75" w:type="dxa"/>
            </w:tcMar>
          </w:tcPr>
          <w:p>
            <w:pPr>
              <w:spacing w:after="0" w:line="240" w:lineRule="auto"/>
            </w:pPr>
            <w:r>
              <w:rPr>
                <w:color w:val="1C2B37"/>
                <w:sz w:val="14"/>
              </w:rPr>
              <w:t>1</w:t>
            </w:r>
          </w:p>
        </w:tc>
        <w:tc>
          <w:tcPr>
            <w:tcW w:type="dxa" w:w="5976"/>
            <w:vAlign w:val="top"/>
            <w:tcMar>
              <w:top w:w="55" w:type="dxa"/>
              <w:start w:w="75" w:type="dxa"/>
              <w:bottom w:w="55" w:type="dxa"/>
              <w:end w:w="75" w:type="dxa"/>
            </w:tcMar>
          </w:tcPr>
          <w:p>
            <w:pPr>
              <w:spacing w:after="0" w:line="240" w:lineRule="auto"/>
            </w:pPr>
            <w:r>
              <w:rPr>
                <w:color w:val="1C2B37"/>
                <w:sz w:val="14"/>
              </w:rPr>
              <w:t>Close Sprint 1 governance: demonstrate redirect-only routes/copy and obtain Product Owner accept/reject decision.</w:t>
            </w:r>
          </w:p>
        </w:tc>
        <w:tc>
          <w:tcPr>
            <w:tcW w:type="dxa" w:w="3672"/>
            <w:vAlign w:val="top"/>
            <w:tcMar>
              <w:top w:w="55" w:type="dxa"/>
              <w:start w:w="75" w:type="dxa"/>
              <w:bottom w:w="55" w:type="dxa"/>
              <w:end w:w="75" w:type="dxa"/>
            </w:tcMar>
          </w:tcPr>
          <w:p>
            <w:pPr>
              <w:spacing w:after="0" w:line="240" w:lineRule="auto"/>
            </w:pPr>
            <w:r>
              <w:rPr>
                <w:color w:val="1C2B37"/>
                <w:sz w:val="14"/>
              </w:rPr>
              <w:t>Dated review decision and any carry-over items.</w:t>
            </w:r>
          </w:p>
        </w:tc>
      </w:tr>
      <w:tr>
        <w:tc>
          <w:tcPr>
            <w:tcW w:type="dxa" w:w="720"/>
            <w:vAlign w:val="top"/>
            <w:shd w:fill="F5F8FA"/>
            <w:tcMar>
              <w:top w:w="55" w:type="dxa"/>
              <w:start w:w="75" w:type="dxa"/>
              <w:bottom w:w="55" w:type="dxa"/>
              <w:end w:w="75" w:type="dxa"/>
            </w:tcMar>
          </w:tcPr>
          <w:p>
            <w:pPr>
              <w:spacing w:after="0" w:line="240" w:lineRule="auto"/>
            </w:pPr>
            <w:r>
              <w:rPr>
                <w:color w:val="1C2B37"/>
                <w:sz w:val="14"/>
              </w:rPr>
              <w:t>2</w:t>
            </w:r>
          </w:p>
        </w:tc>
        <w:tc>
          <w:tcPr>
            <w:tcW w:type="dxa" w:w="5976"/>
            <w:vAlign w:val="top"/>
            <w:shd w:fill="F5F8FA"/>
            <w:tcMar>
              <w:top w:w="55" w:type="dxa"/>
              <w:start w:w="75" w:type="dxa"/>
              <w:bottom w:w="55" w:type="dxa"/>
              <w:end w:w="75" w:type="dxa"/>
            </w:tcMar>
          </w:tcPr>
          <w:p>
            <w:pPr>
              <w:spacing w:after="0" w:line="240" w:lineRule="auto"/>
            </w:pPr>
            <w:r>
              <w:rPr>
                <w:color w:val="1C2B37"/>
                <w:sz w:val="14"/>
              </w:rPr>
              <w:t>Deploy the Travelpayouts white label to rovvy.app and test search, ticket display, outbound handoff, mobile layout and script failure.</w:t>
            </w:r>
          </w:p>
        </w:tc>
        <w:tc>
          <w:tcPr>
            <w:tcW w:type="dxa" w:w="3672"/>
            <w:vAlign w:val="top"/>
            <w:shd w:fill="F5F8FA"/>
            <w:tcMar>
              <w:top w:w="55" w:type="dxa"/>
              <w:start w:w="75" w:type="dxa"/>
              <w:bottom w:w="55" w:type="dxa"/>
              <w:end w:w="75" w:type="dxa"/>
            </w:tcMar>
          </w:tcPr>
          <w:p>
            <w:pPr>
              <w:spacing w:after="0" w:line="240" w:lineRule="auto"/>
            </w:pPr>
            <w:r>
              <w:rPr>
                <w:color w:val="1C2B37"/>
                <w:sz w:val="14"/>
              </w:rPr>
              <w:t>Screenshots/logs on authorized domain; no claim of live inventory unless returned.</w:t>
            </w:r>
          </w:p>
        </w:tc>
      </w:tr>
      <w:tr>
        <w:tc>
          <w:tcPr>
            <w:tcW w:type="dxa" w:w="720"/>
            <w:vAlign w:val="top"/>
            <w:tcMar>
              <w:top w:w="55" w:type="dxa"/>
              <w:start w:w="75" w:type="dxa"/>
              <w:bottom w:w="55" w:type="dxa"/>
              <w:end w:w="75" w:type="dxa"/>
            </w:tcMar>
          </w:tcPr>
          <w:p>
            <w:pPr>
              <w:spacing w:after="0" w:line="240" w:lineRule="auto"/>
            </w:pPr>
            <w:r>
              <w:rPr>
                <w:color w:val="1C2B37"/>
                <w:sz w:val="14"/>
              </w:rPr>
              <w:t>3</w:t>
            </w:r>
          </w:p>
        </w:tc>
        <w:tc>
          <w:tcPr>
            <w:tcW w:type="dxa" w:w="5976"/>
            <w:vAlign w:val="top"/>
            <w:tcMar>
              <w:top w:w="55" w:type="dxa"/>
              <w:start w:w="75" w:type="dxa"/>
              <w:bottom w:w="55" w:type="dxa"/>
              <w:end w:w="75" w:type="dxa"/>
            </w:tcMar>
          </w:tcPr>
          <w:p>
            <w:pPr>
              <w:spacing w:after="0" w:line="240" w:lineRule="auto"/>
            </w:pPr>
            <w:r>
              <w:rPr>
                <w:color w:val="1C2B37"/>
                <w:sz w:val="14"/>
              </w:rPr>
              <w:t>Complete provider lifecycle metadata and activation gate (FL-010–013).</w:t>
            </w:r>
          </w:p>
        </w:tc>
        <w:tc>
          <w:tcPr>
            <w:tcW w:type="dxa" w:w="3672"/>
            <w:vAlign w:val="top"/>
            <w:tcMar>
              <w:top w:w="55" w:type="dxa"/>
              <w:start w:w="75" w:type="dxa"/>
              <w:bottom w:w="55" w:type="dxa"/>
              <w:end w:w="75" w:type="dxa"/>
            </w:tcMar>
          </w:tcPr>
          <w:p>
            <w:pPr>
              <w:spacing w:after="0" w:line="240" w:lineRule="auto"/>
            </w:pPr>
            <w:r>
              <w:rPr>
                <w:color w:val="1C2B37"/>
                <w:sz w:val="14"/>
              </w:rPr>
              <w:t>Directory/API tests showing registered, configured, authorized, enabled and actionable are independent states.</w:t>
            </w:r>
          </w:p>
        </w:tc>
      </w:tr>
      <w:tr>
        <w:tc>
          <w:tcPr>
            <w:tcW w:type="dxa" w:w="720"/>
            <w:vAlign w:val="top"/>
            <w:shd w:fill="F5F8FA"/>
            <w:tcMar>
              <w:top w:w="55" w:type="dxa"/>
              <w:start w:w="75" w:type="dxa"/>
              <w:bottom w:w="55" w:type="dxa"/>
              <w:end w:w="75" w:type="dxa"/>
            </w:tcMar>
          </w:tcPr>
          <w:p>
            <w:pPr>
              <w:spacing w:after="0" w:line="240" w:lineRule="auto"/>
            </w:pPr>
            <w:r>
              <w:rPr>
                <w:color w:val="1C2B37"/>
                <w:sz w:val="14"/>
              </w:rPr>
              <w:t>4</w:t>
            </w:r>
          </w:p>
        </w:tc>
        <w:tc>
          <w:tcPr>
            <w:tcW w:type="dxa" w:w="5976"/>
            <w:vAlign w:val="top"/>
            <w:shd w:fill="F5F8FA"/>
            <w:tcMar>
              <w:top w:w="55" w:type="dxa"/>
              <w:start w:w="75" w:type="dxa"/>
              <w:bottom w:w="55" w:type="dxa"/>
              <w:end w:w="75" w:type="dxa"/>
            </w:tcMar>
          </w:tcPr>
          <w:p>
            <w:pPr>
              <w:spacing w:after="0" w:line="240" w:lineRule="auto"/>
            </w:pPr>
            <w:r>
              <w:rPr>
                <w:color w:val="1C2B37"/>
                <w:sz w:val="14"/>
              </w:rPr>
              <w:t>Implement server-side redirect validation (FL-071) and partial-result/security coverage (QA-201).</w:t>
            </w:r>
          </w:p>
        </w:tc>
        <w:tc>
          <w:tcPr>
            <w:tcW w:type="dxa" w:w="3672"/>
            <w:vAlign w:val="top"/>
            <w:shd w:fill="F5F8FA"/>
            <w:tcMar>
              <w:top w:w="55" w:type="dxa"/>
              <w:start w:w="75" w:type="dxa"/>
              <w:bottom w:w="55" w:type="dxa"/>
              <w:end w:w="75" w:type="dxa"/>
            </w:tcMar>
          </w:tcPr>
          <w:p>
            <w:pPr>
              <w:spacing w:after="0" w:line="240" w:lineRule="auto"/>
            </w:pPr>
            <w:r>
              <w:rPr>
                <w:color w:val="1C2B37"/>
                <w:sz w:val="14"/>
              </w:rPr>
              <w:t>Unsafe schemes/domains blocked; stale tokens rejected; one provider failure preserves valid results.</w:t>
            </w:r>
          </w:p>
        </w:tc>
      </w:tr>
      <w:tr>
        <w:tc>
          <w:tcPr>
            <w:tcW w:type="dxa" w:w="720"/>
            <w:vAlign w:val="top"/>
            <w:tcMar>
              <w:top w:w="55" w:type="dxa"/>
              <w:start w:w="75" w:type="dxa"/>
              <w:bottom w:w="55" w:type="dxa"/>
              <w:end w:w="75" w:type="dxa"/>
            </w:tcMar>
          </w:tcPr>
          <w:p>
            <w:pPr>
              <w:spacing w:after="0" w:line="240" w:lineRule="auto"/>
            </w:pPr>
            <w:r>
              <w:rPr>
                <w:color w:val="1C2B37"/>
                <w:sz w:val="14"/>
              </w:rPr>
              <w:t>5</w:t>
            </w:r>
          </w:p>
        </w:tc>
        <w:tc>
          <w:tcPr>
            <w:tcW w:type="dxa" w:w="5976"/>
            <w:vAlign w:val="top"/>
            <w:tcMar>
              <w:top w:w="55" w:type="dxa"/>
              <w:start w:w="75" w:type="dxa"/>
              <w:bottom w:w="55" w:type="dxa"/>
              <w:end w:w="75" w:type="dxa"/>
            </w:tcMar>
          </w:tcPr>
          <w:p>
            <w:pPr>
              <w:spacing w:after="0" w:line="240" w:lineRule="auto"/>
            </w:pPr>
            <w:r>
              <w:rPr>
                <w:color w:val="1C2B37"/>
                <w:sz w:val="14"/>
              </w:rPr>
              <w:t>Finish Sprint 3 exact grouping and currency/freshness rules using sanitized provider fixtures.</w:t>
            </w:r>
          </w:p>
        </w:tc>
        <w:tc>
          <w:tcPr>
            <w:tcW w:type="dxa" w:w="3672"/>
            <w:vAlign w:val="top"/>
            <w:tcMar>
              <w:top w:w="55" w:type="dxa"/>
              <w:start w:w="75" w:type="dxa"/>
              <w:bottom w:w="55" w:type="dxa"/>
              <w:end w:w="75" w:type="dxa"/>
            </w:tcMar>
          </w:tcPr>
          <w:p>
            <w:pPr>
              <w:spacing w:after="0" w:line="240" w:lineRule="auto"/>
            </w:pPr>
            <w:r>
              <w:rPr>
                <w:color w:val="1C2B37"/>
                <w:sz w:val="14"/>
              </w:rPr>
              <w:t>Collision, codeshare, overnight, duplicate and expiry suites pass.</w:t>
            </w:r>
          </w:p>
        </w:tc>
      </w:tr>
      <w:tr>
        <w:tc>
          <w:tcPr>
            <w:tcW w:type="dxa" w:w="720"/>
            <w:vAlign w:val="top"/>
            <w:shd w:fill="F5F8FA"/>
            <w:tcMar>
              <w:top w:w="55" w:type="dxa"/>
              <w:start w:w="75" w:type="dxa"/>
              <w:bottom w:w="55" w:type="dxa"/>
              <w:end w:w="75" w:type="dxa"/>
            </w:tcMar>
          </w:tcPr>
          <w:p>
            <w:pPr>
              <w:spacing w:after="0" w:line="240" w:lineRule="auto"/>
            </w:pPr>
            <w:r>
              <w:rPr>
                <w:color w:val="1C2B37"/>
                <w:sz w:val="14"/>
              </w:rPr>
              <w:t>6</w:t>
            </w:r>
          </w:p>
        </w:tc>
        <w:tc>
          <w:tcPr>
            <w:tcW w:type="dxa" w:w="5976"/>
            <w:vAlign w:val="top"/>
            <w:shd w:fill="F5F8FA"/>
            <w:tcMar>
              <w:top w:w="55" w:type="dxa"/>
              <w:start w:w="75" w:type="dxa"/>
              <w:bottom w:w="55" w:type="dxa"/>
              <w:end w:w="75" w:type="dxa"/>
            </w:tcMar>
          </w:tcPr>
          <w:p>
            <w:pPr>
              <w:spacing w:after="0" w:line="240" w:lineRule="auto"/>
            </w:pPr>
            <w:r>
              <w:rPr>
                <w:color w:val="1C2B37"/>
                <w:sz w:val="14"/>
              </w:rPr>
              <w:t>Polish results hierarchy and group usefulness, including coverage/freshness and explainable recommendations.</w:t>
            </w:r>
          </w:p>
        </w:tc>
        <w:tc>
          <w:tcPr>
            <w:tcW w:type="dxa" w:w="3672"/>
            <w:vAlign w:val="top"/>
            <w:shd w:fill="F5F8FA"/>
            <w:tcMar>
              <w:top w:w="55" w:type="dxa"/>
              <w:start w:w="75" w:type="dxa"/>
              <w:bottom w:w="55" w:type="dxa"/>
              <w:end w:w="75" w:type="dxa"/>
            </w:tcMar>
          </w:tcPr>
          <w:p>
            <w:pPr>
              <w:spacing w:after="0" w:line="240" w:lineRule="auto"/>
            </w:pPr>
            <w:r>
              <w:rPr>
                <w:color w:val="1C2B37"/>
                <w:sz w:val="14"/>
              </w:rPr>
              <w:t>Keyboard/mobile visual regression and solo/group usability record.</w:t>
            </w:r>
          </w:p>
        </w:tc>
      </w:tr>
      <w:tr>
        <w:tc>
          <w:tcPr>
            <w:tcW w:type="dxa" w:w="720"/>
            <w:vAlign w:val="top"/>
            <w:tcMar>
              <w:top w:w="55" w:type="dxa"/>
              <w:start w:w="75" w:type="dxa"/>
              <w:bottom w:w="55" w:type="dxa"/>
              <w:end w:w="75" w:type="dxa"/>
            </w:tcMar>
          </w:tcPr>
          <w:p>
            <w:pPr>
              <w:spacing w:after="0" w:line="240" w:lineRule="auto"/>
            </w:pPr>
            <w:r>
              <w:rPr>
                <w:color w:val="1C2B37"/>
                <w:sz w:val="14"/>
              </w:rPr>
              <w:t>7</w:t>
            </w:r>
          </w:p>
        </w:tc>
        <w:tc>
          <w:tcPr>
            <w:tcW w:type="dxa" w:w="5976"/>
            <w:vAlign w:val="top"/>
            <w:tcMar>
              <w:top w:w="55" w:type="dxa"/>
              <w:start w:w="75" w:type="dxa"/>
              <w:bottom w:w="55" w:type="dxa"/>
              <w:end w:w="75" w:type="dxa"/>
            </w:tcMar>
          </w:tcPr>
          <w:p>
            <w:pPr>
              <w:spacing w:after="0" w:line="240" w:lineRule="auto"/>
            </w:pPr>
            <w:r>
              <w:rPr>
                <w:color w:val="1C2B37"/>
                <w:sz w:val="14"/>
              </w:rPr>
              <w:t>Secure one authorized evaluation feed and produce a repeatable integration runbook.</w:t>
            </w:r>
          </w:p>
        </w:tc>
        <w:tc>
          <w:tcPr>
            <w:tcW w:type="dxa" w:w="3672"/>
            <w:vAlign w:val="top"/>
            <w:tcMar>
              <w:top w:w="55" w:type="dxa"/>
              <w:start w:w="75" w:type="dxa"/>
              <w:bottom w:w="55" w:type="dxa"/>
              <w:end w:w="75" w:type="dxa"/>
            </w:tcMar>
          </w:tcPr>
          <w:p>
            <w:pPr>
              <w:spacing w:after="0" w:line="240" w:lineRule="auto"/>
            </w:pPr>
            <w:r>
              <w:rPr>
                <w:color w:val="1C2B37"/>
                <w:sz w:val="14"/>
              </w:rPr>
              <w:t>Permission evidence, allowed use, credentials, contract fixture and successful permitted handoff.</w:t>
            </w:r>
          </w:p>
        </w:tc>
      </w:tr>
      <w:tr>
        <w:tc>
          <w:tcPr>
            <w:tcW w:type="dxa" w:w="720"/>
            <w:vAlign w:val="top"/>
            <w:shd w:fill="F5F8FA"/>
            <w:tcMar>
              <w:top w:w="55" w:type="dxa"/>
              <w:start w:w="75" w:type="dxa"/>
              <w:bottom w:w="55" w:type="dxa"/>
              <w:end w:w="75" w:type="dxa"/>
            </w:tcMar>
          </w:tcPr>
          <w:p>
            <w:pPr>
              <w:spacing w:after="0" w:line="240" w:lineRule="auto"/>
            </w:pPr>
            <w:r>
              <w:rPr>
                <w:color w:val="1C2B37"/>
                <w:sz w:val="14"/>
              </w:rPr>
              <w:t>8</w:t>
            </w:r>
          </w:p>
        </w:tc>
        <w:tc>
          <w:tcPr>
            <w:tcW w:type="dxa" w:w="5976"/>
            <w:vAlign w:val="top"/>
            <w:shd w:fill="F5F8FA"/>
            <w:tcMar>
              <w:top w:w="55" w:type="dxa"/>
              <w:start w:w="75" w:type="dxa"/>
              <w:bottom w:w="55" w:type="dxa"/>
              <w:end w:w="75" w:type="dxa"/>
            </w:tcMar>
          </w:tcPr>
          <w:p>
            <w:pPr>
              <w:spacing w:after="0" w:line="240" w:lineRule="auto"/>
            </w:pPr>
            <w:r>
              <w:rPr>
                <w:color w:val="1C2B37"/>
                <w:sz w:val="14"/>
              </w:rPr>
              <w:t>Create the release gate and evidence package; review privacy, security, performance, rollback and ownership.</w:t>
            </w:r>
          </w:p>
        </w:tc>
        <w:tc>
          <w:tcPr>
            <w:tcW w:type="dxa" w:w="3672"/>
            <w:vAlign w:val="top"/>
            <w:shd w:fill="F5F8FA"/>
            <w:tcMar>
              <w:top w:w="55" w:type="dxa"/>
              <w:start w:w="75" w:type="dxa"/>
              <w:bottom w:w="55" w:type="dxa"/>
              <w:end w:w="75" w:type="dxa"/>
            </w:tcMar>
          </w:tcPr>
          <w:p>
            <w:pPr>
              <w:spacing w:after="0" w:line="240" w:lineRule="auto"/>
            </w:pPr>
            <w:r>
              <w:rPr>
                <w:color w:val="1C2B37"/>
                <w:sz w:val="14"/>
              </w:rPr>
              <w:t>One repeatable command/CI result plus signed Product Owner release decision.</w:t>
            </w:r>
          </w:p>
        </w:tc>
      </w:tr>
      <w:tr>
        <w:tc>
          <w:tcPr>
            <w:tcW w:type="dxa" w:w="720"/>
            <w:vAlign w:val="top"/>
            <w:tcMar>
              <w:top w:w="55" w:type="dxa"/>
              <w:start w:w="75" w:type="dxa"/>
              <w:bottom w:w="55" w:type="dxa"/>
              <w:end w:w="75" w:type="dxa"/>
            </w:tcMar>
          </w:tcPr>
          <w:p>
            <w:pPr>
              <w:spacing w:after="0" w:line="240" w:lineRule="auto"/>
            </w:pPr>
            <w:r>
              <w:rPr>
                <w:color w:val="1C2B37"/>
                <w:sz w:val="14"/>
              </w:rPr>
              <w:t>9</w:t>
            </w:r>
          </w:p>
        </w:tc>
        <w:tc>
          <w:tcPr>
            <w:tcW w:type="dxa" w:w="5976"/>
            <w:vAlign w:val="top"/>
            <w:tcMar>
              <w:top w:w="55" w:type="dxa"/>
              <w:start w:w="75" w:type="dxa"/>
              <w:bottom w:w="55" w:type="dxa"/>
              <w:end w:w="75" w:type="dxa"/>
            </w:tcMar>
          </w:tcPr>
          <w:p>
            <w:pPr>
              <w:spacing w:after="0" w:line="240" w:lineRule="auto"/>
            </w:pPr>
            <w:r>
              <w:rPr>
                <w:color w:val="1C2B37"/>
                <w:sz w:val="14"/>
              </w:rPr>
              <w:t>Then return to platform differentiators: Group Live/Convoy and offline readiness before Creator/Business monetization.</w:t>
            </w:r>
          </w:p>
        </w:tc>
        <w:tc>
          <w:tcPr>
            <w:tcW w:type="dxa" w:w="3672"/>
            <w:vAlign w:val="top"/>
            <w:tcMar>
              <w:top w:w="55" w:type="dxa"/>
              <w:start w:w="75" w:type="dxa"/>
              <w:bottom w:w="55" w:type="dxa"/>
              <w:end w:w="75" w:type="dxa"/>
            </w:tcMar>
          </w:tcPr>
          <w:p>
            <w:pPr>
              <w:spacing w:after="0" w:line="240" w:lineRule="auto"/>
            </w:pPr>
            <w:r>
              <w:rPr>
                <w:color w:val="1C2B37"/>
                <w:sz w:val="14"/>
              </w:rPr>
              <w:t>Consent/expiry tests, offline-state UX, sync policy and production metrics.</w:t>
            </w:r>
          </w:p>
        </w:tc>
      </w:tr>
    </w:tbl>
    <w:p>
      <w:pPr>
        <w:spacing w:after="0"/>
      </w:pPr>
    </w:p>
    <w:p>
      <w:pPr>
        <w:pStyle w:val="Heading1"/>
      </w:pPr>
      <w:r>
        <w:t>13. Definition of success</w:t>
      </w:r>
    </w:p>
    <w:p>
      <w:pPr>
        <w:pStyle w:val="ListBullet"/>
      </w:pPr>
      <w:r>
        <w:t>A traveler can search a real journey, see several distinct timing options, understand stops/duration/risk, compare legitimate seller offers for the exact itinerary, and continue through a validated external handoff.</w:t>
      </w:r>
    </w:p>
    <w:p>
      <w:pPr>
        <w:pStyle w:val="ListBullet"/>
      </w:pPr>
      <w:r>
        <w:t>The experience remains useful when one source fails, honest when nothing actionable exists, and explicit about environment, coverage, price time and seller responsibility.</w:t>
      </w:r>
    </w:p>
    <w:p>
      <w:pPr>
        <w:pStyle w:val="ListBullet"/>
      </w:pPr>
      <w:r>
        <w:t>A group can share and discuss an itinerary and later attach minimal externally confirmed flight facts to Trip Space without suggesting that Rovvy owns the reservation.</w:t>
      </w:r>
    </w:p>
    <w:p>
      <w:pPr>
        <w:pStyle w:val="ListBullet"/>
      </w:pPr>
      <w:r>
        <w:t>Live coordination is consent-based and expires safely; route facts remain deterministic; AI explanations are bounded; offline state is visible and does not masquerade as current data.</w:t>
      </w:r>
    </w:p>
    <w:p>
      <w:pPr>
        <w:pStyle w:val="ListBullet"/>
      </w:pPr>
      <w:r>
        <w:t>Release evidence is reproducible, production configuration is verified, secrets are protected, and rollback/release ownership is named.</w:t>
      </w:r>
    </w:p>
    <w:p>
      <w:pPr>
        <w:pStyle w:val="Heading1"/>
      </w:pPr>
      <w:r>
        <w:t>14. Handoff summary for the ongoing conversation</w:t>
      </w:r>
    </w:p>
    <w:p>
      <w:r>
        <w:t>The correct narrative is: Rovvy has moved well beyond a prototype, but it is not uniformly launch-ready. The core operating-system architecture and many user journeys exist. Flights has undergone a deliberate correction from an internal-booking impression to an honest redirect-only comparison model. That correction is technically established. The next challenge is not adding more provider logos; it is proving authorization, actionability, safe handoff, exact aggregation and production behavior. Parallel platform work should protect the features that make Rovvy distinctive—Trip Space, Lounge, Live coordination, deterministic route intelligence and shared expenses—while deferring higher-risk monetization until trust and reliability are demonstrated.</w:t>
      </w:r>
    </w:p>
    <w:p>
      <w:pPr>
        <w:pStyle w:val="Heading1"/>
      </w:pPr>
      <w:r>
        <w:t>15. Evidence and limitations</w:t>
      </w:r>
    </w:p>
    <w:p>
      <w:r>
        <w:t>Primary records consulted: Scram Book/Travel Tab/Rovvy_Travel_Flights_Scrum_Plan.xlsx; Scram Book/Travel Tab/Rovvy_Flights_Detailed_Product_Report.docx; Scram Book/README.md; PROJECT_HANDOFF.md; GROUP_TRAVEL_OS_OVERVIEW.md; docs/PROJECT_STRUCTURE_AND_EVALUATION.md; GEMINI.md; repository file inventory, Git status/history and existing QA result records. The latest Git commit is dated 12 August 2026, while extensive newer work is modified or untracked; therefore the working tree and Scram Book are essential to this snapshot. No external provider terms or live production system were re-verified for this report, and the full automated suite was not rerun during document generation. Provider access, legal permissions, deployment state and Product Owner acceptance must be confirmed separately before launch claims.</w:t>
      </w:r>
    </w:p>
    <w:tbl>
      <w:tblPr>
        <w:tblW w:type="auto" w:w="0"/>
        <w:jc w:val="center"/>
        <w:tblLayout w:type="fixed"/>
        <w:tblLook w:firstColumn="1" w:firstRow="1" w:lastColumn="0" w:lastRow="0" w:noHBand="0" w:noVBand="1" w:val="04A0"/>
        <w:tblBorders>
          <w:top w:val="single" w:sz="4" w:color="D8E0E8"/>
          <w:left w:val="single" w:sz="4" w:color="D8E0E8"/>
          <w:bottom w:val="single" w:sz="4" w:color="D8E0E8"/>
          <w:right w:val="single" w:sz="4" w:color="D8E0E8"/>
          <w:insideH w:val="single" w:sz="4" w:color="D8E0E8"/>
          <w:insideV w:val="single" w:sz="4" w:color="D8E0E8"/>
        </w:tblBorders>
      </w:tblPr>
      <w:tblGrid>
        <w:gridCol w:w="5285"/>
        <w:gridCol w:w="5285"/>
      </w:tblGrid>
      <w:tr>
        <w:tc>
          <w:tcPr>
            <w:tcW w:type="dxa" w:w="1944"/>
            <w:shd w:fill="123B5D"/>
            <w:vAlign w:val="center"/>
          </w:tcPr>
          <w:p>
            <w:pPr>
              <w:spacing w:after="0"/>
            </w:pPr>
            <w:r>
              <w:rPr>
                <w:b/>
                <w:color w:val="FFFFFF"/>
                <w:sz w:val="15"/>
              </w:rPr>
              <w:t>Final status</w:t>
            </w:r>
          </w:p>
        </w:tc>
        <w:tc>
          <w:tcPr>
            <w:tcW w:type="dxa" w:w="8424"/>
            <w:shd w:fill="123B5D"/>
            <w:vAlign w:val="center"/>
          </w:tcPr>
          <w:p>
            <w:pPr>
              <w:spacing w:after="0"/>
            </w:pPr>
            <w:r>
              <w:rPr>
                <w:b/>
                <w:color w:val="FFFFFF"/>
                <w:sz w:val="15"/>
              </w:rPr>
              <w:t>Assessment</w:t>
            </w:r>
          </w:p>
        </w:tc>
        <w:trPr>
          <w:tblHeader/>
        </w:trPr>
      </w:tr>
      <w:tr>
        <w:tc>
          <w:tcPr>
            <w:tcW w:type="dxa" w:w="1944"/>
            <w:vAlign w:val="top"/>
            <w:tcMar>
              <w:top w:w="55" w:type="dxa"/>
              <w:start w:w="75" w:type="dxa"/>
              <w:bottom w:w="55" w:type="dxa"/>
              <w:end w:w="75" w:type="dxa"/>
            </w:tcMar>
          </w:tcPr>
          <w:p>
            <w:pPr>
              <w:spacing w:after="0" w:line="240" w:lineRule="auto"/>
            </w:pPr>
            <w:r>
              <w:rPr>
                <w:color w:val="1C2B37"/>
                <w:sz w:val="15"/>
              </w:rPr>
              <w:t>Platform</w:t>
            </w:r>
          </w:p>
        </w:tc>
        <w:tc>
          <w:tcPr>
            <w:tcW w:type="dxa" w:w="8424"/>
            <w:vAlign w:val="top"/>
            <w:tcMar>
              <w:top w:w="55" w:type="dxa"/>
              <w:start w:w="75" w:type="dxa"/>
              <w:bottom w:w="55" w:type="dxa"/>
              <w:end w:w="75" w:type="dxa"/>
            </w:tcMar>
          </w:tcPr>
          <w:p>
            <w:pPr>
              <w:spacing w:after="0" w:line="240" w:lineRule="auto"/>
            </w:pPr>
            <w:r>
              <w:rPr>
                <w:color w:val="1C2B37"/>
                <w:sz w:val="15"/>
              </w:rPr>
              <w:t>Substantial high-fidelity product with broad implemented foundations; reliability depth varies by area.</w:t>
            </w:r>
          </w:p>
        </w:tc>
      </w:tr>
      <w:tr>
        <w:tc>
          <w:tcPr>
            <w:tcW w:type="dxa" w:w="1944"/>
            <w:vAlign w:val="top"/>
            <w:shd w:fill="F5F8FA"/>
            <w:tcMar>
              <w:top w:w="55" w:type="dxa"/>
              <w:start w:w="75" w:type="dxa"/>
              <w:bottom w:w="55" w:type="dxa"/>
              <w:end w:w="75" w:type="dxa"/>
            </w:tcMar>
          </w:tcPr>
          <w:p>
            <w:pPr>
              <w:spacing w:after="0" w:line="240" w:lineRule="auto"/>
            </w:pPr>
            <w:r>
              <w:rPr>
                <w:color w:val="1C2B37"/>
                <w:sz w:val="15"/>
              </w:rPr>
              <w:t>Flights</w:t>
            </w:r>
          </w:p>
        </w:tc>
        <w:tc>
          <w:tcPr>
            <w:tcW w:type="dxa" w:w="8424"/>
            <w:vAlign w:val="top"/>
            <w:shd w:fill="F5F8FA"/>
            <w:tcMar>
              <w:top w:w="55" w:type="dxa"/>
              <w:start w:w="75" w:type="dxa"/>
              <w:bottom w:w="55" w:type="dxa"/>
              <w:end w:w="75" w:type="dxa"/>
            </w:tcMar>
          </w:tcPr>
          <w:p>
            <w:pPr>
              <w:spacing w:after="0" w:line="240" w:lineRule="auto"/>
            </w:pPr>
            <w:r>
              <w:rPr>
                <w:color w:val="1C2B37"/>
                <w:sz w:val="15"/>
              </w:rPr>
              <w:t>Sprint 1 technically complete / PO pending; Sprint 2 active with verified early increments and material governance work remaining.</w:t>
            </w:r>
          </w:p>
        </w:tc>
      </w:tr>
      <w:tr>
        <w:tc>
          <w:tcPr>
            <w:tcW w:type="dxa" w:w="1944"/>
            <w:vAlign w:val="top"/>
            <w:tcMar>
              <w:top w:w="55" w:type="dxa"/>
              <w:start w:w="75" w:type="dxa"/>
              <w:bottom w:w="55" w:type="dxa"/>
              <w:end w:w="75" w:type="dxa"/>
            </w:tcMar>
          </w:tcPr>
          <w:p>
            <w:pPr>
              <w:spacing w:after="0" w:line="240" w:lineRule="auto"/>
            </w:pPr>
            <w:r>
              <w:rPr>
                <w:color w:val="1C2B37"/>
                <w:sz w:val="15"/>
              </w:rPr>
              <w:t>Launch</w:t>
            </w:r>
          </w:p>
        </w:tc>
        <w:tc>
          <w:tcPr>
            <w:tcW w:type="dxa" w:w="8424"/>
            <w:vAlign w:val="top"/>
            <w:tcMar>
              <w:top w:w="55" w:type="dxa"/>
              <w:start w:w="75" w:type="dxa"/>
              <w:bottom w:w="55" w:type="dxa"/>
              <w:end w:w="75" w:type="dxa"/>
            </w:tcMar>
          </w:tcPr>
          <w:p>
            <w:pPr>
              <w:spacing w:after="0" w:line="240" w:lineRule="auto"/>
            </w:pPr>
            <w:r>
              <w:rPr>
                <w:color w:val="1C2B37"/>
                <w:sz w:val="15"/>
              </w:rPr>
              <w:t>Not yet approved as a live multi-provider comparison release.</w:t>
            </w:r>
          </w:p>
        </w:tc>
      </w:tr>
      <w:tr>
        <w:tc>
          <w:tcPr>
            <w:tcW w:type="dxa" w:w="1944"/>
            <w:vAlign w:val="top"/>
            <w:shd w:fill="F5F8FA"/>
            <w:tcMar>
              <w:top w:w="55" w:type="dxa"/>
              <w:start w:w="75" w:type="dxa"/>
              <w:bottom w:w="55" w:type="dxa"/>
              <w:end w:w="75" w:type="dxa"/>
            </w:tcMar>
          </w:tcPr>
          <w:p>
            <w:pPr>
              <w:spacing w:after="0" w:line="240" w:lineRule="auto"/>
            </w:pPr>
            <w:r>
              <w:rPr>
                <w:color w:val="1C2B37"/>
                <w:sz w:val="15"/>
              </w:rPr>
              <w:t>Immediate focus</w:t>
            </w:r>
          </w:p>
        </w:tc>
        <w:tc>
          <w:tcPr>
            <w:tcW w:type="dxa" w:w="8424"/>
            <w:vAlign w:val="top"/>
            <w:shd w:fill="F5F8FA"/>
            <w:tcMar>
              <w:top w:w="55" w:type="dxa"/>
              <w:start w:w="75" w:type="dxa"/>
              <w:bottom w:w="55" w:type="dxa"/>
              <w:end w:w="75" w:type="dxa"/>
            </w:tcMar>
          </w:tcPr>
          <w:p>
            <w:pPr>
              <w:spacing w:after="0" w:line="240" w:lineRule="auto"/>
            </w:pPr>
            <w:r>
              <w:rPr>
                <w:color w:val="1C2B37"/>
                <w:sz w:val="15"/>
              </w:rPr>
              <w:t>Close acceptance, verify rovvy.app provider behavior, finish governance and secure redirects, then prove aggregation correctness.</w:t>
            </w:r>
          </w:p>
        </w:tc>
      </w:tr>
    </w:tbl>
    <w:p>
      <w:pPr>
        <w:spacing w:after="0"/>
      </w:pPr>
    </w:p>
    <w:sectPr w:rsidR="00FC693F" w:rsidRPr="0006063C" w:rsidSect="00034616">
      <w:headerReference w:type="default" r:id="rId9"/>
      <w:footerReference w:type="default" r:id="rId10"/>
      <w:pgSz w:w="12240" w:h="15840"/>
      <w:pgMar w:top="691" w:right="835" w:bottom="691" w:left="835"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Confidential working report  |  2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606E"/>
        <w:sz w:val="14"/>
      </w:rPr>
      <w:t>ROVVY  |  DEVELOPMENT STATUS &amp; DELIVERY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color w:val="1C2B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A6F73"/>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123B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88" w:hanging="173"/>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Rovvy Development Status &amp; Delivery Report</dc:title>
  <dc:subject>Complete development snapshot as of 2 September 2026</dc:subject>
  <dc:creator>Rovvy Product &amp; Engineering</dc:creator>
  <cp:keywords>Rovvy, development status, Flights, Travel, roadmap, risks</cp:keywords>
  <dc:description>generated by python-docx</dc:description>
  <cp:lastModifiedBy/>
  <cp:revision>1</cp:revision>
  <dcterms:created xsi:type="dcterms:W3CDTF">2013-12-23T23:15:00Z</dcterms:created>
  <dcterms:modified xsi:type="dcterms:W3CDTF">2013-12-23T23:15:00Z</dcterms:modified>
  <cp:category/>
</cp:coreProperties>
</file>