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before="40" w:after="80"/>
      </w:pPr>
      <w:r>
        <w:rPr>
          <w:rFonts w:ascii="Aptos" w:hAnsi="Aptos"/>
          <w:b/>
          <w:color w:val="0F8277"/>
          <w:sz w:val="17"/>
        </w:rPr>
        <w:t>PRODUCT STRATEGY AND DELIVERY REPORT</w:t>
      </w:r>
    </w:p>
    <w:p>
      <w:pPr>
        <w:spacing w:after="200"/>
      </w:pPr>
      <w:r>
        <w:rPr>
          <w:rFonts w:ascii="Aptos Display" w:hAnsi="Aptos Display"/>
          <w:b/>
          <w:color w:val="08263D"/>
          <w:sz w:val="64"/>
        </w:rPr>
        <w:t>Rovvy Flights</w:t>
      </w:r>
    </w:p>
    <w:p>
      <w:pPr>
        <w:spacing w:after="480"/>
      </w:pPr>
      <w:r>
        <w:rPr>
          <w:color w:val="0F8277"/>
          <w:sz w:val="32"/>
        </w:rPr>
        <w:t>A redirect-only flight comparison experience for solo and group travel</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Purpose: consolidate the complete Flights discussion into one durable product, provider, data, UI, engineering, risk and Scrum reference for the Rovvy Travel unit.</w:t>
            </w:r>
          </w:p>
        </w:tc>
      </w:tr>
    </w:tbl>
    <w:p>
      <w:pPr>
        <w:spacing w:after="0"/>
      </w:pPr>
    </w:p>
    <w:p>
      <w:pPr>
        <w:spacing w:after="480"/>
      </w:pP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00"/>
            <w:tcMar>
              <w:top w:w="80" w:type="dxa"/>
              <w:start w:w="100" w:type="dxa"/>
              <w:bottom w:w="80" w:type="dxa"/>
              <w:end w:w="100" w:type="dxa"/>
            </w:tcMar>
            <w:shd w:fill="08263D"/>
          </w:tcPr>
          <w:p>
            <w:pPr>
              <w:jc w:val="center"/>
            </w:pPr>
            <w:r>
              <w:rPr>
                <w:b/>
                <w:color w:val="FFFFFF"/>
                <w:sz w:val="18"/>
              </w:rPr>
              <w:t>Document</w:t>
            </w:r>
          </w:p>
        </w:tc>
        <w:tc>
          <w:tcPr>
            <w:tcW w:type="dxa" w:w="4700"/>
            <w:tcMar>
              <w:top w:w="80" w:type="dxa"/>
              <w:start w:w="100" w:type="dxa"/>
              <w:bottom w:w="80" w:type="dxa"/>
              <w:end w:w="100" w:type="dxa"/>
            </w:tcMar>
            <w:shd w:fill="08263D"/>
          </w:tcPr>
          <w:p>
            <w:pPr>
              <w:jc w:val="center"/>
            </w:pPr>
            <w:r>
              <w:rPr>
                <w:b/>
                <w:color w:val="FFFFFF"/>
                <w:sz w:val="18"/>
              </w:rPr>
              <w:t>Scope</w:t>
            </w:r>
          </w:p>
        </w:tc>
        <w:tc>
          <w:tcPr>
            <w:tcW w:type="dxa" w:w="2460"/>
            <w:tcMar>
              <w:top w:w="80" w:type="dxa"/>
              <w:start w:w="100" w:type="dxa"/>
              <w:bottom w:w="80" w:type="dxa"/>
              <w:end w:w="100" w:type="dxa"/>
            </w:tcMar>
            <w:shd w:fill="08263D"/>
          </w:tcPr>
          <w:p>
            <w:pPr>
              <w:jc w:val="center"/>
            </w:pPr>
            <w:r>
              <w:rPr>
                <w:b/>
                <w:color w:val="FFFFFF"/>
                <w:sz w:val="18"/>
              </w:rPr>
              <w:t>Status</w:t>
            </w:r>
          </w:p>
        </w:tc>
      </w:tr>
      <w:tr>
        <w:tc>
          <w:tcPr>
            <w:tcW w:type="dxa" w:w="2200"/>
            <w:tcMar>
              <w:top w:w="80" w:type="dxa"/>
              <w:start w:w="100" w:type="dxa"/>
              <w:bottom w:w="80" w:type="dxa"/>
              <w:end w:w="100" w:type="dxa"/>
            </w:tcMar>
            <w:vAlign w:val="center"/>
            <w:shd w:fill="F3F7FA"/>
          </w:tcPr>
          <w:p>
            <w:pPr>
              <w:spacing w:after="0"/>
            </w:pPr>
            <w:r>
              <w:rPr>
                <w:sz w:val="17"/>
              </w:rPr>
              <w:t>Travel unit / Flights subunit</w:t>
            </w:r>
          </w:p>
        </w:tc>
        <w:tc>
          <w:tcPr>
            <w:tcW w:type="dxa" w:w="4700"/>
            <w:tcMar>
              <w:top w:w="80" w:type="dxa"/>
              <w:start w:w="100" w:type="dxa"/>
              <w:bottom w:w="80" w:type="dxa"/>
              <w:end w:w="100" w:type="dxa"/>
            </w:tcMar>
            <w:vAlign w:val="center"/>
            <w:shd w:fill="F3F7FA"/>
          </w:tcPr>
          <w:p>
            <w:pPr>
              <w:spacing w:after="0"/>
            </w:pPr>
            <w:r>
              <w:rPr>
                <w:sz w:val="17"/>
              </w:rPr>
              <w:t>Search, compare, explain and redirect</w:t>
            </w:r>
          </w:p>
        </w:tc>
        <w:tc>
          <w:tcPr>
            <w:tcW w:type="dxa" w:w="2460"/>
            <w:tcMar>
              <w:top w:w="80" w:type="dxa"/>
              <w:start w:w="100" w:type="dxa"/>
              <w:bottom w:w="80" w:type="dxa"/>
              <w:end w:w="100" w:type="dxa"/>
            </w:tcMar>
            <w:vAlign w:val="center"/>
            <w:shd w:fill="F3F7FA"/>
          </w:tcPr>
          <w:p>
            <w:pPr>
              <w:spacing w:after="0"/>
            </w:pPr>
            <w:r>
              <w:rPr>
                <w:sz w:val="17"/>
              </w:rPr>
              <w:t>Development planning</w:t>
            </w:r>
          </w:p>
        </w:tc>
      </w:tr>
      <w:tr>
        <w:tc>
          <w:tcPr>
            <w:tcW w:type="dxa" w:w="2200"/>
            <w:tcMar>
              <w:top w:w="80" w:type="dxa"/>
              <w:start w:w="100" w:type="dxa"/>
              <w:bottom w:w="80" w:type="dxa"/>
              <w:end w:w="100" w:type="dxa"/>
            </w:tcMar>
            <w:vAlign w:val="center"/>
          </w:tcPr>
          <w:p>
            <w:pPr>
              <w:spacing w:after="0"/>
            </w:pPr>
            <w:r>
              <w:rPr>
                <w:sz w:val="17"/>
              </w:rPr>
              <w:t>Commercial model</w:t>
            </w:r>
          </w:p>
        </w:tc>
        <w:tc>
          <w:tcPr>
            <w:tcW w:type="dxa" w:w="4700"/>
            <w:tcMar>
              <w:top w:w="80" w:type="dxa"/>
              <w:start w:w="100" w:type="dxa"/>
              <w:bottom w:w="80" w:type="dxa"/>
              <w:end w:w="100" w:type="dxa"/>
            </w:tcMar>
            <w:vAlign w:val="center"/>
          </w:tcPr>
          <w:p>
            <w:pPr>
              <w:spacing w:after="0"/>
            </w:pPr>
            <w:r>
              <w:rPr>
                <w:sz w:val="17"/>
              </w:rPr>
              <w:t>No Rovvy checkout; no commission required for preview</w:t>
            </w:r>
          </w:p>
        </w:tc>
        <w:tc>
          <w:tcPr>
            <w:tcW w:type="dxa" w:w="2460"/>
            <w:tcMar>
              <w:top w:w="80" w:type="dxa"/>
              <w:start w:w="100" w:type="dxa"/>
              <w:bottom w:w="80" w:type="dxa"/>
              <w:end w:w="100" w:type="dxa"/>
            </w:tcMar>
            <w:vAlign w:val="center"/>
          </w:tcPr>
          <w:p>
            <w:pPr>
              <w:spacing w:after="0"/>
            </w:pPr>
            <w:r>
              <w:rPr>
                <w:sz w:val="17"/>
              </w:rPr>
              <w:t>Non-commercial</w:t>
            </w:r>
          </w:p>
        </w:tc>
      </w:tr>
      <w:tr>
        <w:tc>
          <w:tcPr>
            <w:tcW w:type="dxa" w:w="2200"/>
            <w:tcMar>
              <w:top w:w="80" w:type="dxa"/>
              <w:start w:w="100" w:type="dxa"/>
              <w:bottom w:w="80" w:type="dxa"/>
              <w:end w:w="100" w:type="dxa"/>
            </w:tcMar>
            <w:vAlign w:val="center"/>
            <w:shd w:fill="F3F7FA"/>
          </w:tcPr>
          <w:p>
            <w:pPr>
              <w:spacing w:after="0"/>
            </w:pPr>
            <w:r>
              <w:rPr>
                <w:sz w:val="17"/>
              </w:rPr>
              <w:t>Primary source today</w:t>
            </w:r>
          </w:p>
        </w:tc>
        <w:tc>
          <w:tcPr>
            <w:tcW w:type="dxa" w:w="4700"/>
            <w:tcMar>
              <w:top w:w="80" w:type="dxa"/>
              <w:start w:w="100" w:type="dxa"/>
              <w:bottom w:w="80" w:type="dxa"/>
              <w:end w:w="100" w:type="dxa"/>
            </w:tcMar>
            <w:vAlign w:val="center"/>
            <w:shd w:fill="F3F7FA"/>
          </w:tcPr>
          <w:p>
            <w:pPr>
              <w:spacing w:after="0"/>
            </w:pPr>
            <w:r>
              <w:rPr>
                <w:sz w:val="17"/>
              </w:rPr>
              <w:t>Duffel sandbox/test inventory</w:t>
            </w:r>
          </w:p>
        </w:tc>
        <w:tc>
          <w:tcPr>
            <w:tcW w:type="dxa" w:w="2460"/>
            <w:tcMar>
              <w:top w:w="80" w:type="dxa"/>
              <w:start w:w="100" w:type="dxa"/>
              <w:bottom w:w="80" w:type="dxa"/>
              <w:end w:w="100" w:type="dxa"/>
            </w:tcMar>
            <w:vAlign w:val="center"/>
            <w:shd w:fill="F3F7FA"/>
          </w:tcPr>
          <w:p>
            <w:pPr>
              <w:spacing w:after="0"/>
            </w:pPr>
            <w:r>
              <w:rPr>
                <w:sz w:val="17"/>
              </w:rPr>
              <w:t>Not real booking</w:t>
            </w:r>
          </w:p>
        </w:tc>
      </w:tr>
      <w:tr>
        <w:tc>
          <w:tcPr>
            <w:tcW w:type="dxa" w:w="2200"/>
            <w:tcMar>
              <w:top w:w="80" w:type="dxa"/>
              <w:start w:w="100" w:type="dxa"/>
              <w:bottom w:w="80" w:type="dxa"/>
              <w:end w:w="100" w:type="dxa"/>
            </w:tcMar>
            <w:vAlign w:val="center"/>
          </w:tcPr>
          <w:p>
            <w:pPr>
              <w:spacing w:after="0"/>
            </w:pPr>
            <w:r>
              <w:rPr>
                <w:sz w:val="17"/>
              </w:rPr>
              <w:t>Target evolution</w:t>
            </w:r>
          </w:p>
        </w:tc>
        <w:tc>
          <w:tcPr>
            <w:tcW w:type="dxa" w:w="4700"/>
            <w:tcMar>
              <w:top w:w="80" w:type="dxa"/>
              <w:start w:w="100" w:type="dxa"/>
              <w:bottom w:w="80" w:type="dxa"/>
              <w:end w:w="100" w:type="dxa"/>
            </w:tcMar>
            <w:vAlign w:val="center"/>
          </w:tcPr>
          <w:p>
            <w:pPr>
              <w:spacing w:after="0"/>
            </w:pPr>
            <w:r>
              <w:rPr>
                <w:sz w:val="17"/>
              </w:rPr>
              <w:t>Authorized external providers and airline-direct sources</w:t>
            </w:r>
          </w:p>
        </w:tc>
        <w:tc>
          <w:tcPr>
            <w:tcW w:type="dxa" w:w="2460"/>
            <w:tcMar>
              <w:top w:w="80" w:type="dxa"/>
              <w:start w:w="100" w:type="dxa"/>
              <w:bottom w:w="80" w:type="dxa"/>
              <w:end w:w="100" w:type="dxa"/>
            </w:tcMar>
            <w:vAlign w:val="center"/>
          </w:tcPr>
          <w:p>
            <w:pPr>
              <w:spacing w:after="0"/>
            </w:pPr>
            <w:r>
              <w:rPr>
                <w:sz w:val="17"/>
              </w:rPr>
              <w:t>Access dependent</w:t>
            </w:r>
          </w:p>
        </w:tc>
      </w:tr>
    </w:tbl>
    <w:p>
      <w:pPr>
        <w:spacing w:after="560"/>
      </w:pPr>
    </w:p>
    <w:p>
      <w:r>
        <w:t>Prepared for the Rovvy product owner, engineering team, design reviewers, future provider partners and anyone continuing work on the Travel Tab.</w:t>
      </w:r>
    </w:p>
    <w:p>
      <w:r>
        <w:t>Version date: August 23, 2026. This report records current intent; provider availability, legal permissions, commercial terms and immigration/employment considerations require separate verification before launch.</w:t>
      </w:r>
    </w:p>
    <w:p>
      <w:r>
        <w:br w:type="page"/>
      </w:r>
    </w:p>
    <w:p>
      <w:pPr>
        <w:spacing w:before="40" w:after="80"/>
      </w:pPr>
      <w:r>
        <w:rPr>
          <w:rFonts w:ascii="Aptos" w:hAnsi="Aptos"/>
          <w:b/>
          <w:color w:val="0F8277"/>
          <w:sz w:val="17"/>
        </w:rPr>
        <w:t>PAGE 2 OF 20  |  ORIENTATION</w:t>
      </w:r>
    </w:p>
    <w:p>
      <w:pPr>
        <w:pStyle w:val="Heading1"/>
      </w:pPr>
      <w:r>
        <w:t>Executive Summary and Decision Record</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Rovvy Flights should behave like a trustworthy metasearch and planning layer: accept a journey request, return distinct itineraries, group matching seller offers, explain tradeoffs, and redirect the user to the chosen external provider.</w:t>
            </w:r>
          </w:p>
        </w:tc>
      </w:tr>
    </w:tbl>
    <w:p>
      <w:pPr>
        <w:spacing w:after="0"/>
      </w:pPr>
    </w:p>
    <w:p>
      <w:r>
        <w:t>The product is not intended to become an online travel agency during the current development phase. Rovvy should not collect passenger details, payment information or ticketing responsibility in the public flight flow. The user searches inside Rovvy, compares inside Rovvy, and completes any booking on the selected provider's website.</w:t>
      </w:r>
    </w:p>
    <w:p>
      <w:r>
        <w:t>Duffel remains useful as a technical integration and sandbox source, but test inventory must never look live. It should be separated from the future provider marketplace and clearly labeled as non-bookable unless a production agreement and valid booking model are deliberately approved later.</w:t>
      </w:r>
    </w:p>
    <w:p>
      <w:pPr>
        <w:pStyle w:val="ListBullet"/>
      </w:pPr>
      <w:r>
        <w:t>Primary product promise: clarity across routes, timings, stops, duration, baggage, price freshness and seller choice.</w:t>
      </w:r>
    </w:p>
    <w:p>
      <w:pPr>
        <w:pStyle w:val="ListBullet"/>
      </w:pPr>
      <w:r>
        <w:t>Primary trust promise: every displayed provider and price has provenance, environment and actionable-status metadata.</w:t>
      </w:r>
    </w:p>
    <w:p>
      <w:pPr>
        <w:pStyle w:val="ListBullet"/>
      </w:pPr>
      <w:r>
        <w:t>Primary group-travel advantage: save, share, discuss and attach externally confirmed flights to a Trip Space.</w:t>
      </w:r>
    </w:p>
    <w:p>
      <w:pPr>
        <w:pStyle w:val="ListBullet"/>
      </w:pPr>
      <w:r>
        <w:t>Primary delivery rule: build provider-neutral capabilities first; activate named providers only after written or programmatic permission.</w:t>
      </w:r>
    </w:p>
    <w:p>
      <w:r>
        <w:t>The final architecture therefore separates search orchestration, provider adapters, itinerary normalization, exact-match grouping, ranking, results presentation, safe redirect handoff and Trip Space attachment. Each layer can evolve without changing Rovvy's public role.</w:t>
      </w:r>
    </w:p>
    <w:p>
      <w:r>
        <w:br w:type="page"/>
      </w:r>
    </w:p>
    <w:p>
      <w:pPr>
        <w:spacing w:before="40" w:after="80"/>
      </w:pPr>
      <w:r>
        <w:rPr>
          <w:rFonts w:ascii="Aptos" w:hAnsi="Aptos"/>
          <w:b/>
          <w:color w:val="0F8277"/>
          <w:sz w:val="17"/>
        </w:rPr>
        <w:t>PAGE 3 OF 20  |  PRODUCT CONTEXT</w:t>
      </w:r>
    </w:p>
    <w:p>
      <w:pPr>
        <w:pStyle w:val="Heading1"/>
      </w:pPr>
      <w:r>
        <w:t>Product Context: Rovvy's Travel Unit</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Flights is one subunit of Rovvy's broader Travel experience. It supports solo travel, existing groups, and travelers who are meeting or joining new groups.</w:t>
            </w:r>
          </w:p>
        </w:tc>
      </w:tr>
    </w:tbl>
    <w:p>
      <w:pPr>
        <w:spacing w:after="0"/>
      </w:pPr>
    </w:p>
    <w:p>
      <w:r>
        <w:t>For a solo traveler, Rovvy reduces planning effort and preserves useful choices. For an established group, it gives members a common view of schedules, price ranges and connection tradeoffs. For a traveler joining unfamiliar people, the flight selection can become part of a transparent Trip Space discussion without exposing sensitive booking data.</w:t>
      </w:r>
    </w:p>
    <w:p>
      <w:r>
        <w:t>The Flights tab should therefore not be designed as an isolated fare list. It must connect to trip dates, destinations, people, group decisions and post-booking planning. The flight is a travel component, while Rovvy's differentiated value is coordination around the component.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00"/>
            <w:tcMar>
              <w:top w:w="80" w:type="dxa"/>
              <w:start w:w="100" w:type="dxa"/>
              <w:bottom w:w="80" w:type="dxa"/>
              <w:end w:w="100" w:type="dxa"/>
            </w:tcMar>
            <w:shd w:fill="08263D"/>
          </w:tcPr>
          <w:p>
            <w:pPr>
              <w:jc w:val="center"/>
            </w:pPr>
            <w:r>
              <w:rPr>
                <w:b/>
                <w:color w:val="FFFFFF"/>
                <w:sz w:val="18"/>
              </w:rPr>
              <w:t>Traveler mode</w:t>
            </w:r>
          </w:p>
        </w:tc>
        <w:tc>
          <w:tcPr>
            <w:tcW w:type="dxa" w:w="3000"/>
            <w:tcMar>
              <w:top w:w="80" w:type="dxa"/>
              <w:start w:w="100" w:type="dxa"/>
              <w:bottom w:w="80" w:type="dxa"/>
              <w:end w:w="100" w:type="dxa"/>
            </w:tcMar>
            <w:shd w:fill="08263D"/>
          </w:tcPr>
          <w:p>
            <w:pPr>
              <w:jc w:val="center"/>
            </w:pPr>
            <w:r>
              <w:rPr>
                <w:b/>
                <w:color w:val="FFFFFF"/>
                <w:sz w:val="18"/>
              </w:rPr>
              <w:t>Need</w:t>
            </w:r>
          </w:p>
        </w:tc>
        <w:tc>
          <w:tcPr>
            <w:tcW w:type="dxa" w:w="4660"/>
            <w:tcMar>
              <w:top w:w="80" w:type="dxa"/>
              <w:start w:w="100" w:type="dxa"/>
              <w:bottom w:w="80" w:type="dxa"/>
              <w:end w:w="100" w:type="dxa"/>
            </w:tcMar>
            <w:shd w:fill="08263D"/>
          </w:tcPr>
          <w:p>
            <w:pPr>
              <w:jc w:val="center"/>
            </w:pPr>
            <w:r>
              <w:rPr>
                <w:b/>
                <w:color w:val="FFFFFF"/>
                <w:sz w:val="18"/>
              </w:rPr>
              <w:t>Rovvy contribution</w:t>
            </w:r>
          </w:p>
        </w:tc>
      </w:tr>
      <w:tr>
        <w:tc>
          <w:tcPr>
            <w:tcW w:type="dxa" w:w="1700"/>
            <w:tcMar>
              <w:top w:w="80" w:type="dxa"/>
              <w:start w:w="100" w:type="dxa"/>
              <w:bottom w:w="80" w:type="dxa"/>
              <w:end w:w="100" w:type="dxa"/>
            </w:tcMar>
            <w:vAlign w:val="center"/>
            <w:shd w:fill="F3F7FA"/>
          </w:tcPr>
          <w:p>
            <w:pPr>
              <w:spacing w:after="0"/>
            </w:pPr>
            <w:r>
              <w:rPr>
                <w:sz w:val="17"/>
              </w:rPr>
              <w:t>Solo</w:t>
            </w:r>
          </w:p>
        </w:tc>
        <w:tc>
          <w:tcPr>
            <w:tcW w:type="dxa" w:w="3000"/>
            <w:tcMar>
              <w:top w:w="80" w:type="dxa"/>
              <w:start w:w="100" w:type="dxa"/>
              <w:bottom w:w="80" w:type="dxa"/>
              <w:end w:w="100" w:type="dxa"/>
            </w:tcMar>
            <w:vAlign w:val="center"/>
            <w:shd w:fill="F3F7FA"/>
          </w:tcPr>
          <w:p>
            <w:pPr>
              <w:spacing w:after="0"/>
            </w:pPr>
            <w:r>
              <w:rPr>
                <w:sz w:val="17"/>
              </w:rPr>
              <w:t>Confidence and simplicity</w:t>
            </w:r>
          </w:p>
        </w:tc>
        <w:tc>
          <w:tcPr>
            <w:tcW w:type="dxa" w:w="4660"/>
            <w:tcMar>
              <w:top w:w="80" w:type="dxa"/>
              <w:start w:w="100" w:type="dxa"/>
              <w:bottom w:w="80" w:type="dxa"/>
              <w:end w:w="100" w:type="dxa"/>
            </w:tcMar>
            <w:vAlign w:val="center"/>
            <w:shd w:fill="F3F7FA"/>
          </w:tcPr>
          <w:p>
            <w:pPr>
              <w:spacing w:after="0"/>
            </w:pPr>
            <w:r>
              <w:rPr>
                <w:sz w:val="17"/>
              </w:rPr>
              <w:t>Explain strong options and risks</w:t>
            </w:r>
          </w:p>
        </w:tc>
      </w:tr>
      <w:tr>
        <w:tc>
          <w:tcPr>
            <w:tcW w:type="dxa" w:w="1700"/>
            <w:tcMar>
              <w:top w:w="80" w:type="dxa"/>
              <w:start w:w="100" w:type="dxa"/>
              <w:bottom w:w="80" w:type="dxa"/>
              <w:end w:w="100" w:type="dxa"/>
            </w:tcMar>
            <w:vAlign w:val="center"/>
          </w:tcPr>
          <w:p>
            <w:pPr>
              <w:spacing w:after="0"/>
            </w:pPr>
            <w:r>
              <w:rPr>
                <w:sz w:val="17"/>
              </w:rPr>
              <w:t>Known group</w:t>
            </w:r>
          </w:p>
        </w:tc>
        <w:tc>
          <w:tcPr>
            <w:tcW w:type="dxa" w:w="3000"/>
            <w:tcMar>
              <w:top w:w="80" w:type="dxa"/>
              <w:start w:w="100" w:type="dxa"/>
              <w:bottom w:w="80" w:type="dxa"/>
              <w:end w:w="100" w:type="dxa"/>
            </w:tcMar>
            <w:vAlign w:val="center"/>
          </w:tcPr>
          <w:p>
            <w:pPr>
              <w:spacing w:after="0"/>
            </w:pPr>
            <w:r>
              <w:rPr>
                <w:sz w:val="17"/>
              </w:rPr>
              <w:t>Schedule alignment</w:t>
            </w:r>
          </w:p>
        </w:tc>
        <w:tc>
          <w:tcPr>
            <w:tcW w:type="dxa" w:w="4660"/>
            <w:tcMar>
              <w:top w:w="80" w:type="dxa"/>
              <w:start w:w="100" w:type="dxa"/>
              <w:bottom w:w="80" w:type="dxa"/>
              <w:end w:w="100" w:type="dxa"/>
            </w:tcMar>
            <w:vAlign w:val="center"/>
          </w:tcPr>
          <w:p>
            <w:pPr>
              <w:spacing w:after="0"/>
            </w:pPr>
            <w:r>
              <w:rPr>
                <w:sz w:val="17"/>
              </w:rPr>
              <w:t>Share and compare itineraries</w:t>
            </w:r>
          </w:p>
        </w:tc>
      </w:tr>
      <w:tr>
        <w:tc>
          <w:tcPr>
            <w:tcW w:type="dxa" w:w="1700"/>
            <w:tcMar>
              <w:top w:w="80" w:type="dxa"/>
              <w:start w:w="100" w:type="dxa"/>
              <w:bottom w:w="80" w:type="dxa"/>
              <w:end w:w="100" w:type="dxa"/>
            </w:tcMar>
            <w:vAlign w:val="center"/>
            <w:shd w:fill="F3F7FA"/>
          </w:tcPr>
          <w:p>
            <w:pPr>
              <w:spacing w:after="0"/>
            </w:pPr>
            <w:r>
              <w:rPr>
                <w:sz w:val="17"/>
              </w:rPr>
              <w:t>New group</w:t>
            </w:r>
          </w:p>
        </w:tc>
        <w:tc>
          <w:tcPr>
            <w:tcW w:type="dxa" w:w="3000"/>
            <w:tcMar>
              <w:top w:w="80" w:type="dxa"/>
              <w:start w:w="100" w:type="dxa"/>
              <w:bottom w:w="80" w:type="dxa"/>
              <w:end w:w="100" w:type="dxa"/>
            </w:tcMar>
            <w:vAlign w:val="center"/>
            <w:shd w:fill="F3F7FA"/>
          </w:tcPr>
          <w:p>
            <w:pPr>
              <w:spacing w:after="0"/>
            </w:pPr>
            <w:r>
              <w:rPr>
                <w:sz w:val="17"/>
              </w:rPr>
              <w:t>Trust and boundaries</w:t>
            </w:r>
          </w:p>
        </w:tc>
        <w:tc>
          <w:tcPr>
            <w:tcW w:type="dxa" w:w="4660"/>
            <w:tcMar>
              <w:top w:w="80" w:type="dxa"/>
              <w:start w:w="100" w:type="dxa"/>
              <w:bottom w:w="80" w:type="dxa"/>
              <w:end w:w="100" w:type="dxa"/>
            </w:tcMar>
            <w:vAlign w:val="center"/>
            <w:shd w:fill="F3F7FA"/>
          </w:tcPr>
          <w:p>
            <w:pPr>
              <w:spacing w:after="0"/>
            </w:pPr>
            <w:r>
              <w:rPr>
                <w:sz w:val="17"/>
              </w:rPr>
              <w:t>Coordinate without exposing payment or passport data</w:t>
            </w:r>
          </w:p>
        </w:tc>
      </w:tr>
      <w:tr>
        <w:tc>
          <w:tcPr>
            <w:tcW w:type="dxa" w:w="1700"/>
            <w:tcMar>
              <w:top w:w="80" w:type="dxa"/>
              <w:start w:w="100" w:type="dxa"/>
              <w:bottom w:w="80" w:type="dxa"/>
              <w:end w:w="100" w:type="dxa"/>
            </w:tcMar>
            <w:vAlign w:val="center"/>
          </w:tcPr>
          <w:p>
            <w:pPr>
              <w:spacing w:after="0"/>
            </w:pPr>
            <w:r>
              <w:rPr>
                <w:sz w:val="17"/>
              </w:rPr>
              <w:t>Trip organizer</w:t>
            </w:r>
          </w:p>
        </w:tc>
        <w:tc>
          <w:tcPr>
            <w:tcW w:type="dxa" w:w="3000"/>
            <w:tcMar>
              <w:top w:w="80" w:type="dxa"/>
              <w:start w:w="100" w:type="dxa"/>
              <w:bottom w:w="80" w:type="dxa"/>
              <w:end w:w="100" w:type="dxa"/>
            </w:tcMar>
            <w:vAlign w:val="center"/>
          </w:tcPr>
          <w:p>
            <w:pPr>
              <w:spacing w:after="0"/>
            </w:pPr>
            <w:r>
              <w:rPr>
                <w:sz w:val="17"/>
              </w:rPr>
              <w:t>Decision visibility</w:t>
            </w:r>
          </w:p>
        </w:tc>
        <w:tc>
          <w:tcPr>
            <w:tcW w:type="dxa" w:w="4660"/>
            <w:tcMar>
              <w:top w:w="80" w:type="dxa"/>
              <w:start w:w="100" w:type="dxa"/>
              <w:bottom w:w="80" w:type="dxa"/>
              <w:end w:w="100" w:type="dxa"/>
            </w:tcMar>
            <w:vAlign w:val="center"/>
          </w:tcPr>
          <w:p>
            <w:pPr>
              <w:spacing w:after="0"/>
            </w:pPr>
            <w:r>
              <w:rPr>
                <w:sz w:val="17"/>
              </w:rPr>
              <w:t>Record the selected external booking in Trip Space</w:t>
            </w:r>
          </w:p>
        </w:tc>
      </w:tr>
    </w:tbl>
    <w:p>
      <w:pPr>
        <w:pStyle w:val="ListBullet"/>
      </w:pPr>
      <w:r>
        <w:t>Preserve Rovvy's global brand, colors and navigation across Flights.</w:t>
      </w:r>
    </w:p>
    <w:p>
      <w:pPr>
        <w:pStyle w:val="ListBullet"/>
      </w:pPr>
      <w:r>
        <w:t>Use Flights-specific layouts without creating a separate brand identity.</w:t>
      </w:r>
    </w:p>
    <w:p>
      <w:pPr>
        <w:pStyle w:val="ListBullet"/>
      </w:pPr>
      <w:r>
        <w:t>Design for both individual decisions and group discussion.</w:t>
      </w:r>
    </w:p>
    <w:p>
      <w:pPr>
        <w:pStyle w:val="ListBullet"/>
      </w:pPr>
      <w:r>
        <w:t>Keep booking ownership with the airline, OTA or authorized provider selected by the user.</w:t>
      </w:r>
    </w:p>
    <w:p>
      <w:r>
        <w:br w:type="page"/>
      </w:r>
    </w:p>
    <w:p>
      <w:pPr>
        <w:spacing w:before="40" w:after="80"/>
      </w:pPr>
      <w:r>
        <w:rPr>
          <w:rFonts w:ascii="Aptos" w:hAnsi="Aptos"/>
          <w:b/>
          <w:color w:val="0F8277"/>
          <w:sz w:val="17"/>
        </w:rPr>
        <w:t>PAGE 4 OF 20  |  OPERATING MODEL</w:t>
      </w:r>
    </w:p>
    <w:p>
      <w:pPr>
        <w:pStyle w:val="Heading1"/>
      </w:pPr>
      <w:r>
        <w:t>Product Boundary: Aggregator, Not Ticket Seller</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most important product boundary is explicit: Rovvy compares offers and redirects; the external provider completes and services the booking.</w:t>
            </w:r>
          </w:p>
        </w:tc>
      </w:tr>
    </w:tbl>
    <w:p>
      <w:pPr>
        <w:spacing w:after="0"/>
      </w:pPr>
    </w:p>
    <w:p>
      <w:r>
        <w:t>A metasearch experience can still be rich and valuable without internal checkout. Rovvy can gather search criteria, display itineraries, show multiple seller offers for an exact itinerary, rank results and provide an external handoff. It does not need to issue a ticket or earn commission to validate the user experience.</w:t>
      </w:r>
    </w:p>
    <w:p>
      <w:r>
        <w:t>The public flow must remove contradictory language such as 'Rovvy does not sell tickets' beside 'Book with Rovvy.' Buttons should say 'Compare providers,' 'View options' or 'Continue to provider.' The provider panel should state that price, payment, changes, cancellation and support are governed by the selected seller.</w:t>
      </w:r>
    </w:p>
    <w:p>
      <w:pPr>
        <w:pStyle w:val="ListBullet"/>
      </w:pPr>
      <w:r>
        <w:t>Allowed inside Rovvy: search criteria, filters, sorting, comparison, saved decisions, sharing and external-booking attachment.</w:t>
      </w:r>
    </w:p>
    <w:p>
      <w:pPr>
        <w:pStyle w:val="ListBullet"/>
      </w:pPr>
      <w:r>
        <w:t>Not allowed in the current public flow: traveler checkout, payment collection, ticket issuance or claims that Rovvy services the reservation.</w:t>
      </w:r>
    </w:p>
    <w:p>
      <w:pPr>
        <w:pStyle w:val="ListBullet"/>
      </w:pPr>
      <w:r>
        <w:t>Optional future work: reconsider direct booking only after business, legal, provider and operational approval.</w:t>
      </w:r>
    </w:p>
    <w:p>
      <w:pPr>
        <w:pStyle w:val="ListBullet"/>
      </w:pPr>
      <w:r>
        <w:t>Authentication: not required for search or redirect; required only for persistent personal or group features when appropriate.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Decision: internal booking pages may remain behind a disabled development flag for reference, but no ordinary public route or call-to-action may reach them.</w:t>
            </w:r>
          </w:p>
        </w:tc>
      </w:tr>
    </w:tbl>
    <w:p>
      <w:pPr>
        <w:spacing w:after="0"/>
      </w:pPr>
    </w:p>
    <w:p>
      <w:r>
        <w:br w:type="page"/>
      </w:r>
    </w:p>
    <w:p>
      <w:pPr>
        <w:spacing w:before="40" w:after="80"/>
      </w:pPr>
      <w:r>
        <w:rPr>
          <w:rFonts w:ascii="Aptos" w:hAnsi="Aptos"/>
          <w:b/>
          <w:color w:val="0F8277"/>
          <w:sz w:val="17"/>
        </w:rPr>
        <w:t>PAGE 5 OF 20  |  EXPERIENCE FLOW</w:t>
      </w:r>
    </w:p>
    <w:p>
      <w:pPr>
        <w:pStyle w:val="Heading1"/>
      </w:pPr>
      <w:r>
        <w:t>Target User Journey</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A successful experience starts with a natural journey request and ends with a safe, itinerary-specific provider handoff.</w:t>
            </w:r>
          </w:p>
        </w:tc>
      </w:tr>
    </w:tbl>
    <w:p>
      <w:pPr>
        <w:spacing w:after="0"/>
      </w:pPr>
    </w:p>
    <w:p>
      <w:pPr>
        <w:spacing w:after="60"/>
        <w:ind w:left="317" w:hanging="317"/>
      </w:pPr>
      <w:r>
        <w:t>1.  The user chooses one-way, round-trip or multi-city and enters origin, destination, dates, travelers and cabin.</w:t>
      </w:r>
    </w:p>
    <w:p>
      <w:pPr>
        <w:spacing w:after="60"/>
        <w:ind w:left="317" w:hanging="317"/>
      </w:pPr>
      <w:r>
        <w:t>2.  Rovvy validates locations and dates, then sends one normalized search request to the provider coordinator.</w:t>
      </w:r>
    </w:p>
    <w:p>
      <w:pPr>
        <w:spacing w:after="60"/>
        <w:ind w:left="317" w:hanging="317"/>
      </w:pPr>
      <w:r>
        <w:t>3.  Authorized adapters search concurrently within provider-specific timeouts.</w:t>
      </w:r>
    </w:p>
    <w:p>
      <w:pPr>
        <w:spacing w:after="60"/>
        <w:ind w:left="317" w:hanging="317"/>
      </w:pPr>
      <w:r>
        <w:t>4.  Rovvy normalizes results and creates distinct itinerary fingerprints.</w:t>
      </w:r>
    </w:p>
    <w:p>
      <w:pPr>
        <w:spacing w:after="60"/>
        <w:ind w:left="317" w:hanging="317"/>
      </w:pPr>
      <w:r>
        <w:t>5.  Exact itinerary matches are grouped; near matches remain separate.</w:t>
      </w:r>
    </w:p>
    <w:p>
      <w:pPr>
        <w:spacing w:after="60"/>
        <w:ind w:left="317" w:hanging="317"/>
      </w:pPr>
      <w:r>
        <w:t>6.  Rovvy ranks itineraries by value and explains the recommendation.</w:t>
      </w:r>
    </w:p>
    <w:p>
      <w:pPr>
        <w:spacing w:after="60"/>
        <w:ind w:left="317" w:hanging="317"/>
      </w:pPr>
      <w:r>
        <w:t>7.  The user opens seller options for one itinerary and compares actionable providers.</w:t>
      </w:r>
    </w:p>
    <w:p>
      <w:pPr>
        <w:spacing w:after="60"/>
        <w:ind w:left="317" w:hanging="317"/>
      </w:pPr>
      <w:r>
        <w:t>8.  Rovvy validates the external destination and redirects the user.</w:t>
      </w:r>
    </w:p>
    <w:p>
      <w:pPr>
        <w:spacing w:after="60"/>
        <w:ind w:left="317" w:hanging="317"/>
      </w:pPr>
      <w:r>
        <w:t>9.  After booking externally, the user may attach a minimal confirmation summary to Trip Space.</w:t>
      </w:r>
    </w:p>
    <w:p>
      <w:r>
        <w:t>For the Chicago-to-India example, the experience should return several timing combinations rather than one artificial answer. A provider may offer a direct or connecting journey at different departure times; other providers may sell the same underlying segments at different prices. Rovvy should make those relationships visible without inventing combinations that cannot be ticketed safely.</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product must distinguish a single through-ticket itinerary from a self-transfer combination. Self-transfer risk, baggage re-check, airport changes and connection protection must never be assumed.</w:t>
            </w:r>
          </w:p>
        </w:tc>
      </w:tr>
    </w:tbl>
    <w:p>
      <w:pPr>
        <w:spacing w:after="0"/>
      </w:pPr>
    </w:p>
    <w:p>
      <w:r>
        <w:br w:type="page"/>
      </w:r>
    </w:p>
    <w:p>
      <w:pPr>
        <w:spacing w:before="40" w:after="80"/>
      </w:pPr>
      <w:r>
        <w:rPr>
          <w:rFonts w:ascii="Aptos" w:hAnsi="Aptos"/>
          <w:b/>
          <w:color w:val="0F8277"/>
          <w:sz w:val="17"/>
        </w:rPr>
        <w:t>PAGE 6 OF 20  |  SEARCH</w:t>
      </w:r>
    </w:p>
    <w:p>
      <w:pPr>
        <w:pStyle w:val="Heading1"/>
      </w:pPr>
      <w:r>
        <w:t>Search Form and Input Requirements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search form should feel standard, strong and editable while preserving Rovvy's established teal brand system.</w:t>
            </w:r>
          </w:p>
        </w:tc>
      </w:tr>
    </w:tbl>
    <w:p>
      <w:pPr>
        <w:spacing w:after="0"/>
      </w:pPr>
    </w:p>
    <w:p>
      <w:r>
        <w:t>The form supports round trip, one way and multi-city. Airport fields should use structured location objects internally but always render readable airport and city labels. Date selection should prevent impossible combinations and preserve local dates across URL serialization.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tcMar>
              <w:top w:w="80" w:type="dxa"/>
              <w:start w:w="100" w:type="dxa"/>
              <w:bottom w:w="80" w:type="dxa"/>
              <w:end w:w="100" w:type="dxa"/>
            </w:tcMar>
            <w:shd w:fill="08263D"/>
          </w:tcPr>
          <w:p>
            <w:pPr>
              <w:jc w:val="center"/>
            </w:pPr>
            <w:r>
              <w:rPr>
                <w:b/>
                <w:color w:val="FFFFFF"/>
                <w:sz w:val="18"/>
              </w:rPr>
              <w:t>Input</w:t>
            </w:r>
          </w:p>
        </w:tc>
        <w:tc>
          <w:tcPr>
            <w:tcW w:type="dxa" w:w="4400"/>
            <w:tcMar>
              <w:top w:w="80" w:type="dxa"/>
              <w:start w:w="100" w:type="dxa"/>
              <w:bottom w:w="80" w:type="dxa"/>
              <w:end w:w="100" w:type="dxa"/>
            </w:tcMar>
            <w:shd w:fill="08263D"/>
          </w:tcPr>
          <w:p>
            <w:pPr>
              <w:jc w:val="center"/>
            </w:pPr>
            <w:r>
              <w:rPr>
                <w:b/>
                <w:color w:val="FFFFFF"/>
                <w:sz w:val="18"/>
              </w:rPr>
              <w:t>Required behavior</w:t>
            </w:r>
          </w:p>
        </w:tc>
        <w:tc>
          <w:tcPr>
            <w:tcW w:type="dxa" w:w="3160"/>
            <w:tcMar>
              <w:top w:w="80" w:type="dxa"/>
              <w:start w:w="100" w:type="dxa"/>
              <w:bottom w:w="80" w:type="dxa"/>
              <w:end w:w="100" w:type="dxa"/>
            </w:tcMar>
            <w:shd w:fill="08263D"/>
          </w:tcPr>
          <w:p>
            <w:pPr>
              <w:jc w:val="center"/>
            </w:pPr>
            <w:r>
              <w:rPr>
                <w:b/>
                <w:color w:val="FFFFFF"/>
                <w:sz w:val="18"/>
              </w:rPr>
              <w:t>Validation</w:t>
            </w:r>
          </w:p>
        </w:tc>
      </w:tr>
      <w:tr>
        <w:tc>
          <w:tcPr>
            <w:tcW w:type="dxa" w:w="1800"/>
            <w:tcMar>
              <w:top w:w="80" w:type="dxa"/>
              <w:start w:w="100" w:type="dxa"/>
              <w:bottom w:w="80" w:type="dxa"/>
              <w:end w:w="100" w:type="dxa"/>
            </w:tcMar>
            <w:vAlign w:val="center"/>
            <w:shd w:fill="F3F7FA"/>
          </w:tcPr>
          <w:p>
            <w:pPr>
              <w:spacing w:after="0"/>
            </w:pPr>
            <w:r>
              <w:rPr>
                <w:sz w:val="17"/>
              </w:rPr>
              <w:t>Origin / destination</w:t>
            </w:r>
          </w:p>
        </w:tc>
        <w:tc>
          <w:tcPr>
            <w:tcW w:type="dxa" w:w="4400"/>
            <w:tcMar>
              <w:top w:w="80" w:type="dxa"/>
              <w:start w:w="100" w:type="dxa"/>
              <w:bottom w:w="80" w:type="dxa"/>
              <w:end w:w="100" w:type="dxa"/>
            </w:tcMar>
            <w:vAlign w:val="center"/>
            <w:shd w:fill="F3F7FA"/>
          </w:tcPr>
          <w:p>
            <w:pPr>
              <w:spacing w:after="0"/>
            </w:pPr>
            <w:r>
              <w:rPr>
                <w:sz w:val="17"/>
              </w:rPr>
              <w:t>Airport or supported city</w:t>
            </w:r>
          </w:p>
        </w:tc>
        <w:tc>
          <w:tcPr>
            <w:tcW w:type="dxa" w:w="3160"/>
            <w:tcMar>
              <w:top w:w="80" w:type="dxa"/>
              <w:start w:w="100" w:type="dxa"/>
              <w:bottom w:w="80" w:type="dxa"/>
              <w:end w:w="100" w:type="dxa"/>
            </w:tcMar>
            <w:vAlign w:val="center"/>
            <w:shd w:fill="F3F7FA"/>
          </w:tcPr>
          <w:p>
            <w:pPr>
              <w:spacing w:after="0"/>
            </w:pPr>
            <w:r>
              <w:rPr>
                <w:sz w:val="17"/>
              </w:rPr>
              <w:t>Must resolve to valid code</w:t>
            </w:r>
          </w:p>
        </w:tc>
      </w:tr>
      <w:tr>
        <w:tc>
          <w:tcPr>
            <w:tcW w:type="dxa" w:w="1800"/>
            <w:tcMar>
              <w:top w:w="80" w:type="dxa"/>
              <w:start w:w="100" w:type="dxa"/>
              <w:bottom w:w="80" w:type="dxa"/>
              <w:end w:w="100" w:type="dxa"/>
            </w:tcMar>
            <w:vAlign w:val="center"/>
          </w:tcPr>
          <w:p>
            <w:pPr>
              <w:spacing w:after="0"/>
            </w:pPr>
            <w:r>
              <w:rPr>
                <w:sz w:val="17"/>
              </w:rPr>
              <w:t>Dates</w:t>
            </w:r>
          </w:p>
        </w:tc>
        <w:tc>
          <w:tcPr>
            <w:tcW w:type="dxa" w:w="4400"/>
            <w:tcMar>
              <w:top w:w="80" w:type="dxa"/>
              <w:start w:w="100" w:type="dxa"/>
              <w:bottom w:w="80" w:type="dxa"/>
              <w:end w:w="100" w:type="dxa"/>
            </w:tcMar>
            <w:vAlign w:val="center"/>
          </w:tcPr>
          <w:p>
            <w:pPr>
              <w:spacing w:after="0"/>
            </w:pPr>
            <w:r>
              <w:rPr>
                <w:sz w:val="17"/>
              </w:rPr>
              <w:t>One or two dates; per-leg for multi-city</w:t>
            </w:r>
          </w:p>
        </w:tc>
        <w:tc>
          <w:tcPr>
            <w:tcW w:type="dxa" w:w="3160"/>
            <w:tcMar>
              <w:top w:w="80" w:type="dxa"/>
              <w:start w:w="100" w:type="dxa"/>
              <w:bottom w:w="80" w:type="dxa"/>
              <w:end w:w="100" w:type="dxa"/>
            </w:tcMar>
            <w:vAlign w:val="center"/>
          </w:tcPr>
          <w:p>
            <w:pPr>
              <w:spacing w:after="0"/>
            </w:pPr>
            <w:r>
              <w:rPr>
                <w:sz w:val="17"/>
              </w:rPr>
              <w:t>No return before departure</w:t>
            </w:r>
          </w:p>
        </w:tc>
      </w:tr>
      <w:tr>
        <w:tc>
          <w:tcPr>
            <w:tcW w:type="dxa" w:w="1800"/>
            <w:tcMar>
              <w:top w:w="80" w:type="dxa"/>
              <w:start w:w="100" w:type="dxa"/>
              <w:bottom w:w="80" w:type="dxa"/>
              <w:end w:w="100" w:type="dxa"/>
            </w:tcMar>
            <w:vAlign w:val="center"/>
            <w:shd w:fill="F3F7FA"/>
          </w:tcPr>
          <w:p>
            <w:pPr>
              <w:spacing w:after="0"/>
            </w:pPr>
            <w:r>
              <w:rPr>
                <w:sz w:val="17"/>
              </w:rPr>
              <w:t>Travelers</w:t>
            </w:r>
          </w:p>
        </w:tc>
        <w:tc>
          <w:tcPr>
            <w:tcW w:type="dxa" w:w="4400"/>
            <w:tcMar>
              <w:top w:w="80" w:type="dxa"/>
              <w:start w:w="100" w:type="dxa"/>
              <w:bottom w:w="80" w:type="dxa"/>
              <w:end w:w="100" w:type="dxa"/>
            </w:tcMar>
            <w:vAlign w:val="center"/>
            <w:shd w:fill="F3F7FA"/>
          </w:tcPr>
          <w:p>
            <w:pPr>
              <w:spacing w:after="0"/>
            </w:pPr>
            <w:r>
              <w:rPr>
                <w:sz w:val="17"/>
              </w:rPr>
              <w:t>Adults, children, infants</w:t>
            </w:r>
          </w:p>
        </w:tc>
        <w:tc>
          <w:tcPr>
            <w:tcW w:type="dxa" w:w="3160"/>
            <w:tcMar>
              <w:top w:w="80" w:type="dxa"/>
              <w:start w:w="100" w:type="dxa"/>
              <w:bottom w:w="80" w:type="dxa"/>
              <w:end w:w="100" w:type="dxa"/>
            </w:tcMar>
            <w:vAlign w:val="center"/>
            <w:shd w:fill="F3F7FA"/>
          </w:tcPr>
          <w:p>
            <w:pPr>
              <w:spacing w:after="0"/>
            </w:pPr>
            <w:r>
              <w:rPr>
                <w:sz w:val="17"/>
              </w:rPr>
              <w:t>Provider limits and infant rules</w:t>
            </w:r>
          </w:p>
        </w:tc>
      </w:tr>
      <w:tr>
        <w:tc>
          <w:tcPr>
            <w:tcW w:type="dxa" w:w="1800"/>
            <w:tcMar>
              <w:top w:w="80" w:type="dxa"/>
              <w:start w:w="100" w:type="dxa"/>
              <w:bottom w:w="80" w:type="dxa"/>
              <w:end w:w="100" w:type="dxa"/>
            </w:tcMar>
            <w:vAlign w:val="center"/>
          </w:tcPr>
          <w:p>
            <w:pPr>
              <w:spacing w:after="0"/>
            </w:pPr>
            <w:r>
              <w:rPr>
                <w:sz w:val="17"/>
              </w:rPr>
              <w:t>Cabin</w:t>
            </w:r>
          </w:p>
        </w:tc>
        <w:tc>
          <w:tcPr>
            <w:tcW w:type="dxa" w:w="4400"/>
            <w:tcMar>
              <w:top w:w="80" w:type="dxa"/>
              <w:start w:w="100" w:type="dxa"/>
              <w:bottom w:w="80" w:type="dxa"/>
              <w:end w:w="100" w:type="dxa"/>
            </w:tcMar>
            <w:vAlign w:val="center"/>
          </w:tcPr>
          <w:p>
            <w:pPr>
              <w:spacing w:after="0"/>
            </w:pPr>
            <w:r>
              <w:rPr>
                <w:sz w:val="17"/>
              </w:rPr>
              <w:t>Economy through supported premium cabins</w:t>
            </w:r>
          </w:p>
        </w:tc>
        <w:tc>
          <w:tcPr>
            <w:tcW w:type="dxa" w:w="3160"/>
            <w:tcMar>
              <w:top w:w="80" w:type="dxa"/>
              <w:start w:w="100" w:type="dxa"/>
              <w:bottom w:w="80" w:type="dxa"/>
              <w:end w:w="100" w:type="dxa"/>
            </w:tcMar>
            <w:vAlign w:val="center"/>
          </w:tcPr>
          <w:p>
            <w:pPr>
              <w:spacing w:after="0"/>
            </w:pPr>
            <w:r>
              <w:rPr>
                <w:sz w:val="17"/>
              </w:rPr>
              <w:t>Map to adapter vocabulary</w:t>
            </w:r>
          </w:p>
        </w:tc>
      </w:tr>
      <w:tr>
        <w:tc>
          <w:tcPr>
            <w:tcW w:type="dxa" w:w="1800"/>
            <w:tcMar>
              <w:top w:w="80" w:type="dxa"/>
              <w:start w:w="100" w:type="dxa"/>
              <w:bottom w:w="80" w:type="dxa"/>
              <w:end w:w="100" w:type="dxa"/>
            </w:tcMar>
            <w:vAlign w:val="center"/>
            <w:shd w:fill="F3F7FA"/>
          </w:tcPr>
          <w:p>
            <w:pPr>
              <w:spacing w:after="0"/>
            </w:pPr>
            <w:r>
              <w:rPr>
                <w:sz w:val="17"/>
              </w:rPr>
              <w:t>Advanced</w:t>
            </w:r>
          </w:p>
        </w:tc>
        <w:tc>
          <w:tcPr>
            <w:tcW w:type="dxa" w:w="4400"/>
            <w:tcMar>
              <w:top w:w="80" w:type="dxa"/>
              <w:start w:w="100" w:type="dxa"/>
              <w:bottom w:w="80" w:type="dxa"/>
              <w:end w:w="100" w:type="dxa"/>
            </w:tcMar>
            <w:vAlign w:val="center"/>
            <w:shd w:fill="F3F7FA"/>
          </w:tcPr>
          <w:p>
            <w:pPr>
              <w:spacing w:after="0"/>
            </w:pPr>
            <w:r>
              <w:rPr>
                <w:sz w:val="17"/>
              </w:rPr>
              <w:t>Stops, baggage, time, nearby airports</w:t>
            </w:r>
          </w:p>
        </w:tc>
        <w:tc>
          <w:tcPr>
            <w:tcW w:type="dxa" w:w="3160"/>
            <w:tcMar>
              <w:top w:w="80" w:type="dxa"/>
              <w:start w:w="100" w:type="dxa"/>
              <w:bottom w:w="80" w:type="dxa"/>
              <w:end w:w="100" w:type="dxa"/>
            </w:tcMar>
            <w:vAlign w:val="center"/>
            <w:shd w:fill="F3F7FA"/>
          </w:tcPr>
          <w:p>
            <w:pPr>
              <w:spacing w:after="0"/>
            </w:pPr>
            <w:r>
              <w:rPr>
                <w:sz w:val="17"/>
              </w:rPr>
              <w:t>Apply consistently or disclose limitations</w:t>
            </w:r>
          </w:p>
        </w:tc>
      </w:tr>
    </w:tbl>
    <w:p>
      <w:pPr>
        <w:pStyle w:val="ListBullet"/>
      </w:pPr>
      <w:r>
        <w:t>Keep the primary form compact; place uncommon controls under Advanced options.</w:t>
      </w:r>
    </w:p>
    <w:p>
      <w:pPr>
        <w:pStyle w:val="ListBullet"/>
      </w:pPr>
      <w:r>
        <w:t>Display the exact airport selected, not a raw JavaScript object.</w:t>
      </w:r>
    </w:p>
    <w:p>
      <w:pPr>
        <w:pStyle w:val="ListBullet"/>
      </w:pPr>
      <w:r>
        <w:t>Use accessible labels, keyboard operation and visible validation messages.</w:t>
      </w:r>
    </w:p>
    <w:p>
      <w:pPr>
        <w:pStyle w:val="ListBullet"/>
      </w:pPr>
      <w:r>
        <w:t>Preserve search parameters when the user edits, changes dates or returns from results.</w:t>
      </w:r>
    </w:p>
    <w:p>
      <w:r>
        <w:br w:type="page"/>
      </w:r>
    </w:p>
    <w:p>
      <w:pPr>
        <w:spacing w:before="40" w:after="80"/>
      </w:pPr>
      <w:r>
        <w:rPr>
          <w:rFonts w:ascii="Aptos" w:hAnsi="Aptos"/>
          <w:b/>
          <w:color w:val="0F8277"/>
          <w:sz w:val="17"/>
        </w:rPr>
        <w:t>PAGE 7 OF 20  |  PROVIDERS</w:t>
      </w:r>
    </w:p>
    <w:p>
      <w:pPr>
        <w:pStyle w:val="Heading1"/>
      </w:pPr>
      <w:r>
        <w:t>Provider Landscape and Access Strategy</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Rovvy cannot simply copy Priceline, Expedia, Kiwi, EaseMyTrip, MakeMyTrip, Agoda or airline inventory. Every source needs a lawful technical and commercial access path.</w:t>
            </w:r>
          </w:p>
        </w:tc>
      </w:tr>
    </w:tbl>
    <w:p>
      <w:pPr>
        <w:spacing w:after="0"/>
      </w:pPr>
    </w:p>
    <w:p>
      <w:r>
        <w:t>Possible access models include an approved affiliate/metasearch program, a flight distribution API, an airline NDC/API agreement, a GDS or consolidator, and a provider-specific deep-link relationship. Public consumer websites are not substitute APIs, and scraping should not be used to make the product appear complete.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00"/>
            <w:tcMar>
              <w:top w:w="80" w:type="dxa"/>
              <w:start w:w="100" w:type="dxa"/>
              <w:bottom w:w="80" w:type="dxa"/>
              <w:end w:w="100" w:type="dxa"/>
            </w:tcMar>
            <w:shd w:fill="08263D"/>
          </w:tcPr>
          <w:p>
            <w:pPr>
              <w:jc w:val="center"/>
            </w:pPr>
            <w:r>
              <w:rPr>
                <w:b/>
                <w:color w:val="FFFFFF"/>
                <w:sz w:val="18"/>
              </w:rPr>
              <w:t>Source type</w:t>
            </w:r>
          </w:p>
        </w:tc>
        <w:tc>
          <w:tcPr>
            <w:tcW w:type="dxa" w:w="3500"/>
            <w:tcMar>
              <w:top w:w="80" w:type="dxa"/>
              <w:start w:w="100" w:type="dxa"/>
              <w:bottom w:w="80" w:type="dxa"/>
              <w:end w:w="100" w:type="dxa"/>
            </w:tcMar>
            <w:shd w:fill="08263D"/>
          </w:tcPr>
          <w:p>
            <w:pPr>
              <w:jc w:val="center"/>
            </w:pPr>
            <w:r>
              <w:rPr>
                <w:b/>
                <w:color w:val="FFFFFF"/>
                <w:sz w:val="18"/>
              </w:rPr>
              <w:t>Value</w:t>
            </w:r>
          </w:p>
        </w:tc>
        <w:tc>
          <w:tcPr>
            <w:tcW w:type="dxa" w:w="3660"/>
            <w:tcMar>
              <w:top w:w="80" w:type="dxa"/>
              <w:start w:w="100" w:type="dxa"/>
              <w:bottom w:w="80" w:type="dxa"/>
              <w:end w:w="100" w:type="dxa"/>
            </w:tcMar>
            <w:shd w:fill="08263D"/>
          </w:tcPr>
          <w:p>
            <w:pPr>
              <w:jc w:val="center"/>
            </w:pPr>
            <w:r>
              <w:rPr>
                <w:b/>
                <w:color w:val="FFFFFF"/>
                <w:sz w:val="18"/>
              </w:rPr>
              <w:t>Constraint</w:t>
            </w:r>
          </w:p>
        </w:tc>
      </w:tr>
      <w:tr>
        <w:tc>
          <w:tcPr>
            <w:tcW w:type="dxa" w:w="2200"/>
            <w:tcMar>
              <w:top w:w="80" w:type="dxa"/>
              <w:start w:w="100" w:type="dxa"/>
              <w:bottom w:w="80" w:type="dxa"/>
              <w:end w:w="100" w:type="dxa"/>
            </w:tcMar>
            <w:vAlign w:val="center"/>
            <w:shd w:fill="F3F7FA"/>
          </w:tcPr>
          <w:p>
            <w:pPr>
              <w:spacing w:after="0"/>
            </w:pPr>
            <w:r>
              <w:rPr>
                <w:sz w:val="17"/>
              </w:rPr>
              <w:t>Metasearch/affiliate feed</w:t>
            </w:r>
          </w:p>
        </w:tc>
        <w:tc>
          <w:tcPr>
            <w:tcW w:type="dxa" w:w="3500"/>
            <w:tcMar>
              <w:top w:w="80" w:type="dxa"/>
              <w:start w:w="100" w:type="dxa"/>
              <w:bottom w:w="80" w:type="dxa"/>
              <w:end w:w="100" w:type="dxa"/>
            </w:tcMar>
            <w:vAlign w:val="center"/>
            <w:shd w:fill="F3F7FA"/>
          </w:tcPr>
          <w:p>
            <w:pPr>
              <w:spacing w:after="0"/>
            </w:pPr>
            <w:r>
              <w:rPr>
                <w:sz w:val="17"/>
              </w:rPr>
              <w:t>Multiple sellers and redirect links</w:t>
            </w:r>
          </w:p>
        </w:tc>
        <w:tc>
          <w:tcPr>
            <w:tcW w:type="dxa" w:w="3660"/>
            <w:tcMar>
              <w:top w:w="80" w:type="dxa"/>
              <w:start w:w="100" w:type="dxa"/>
              <w:bottom w:w="80" w:type="dxa"/>
              <w:end w:w="100" w:type="dxa"/>
            </w:tcMar>
            <w:vAlign w:val="center"/>
            <w:shd w:fill="F3F7FA"/>
          </w:tcPr>
          <w:p>
            <w:pPr>
              <w:spacing w:after="0"/>
            </w:pPr>
            <w:r>
              <w:rPr>
                <w:sz w:val="17"/>
              </w:rPr>
              <w:t>Approval, traffic and attribution rules</w:t>
            </w:r>
          </w:p>
        </w:tc>
      </w:tr>
      <w:tr>
        <w:tc>
          <w:tcPr>
            <w:tcW w:type="dxa" w:w="2200"/>
            <w:tcMar>
              <w:top w:w="80" w:type="dxa"/>
              <w:start w:w="100" w:type="dxa"/>
              <w:bottom w:w="80" w:type="dxa"/>
              <w:end w:w="100" w:type="dxa"/>
            </w:tcMar>
            <w:vAlign w:val="center"/>
          </w:tcPr>
          <w:p>
            <w:pPr>
              <w:spacing w:after="0"/>
            </w:pPr>
            <w:r>
              <w:rPr>
                <w:sz w:val="17"/>
              </w:rPr>
              <w:t>Distribution API</w:t>
            </w:r>
          </w:p>
        </w:tc>
        <w:tc>
          <w:tcPr>
            <w:tcW w:type="dxa" w:w="3500"/>
            <w:tcMar>
              <w:top w:w="80" w:type="dxa"/>
              <w:start w:w="100" w:type="dxa"/>
              <w:bottom w:w="80" w:type="dxa"/>
              <w:end w:w="100" w:type="dxa"/>
            </w:tcMar>
            <w:vAlign w:val="center"/>
          </w:tcPr>
          <w:p>
            <w:pPr>
              <w:spacing w:after="0"/>
            </w:pPr>
            <w:r>
              <w:rPr>
                <w:sz w:val="17"/>
              </w:rPr>
              <w:t>Normalized airline content</w:t>
            </w:r>
          </w:p>
        </w:tc>
        <w:tc>
          <w:tcPr>
            <w:tcW w:type="dxa" w:w="3660"/>
            <w:tcMar>
              <w:top w:w="80" w:type="dxa"/>
              <w:start w:w="100" w:type="dxa"/>
              <w:bottom w:w="80" w:type="dxa"/>
              <w:end w:w="100" w:type="dxa"/>
            </w:tcMar>
            <w:vAlign w:val="center"/>
          </w:tcPr>
          <w:p>
            <w:pPr>
              <w:spacing w:after="0"/>
            </w:pPr>
            <w:r>
              <w:rPr>
                <w:sz w:val="17"/>
              </w:rPr>
              <w:t>Credentials, rate limits and contractual scope</w:t>
            </w:r>
          </w:p>
        </w:tc>
      </w:tr>
      <w:tr>
        <w:tc>
          <w:tcPr>
            <w:tcW w:type="dxa" w:w="2200"/>
            <w:tcMar>
              <w:top w:w="80" w:type="dxa"/>
              <w:start w:w="100" w:type="dxa"/>
              <w:bottom w:w="80" w:type="dxa"/>
              <w:end w:w="100" w:type="dxa"/>
            </w:tcMar>
            <w:vAlign w:val="center"/>
            <w:shd w:fill="F3F7FA"/>
          </w:tcPr>
          <w:p>
            <w:pPr>
              <w:spacing w:after="0"/>
            </w:pPr>
            <w:r>
              <w:rPr>
                <w:sz w:val="17"/>
              </w:rPr>
              <w:t>Airline direct/NDC</w:t>
            </w:r>
          </w:p>
        </w:tc>
        <w:tc>
          <w:tcPr>
            <w:tcW w:type="dxa" w:w="3500"/>
            <w:tcMar>
              <w:top w:w="80" w:type="dxa"/>
              <w:start w:w="100" w:type="dxa"/>
              <w:bottom w:w="80" w:type="dxa"/>
              <w:end w:w="100" w:type="dxa"/>
            </w:tcMar>
            <w:vAlign w:val="center"/>
            <w:shd w:fill="F3F7FA"/>
          </w:tcPr>
          <w:p>
            <w:pPr>
              <w:spacing w:after="0"/>
            </w:pPr>
            <w:r>
              <w:rPr>
                <w:sz w:val="17"/>
              </w:rPr>
              <w:t>Direct carrier offers</w:t>
            </w:r>
          </w:p>
        </w:tc>
        <w:tc>
          <w:tcPr>
            <w:tcW w:type="dxa" w:w="3660"/>
            <w:tcMar>
              <w:top w:w="80" w:type="dxa"/>
              <w:start w:w="100" w:type="dxa"/>
              <w:bottom w:w="80" w:type="dxa"/>
              <w:end w:w="100" w:type="dxa"/>
            </w:tcMar>
            <w:vAlign w:val="center"/>
            <w:shd w:fill="F3F7FA"/>
          </w:tcPr>
          <w:p>
            <w:pPr>
              <w:spacing w:after="0"/>
            </w:pPr>
            <w:r>
              <w:rPr>
                <w:sz w:val="17"/>
              </w:rPr>
              <w:t>One-by-one agreements and uneven coverage</w:t>
            </w:r>
          </w:p>
        </w:tc>
      </w:tr>
      <w:tr>
        <w:tc>
          <w:tcPr>
            <w:tcW w:type="dxa" w:w="2200"/>
            <w:tcMar>
              <w:top w:w="80" w:type="dxa"/>
              <w:start w:w="100" w:type="dxa"/>
              <w:bottom w:w="80" w:type="dxa"/>
              <w:end w:w="100" w:type="dxa"/>
            </w:tcMar>
            <w:vAlign w:val="center"/>
          </w:tcPr>
          <w:p>
            <w:pPr>
              <w:spacing w:after="0"/>
            </w:pPr>
            <w:r>
              <w:rPr>
                <w:sz w:val="17"/>
              </w:rPr>
              <w:t>OTA direct</w:t>
            </w:r>
          </w:p>
        </w:tc>
        <w:tc>
          <w:tcPr>
            <w:tcW w:type="dxa" w:w="3500"/>
            <w:tcMar>
              <w:top w:w="80" w:type="dxa"/>
              <w:start w:w="100" w:type="dxa"/>
              <w:bottom w:w="80" w:type="dxa"/>
              <w:end w:w="100" w:type="dxa"/>
            </w:tcMar>
            <w:vAlign w:val="center"/>
          </w:tcPr>
          <w:p>
            <w:pPr>
              <w:spacing w:after="0"/>
            </w:pPr>
            <w:r>
              <w:rPr>
                <w:sz w:val="17"/>
              </w:rPr>
              <w:t>Retail seller price</w:t>
            </w:r>
          </w:p>
        </w:tc>
        <w:tc>
          <w:tcPr>
            <w:tcW w:type="dxa" w:w="3660"/>
            <w:tcMar>
              <w:top w:w="80" w:type="dxa"/>
              <w:start w:w="100" w:type="dxa"/>
              <w:bottom w:w="80" w:type="dxa"/>
              <w:end w:w="100" w:type="dxa"/>
            </w:tcMar>
            <w:vAlign w:val="center"/>
          </w:tcPr>
          <w:p>
            <w:pPr>
              <w:spacing w:after="0"/>
            </w:pPr>
            <w:r>
              <w:rPr>
                <w:sz w:val="17"/>
              </w:rPr>
              <w:t>Often no open search API</w:t>
            </w:r>
          </w:p>
        </w:tc>
      </w:tr>
      <w:tr>
        <w:tc>
          <w:tcPr>
            <w:tcW w:type="dxa" w:w="2200"/>
            <w:tcMar>
              <w:top w:w="80" w:type="dxa"/>
              <w:start w:w="100" w:type="dxa"/>
              <w:bottom w:w="80" w:type="dxa"/>
              <w:end w:w="100" w:type="dxa"/>
            </w:tcMar>
            <w:vAlign w:val="center"/>
            <w:shd w:fill="F3F7FA"/>
          </w:tcPr>
          <w:p>
            <w:pPr>
              <w:spacing w:after="0"/>
            </w:pPr>
            <w:r>
              <w:rPr>
                <w:sz w:val="17"/>
              </w:rPr>
              <w:t>Sandbox</w:t>
            </w:r>
          </w:p>
        </w:tc>
        <w:tc>
          <w:tcPr>
            <w:tcW w:type="dxa" w:w="3500"/>
            <w:tcMar>
              <w:top w:w="80" w:type="dxa"/>
              <w:start w:w="100" w:type="dxa"/>
              <w:bottom w:w="80" w:type="dxa"/>
              <w:end w:w="100" w:type="dxa"/>
            </w:tcMar>
            <w:vAlign w:val="center"/>
            <w:shd w:fill="F3F7FA"/>
          </w:tcPr>
          <w:p>
            <w:pPr>
              <w:spacing w:after="0"/>
            </w:pPr>
            <w:r>
              <w:rPr>
                <w:sz w:val="17"/>
              </w:rPr>
              <w:t>Development and contract testing</w:t>
            </w:r>
          </w:p>
        </w:tc>
        <w:tc>
          <w:tcPr>
            <w:tcW w:type="dxa" w:w="3660"/>
            <w:tcMar>
              <w:top w:w="80" w:type="dxa"/>
              <w:start w:w="100" w:type="dxa"/>
              <w:bottom w:w="80" w:type="dxa"/>
              <w:end w:w="100" w:type="dxa"/>
            </w:tcMar>
            <w:vAlign w:val="center"/>
            <w:shd w:fill="F3F7FA"/>
          </w:tcPr>
          <w:p>
            <w:pPr>
              <w:spacing w:after="0"/>
            </w:pPr>
            <w:r>
              <w:rPr>
                <w:sz w:val="17"/>
              </w:rPr>
              <w:t>Cannot be presented as live</w:t>
            </w:r>
          </w:p>
        </w:tc>
      </w:tr>
    </w:tbl>
    <w:p>
      <w:r>
        <w:t>Because Rovvy is currently a development project and does not require commission, the realistic first milestone is one authorized evaluation source. A no-commission preference does not remove licensing, display, branding, caching or redirect requirements.</w:t>
      </w:r>
    </w:p>
    <w:p>
      <w:r>
        <w:br w:type="page"/>
      </w:r>
    </w:p>
    <w:p>
      <w:pPr>
        <w:spacing w:before="40" w:after="80"/>
      </w:pPr>
      <w:r>
        <w:rPr>
          <w:rFonts w:ascii="Aptos" w:hAnsi="Aptos"/>
          <w:b/>
          <w:color w:val="0F8277"/>
          <w:sz w:val="17"/>
        </w:rPr>
        <w:t>PAGE 8 OF 20  |  TRUST CONTROLS</w:t>
      </w:r>
    </w:p>
    <w:p>
      <w:pPr>
        <w:pStyle w:val="Heading1"/>
      </w:pPr>
      <w:r>
        <w:t>Provider Lifecycle and Governance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A provider name becomes visible only after passing explicit registration, configuration, authorization, enablement and actionability checks.</w:t>
            </w:r>
          </w:p>
        </w:tc>
      </w:tr>
    </w:tbl>
    <w:p>
      <w:pPr>
        <w:spacing w:after="0"/>
      </w:pPr>
    </w:p>
    <w:p>
      <w:pPr>
        <w:pStyle w:val="ListBullet"/>
      </w:pPr>
      <w:r>
        <w:t>Registered: the provider exists in Rovvy's directory with an adapter identifier.</w:t>
      </w:r>
    </w:p>
    <w:p>
      <w:pPr>
        <w:pStyle w:val="ListBullet"/>
      </w:pPr>
      <w:r>
        <w:t>Configured: required environment and credentials are present on the server.</w:t>
      </w:r>
    </w:p>
    <w:p>
      <w:pPr>
        <w:pStyle w:val="ListBullet"/>
      </w:pPr>
      <w:r>
        <w:t>Authorized: Rovvy can document the program, agreement or permission covering search, display and redirect.</w:t>
      </w:r>
    </w:p>
    <w:p>
      <w:pPr>
        <w:pStyle w:val="ListBullet"/>
      </w:pPr>
      <w:r>
        <w:t>Enabled: a product or administrator decision permits the provider in the selected environment.</w:t>
      </w:r>
    </w:p>
    <w:p>
      <w:pPr>
        <w:pStyle w:val="ListBullet"/>
      </w:pPr>
      <w:r>
        <w:t>Actionable: the returned offer has a fresh price and a validated provider destination.</w:t>
      </w:r>
    </w:p>
    <w:p>
      <w:r>
        <w:t>These states should not be collapsed into one Boolean. A provider can be registered but not configured, configured but not authorized for production, or enabled for sandbox testing but non-actionable for users. The provider directory should explain these states without exposing secrets.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400"/>
            <w:tcMar>
              <w:top w:w="80" w:type="dxa"/>
              <w:start w:w="100" w:type="dxa"/>
              <w:bottom w:w="80" w:type="dxa"/>
              <w:end w:w="100" w:type="dxa"/>
            </w:tcMar>
            <w:shd w:fill="08263D"/>
          </w:tcPr>
          <w:p>
            <w:pPr>
              <w:jc w:val="center"/>
            </w:pPr>
            <w:r>
              <w:rPr>
                <w:b/>
                <w:color w:val="FFFFFF"/>
                <w:sz w:val="18"/>
              </w:rPr>
              <w:t>Metadata</w:t>
            </w:r>
          </w:p>
        </w:tc>
        <w:tc>
          <w:tcPr>
            <w:tcW w:type="dxa" w:w="3900"/>
            <w:tcMar>
              <w:top w:w="80" w:type="dxa"/>
              <w:start w:w="100" w:type="dxa"/>
              <w:bottom w:w="80" w:type="dxa"/>
              <w:end w:w="100" w:type="dxa"/>
            </w:tcMar>
            <w:shd w:fill="08263D"/>
          </w:tcPr>
          <w:p>
            <w:pPr>
              <w:jc w:val="center"/>
            </w:pPr>
            <w:r>
              <w:rPr>
                <w:b/>
                <w:color w:val="FFFFFF"/>
                <w:sz w:val="18"/>
              </w:rPr>
              <w:t>Purpose</w:t>
            </w:r>
          </w:p>
        </w:tc>
        <w:tc>
          <w:tcPr>
            <w:tcW w:type="dxa" w:w="3060"/>
            <w:tcMar>
              <w:top w:w="80" w:type="dxa"/>
              <w:start w:w="100" w:type="dxa"/>
              <w:bottom w:w="80" w:type="dxa"/>
              <w:end w:w="100" w:type="dxa"/>
            </w:tcMar>
            <w:shd w:fill="08263D"/>
          </w:tcPr>
          <w:p>
            <w:pPr>
              <w:jc w:val="center"/>
            </w:pPr>
            <w:r>
              <w:rPr>
                <w:b/>
                <w:color w:val="FFFFFF"/>
                <w:sz w:val="18"/>
              </w:rPr>
              <w:t>Example state</w:t>
            </w:r>
          </w:p>
        </w:tc>
      </w:tr>
      <w:tr>
        <w:tc>
          <w:tcPr>
            <w:tcW w:type="dxa" w:w="2400"/>
            <w:tcMar>
              <w:top w:w="80" w:type="dxa"/>
              <w:start w:w="100" w:type="dxa"/>
              <w:bottom w:w="80" w:type="dxa"/>
              <w:end w:w="100" w:type="dxa"/>
            </w:tcMar>
            <w:vAlign w:val="center"/>
            <w:shd w:fill="F3F7FA"/>
          </w:tcPr>
          <w:p>
            <w:pPr>
              <w:spacing w:after="0"/>
            </w:pPr>
            <w:r>
              <w:rPr>
                <w:sz w:val="17"/>
              </w:rPr>
              <w:t>authorization_type</w:t>
            </w:r>
          </w:p>
        </w:tc>
        <w:tc>
          <w:tcPr>
            <w:tcW w:type="dxa" w:w="3900"/>
            <w:tcMar>
              <w:top w:w="80" w:type="dxa"/>
              <w:start w:w="100" w:type="dxa"/>
              <w:bottom w:w="80" w:type="dxa"/>
              <w:end w:w="100" w:type="dxa"/>
            </w:tcMar>
            <w:vAlign w:val="center"/>
            <w:shd w:fill="F3F7FA"/>
          </w:tcPr>
          <w:p>
            <w:pPr>
              <w:spacing w:after="0"/>
            </w:pPr>
            <w:r>
              <w:rPr>
                <w:sz w:val="17"/>
              </w:rPr>
              <w:t>Audit access basis</w:t>
            </w:r>
          </w:p>
        </w:tc>
        <w:tc>
          <w:tcPr>
            <w:tcW w:type="dxa" w:w="3060"/>
            <w:tcMar>
              <w:top w:w="80" w:type="dxa"/>
              <w:start w:w="100" w:type="dxa"/>
              <w:bottom w:w="80" w:type="dxa"/>
              <w:end w:w="100" w:type="dxa"/>
            </w:tcMar>
            <w:vAlign w:val="center"/>
            <w:shd w:fill="F3F7FA"/>
          </w:tcPr>
          <w:p>
            <w:pPr>
              <w:spacing w:after="0"/>
            </w:pPr>
            <w:r>
              <w:rPr>
                <w:sz w:val="17"/>
              </w:rPr>
              <w:t>sandbox_terms / affiliate / contract</w:t>
            </w:r>
          </w:p>
        </w:tc>
      </w:tr>
      <w:tr>
        <w:tc>
          <w:tcPr>
            <w:tcW w:type="dxa" w:w="2400"/>
            <w:tcMar>
              <w:top w:w="80" w:type="dxa"/>
              <w:start w:w="100" w:type="dxa"/>
              <w:bottom w:w="80" w:type="dxa"/>
              <w:end w:w="100" w:type="dxa"/>
            </w:tcMar>
            <w:vAlign w:val="center"/>
          </w:tcPr>
          <w:p>
            <w:pPr>
              <w:spacing w:after="0"/>
            </w:pPr>
            <w:r>
              <w:rPr>
                <w:sz w:val="17"/>
              </w:rPr>
              <w:t>environment</w:t>
            </w:r>
          </w:p>
        </w:tc>
        <w:tc>
          <w:tcPr>
            <w:tcW w:type="dxa" w:w="3900"/>
            <w:tcMar>
              <w:top w:w="80" w:type="dxa"/>
              <w:start w:w="100" w:type="dxa"/>
              <w:bottom w:w="80" w:type="dxa"/>
              <w:end w:w="100" w:type="dxa"/>
            </w:tcMar>
            <w:vAlign w:val="center"/>
          </w:tcPr>
          <w:p>
            <w:pPr>
              <w:spacing w:after="0"/>
            </w:pPr>
            <w:r>
              <w:rPr>
                <w:sz w:val="17"/>
              </w:rPr>
              <w:t>Prevent test/live confusion</w:t>
            </w:r>
          </w:p>
        </w:tc>
        <w:tc>
          <w:tcPr>
            <w:tcW w:type="dxa" w:w="3060"/>
            <w:tcMar>
              <w:top w:w="80" w:type="dxa"/>
              <w:start w:w="100" w:type="dxa"/>
              <w:bottom w:w="80" w:type="dxa"/>
              <w:end w:w="100" w:type="dxa"/>
            </w:tcMar>
            <w:vAlign w:val="center"/>
          </w:tcPr>
          <w:p>
            <w:pPr>
              <w:spacing w:after="0"/>
            </w:pPr>
            <w:r>
              <w:rPr>
                <w:sz w:val="17"/>
              </w:rPr>
              <w:t>test / production</w:t>
            </w:r>
          </w:p>
        </w:tc>
      </w:tr>
      <w:tr>
        <w:tc>
          <w:tcPr>
            <w:tcW w:type="dxa" w:w="2400"/>
            <w:tcMar>
              <w:top w:w="80" w:type="dxa"/>
              <w:start w:w="100" w:type="dxa"/>
              <w:bottom w:w="80" w:type="dxa"/>
              <w:end w:w="100" w:type="dxa"/>
            </w:tcMar>
            <w:vAlign w:val="center"/>
            <w:shd w:fill="F3F7FA"/>
          </w:tcPr>
          <w:p>
            <w:pPr>
              <w:spacing w:after="0"/>
            </w:pPr>
            <w:r>
              <w:rPr>
                <w:sz w:val="17"/>
              </w:rPr>
              <w:t>redirect_capability</w:t>
            </w:r>
          </w:p>
        </w:tc>
        <w:tc>
          <w:tcPr>
            <w:tcW w:type="dxa" w:w="3900"/>
            <w:tcMar>
              <w:top w:w="80" w:type="dxa"/>
              <w:start w:w="100" w:type="dxa"/>
              <w:bottom w:w="80" w:type="dxa"/>
              <w:end w:w="100" w:type="dxa"/>
            </w:tcMar>
            <w:vAlign w:val="center"/>
            <w:shd w:fill="F3F7FA"/>
          </w:tcPr>
          <w:p>
            <w:pPr>
              <w:spacing w:after="0"/>
            </w:pPr>
            <w:r>
              <w:rPr>
                <w:sz w:val="17"/>
              </w:rPr>
              <w:t>Control user action</w:t>
            </w:r>
          </w:p>
        </w:tc>
        <w:tc>
          <w:tcPr>
            <w:tcW w:type="dxa" w:w="3060"/>
            <w:tcMar>
              <w:top w:w="80" w:type="dxa"/>
              <w:start w:w="100" w:type="dxa"/>
              <w:bottom w:w="80" w:type="dxa"/>
              <w:end w:w="100" w:type="dxa"/>
            </w:tcMar>
            <w:vAlign w:val="center"/>
            <w:shd w:fill="F3F7FA"/>
          </w:tcPr>
          <w:p>
            <w:pPr>
              <w:spacing w:after="0"/>
            </w:pPr>
            <w:r>
              <w:rPr>
                <w:sz w:val="17"/>
              </w:rPr>
              <w:t>none / generic / itinerary</w:t>
            </w:r>
          </w:p>
        </w:tc>
      </w:tr>
      <w:tr>
        <w:tc>
          <w:tcPr>
            <w:tcW w:type="dxa" w:w="2400"/>
            <w:tcMar>
              <w:top w:w="80" w:type="dxa"/>
              <w:start w:w="100" w:type="dxa"/>
              <w:bottom w:w="80" w:type="dxa"/>
              <w:end w:w="100" w:type="dxa"/>
            </w:tcMar>
            <w:vAlign w:val="center"/>
          </w:tcPr>
          <w:p>
            <w:pPr>
              <w:spacing w:after="0"/>
            </w:pPr>
            <w:r>
              <w:rPr>
                <w:sz w:val="17"/>
              </w:rPr>
              <w:t>terms_reviewed_at</w:t>
            </w:r>
          </w:p>
        </w:tc>
        <w:tc>
          <w:tcPr>
            <w:tcW w:type="dxa" w:w="3900"/>
            <w:tcMar>
              <w:top w:w="80" w:type="dxa"/>
              <w:start w:w="100" w:type="dxa"/>
              <w:bottom w:w="80" w:type="dxa"/>
              <w:end w:w="100" w:type="dxa"/>
            </w:tcMar>
            <w:vAlign w:val="center"/>
          </w:tcPr>
          <w:p>
            <w:pPr>
              <w:spacing w:after="0"/>
            </w:pPr>
            <w:r>
              <w:rPr>
                <w:sz w:val="17"/>
              </w:rPr>
              <w:t>Track policy currency</w:t>
            </w:r>
          </w:p>
        </w:tc>
        <w:tc>
          <w:tcPr>
            <w:tcW w:type="dxa" w:w="3060"/>
            <w:tcMar>
              <w:top w:w="80" w:type="dxa"/>
              <w:start w:w="100" w:type="dxa"/>
              <w:bottom w:w="80" w:type="dxa"/>
              <w:end w:w="100" w:type="dxa"/>
            </w:tcMar>
            <w:vAlign w:val="center"/>
          </w:tcPr>
          <w:p>
            <w:pPr>
              <w:spacing w:after="0"/>
            </w:pPr>
            <w:r>
              <w:rPr>
                <w:sz w:val="17"/>
              </w:rPr>
              <w:t>date</w:t>
            </w:r>
          </w:p>
        </w:tc>
      </w:tr>
      <w:tr>
        <w:tc>
          <w:tcPr>
            <w:tcW w:type="dxa" w:w="2400"/>
            <w:tcMar>
              <w:top w:w="80" w:type="dxa"/>
              <w:start w:w="100" w:type="dxa"/>
              <w:bottom w:w="80" w:type="dxa"/>
              <w:end w:w="100" w:type="dxa"/>
            </w:tcMar>
            <w:vAlign w:val="center"/>
            <w:shd w:fill="F3F7FA"/>
          </w:tcPr>
          <w:p>
            <w:pPr>
              <w:spacing w:after="0"/>
            </w:pPr>
            <w:r>
              <w:rPr>
                <w:sz w:val="17"/>
              </w:rPr>
              <w:t>enabled</w:t>
            </w:r>
          </w:p>
        </w:tc>
        <w:tc>
          <w:tcPr>
            <w:tcW w:type="dxa" w:w="3900"/>
            <w:tcMar>
              <w:top w:w="80" w:type="dxa"/>
              <w:start w:w="100" w:type="dxa"/>
              <w:bottom w:w="80" w:type="dxa"/>
              <w:end w:w="100" w:type="dxa"/>
            </w:tcMar>
            <w:vAlign w:val="center"/>
            <w:shd w:fill="F3F7FA"/>
          </w:tcPr>
          <w:p>
            <w:pPr>
              <w:spacing w:after="0"/>
            </w:pPr>
            <w:r>
              <w:rPr>
                <w:sz w:val="17"/>
              </w:rPr>
              <w:t>Operational switch</w:t>
            </w:r>
          </w:p>
        </w:tc>
        <w:tc>
          <w:tcPr>
            <w:tcW w:type="dxa" w:w="3060"/>
            <w:tcMar>
              <w:top w:w="80" w:type="dxa"/>
              <w:start w:w="100" w:type="dxa"/>
              <w:bottom w:w="80" w:type="dxa"/>
              <w:end w:w="100" w:type="dxa"/>
            </w:tcMar>
            <w:vAlign w:val="center"/>
            <w:shd w:fill="F3F7FA"/>
          </w:tcPr>
          <w:p>
            <w:pPr>
              <w:spacing w:after="0"/>
            </w:pPr>
            <w:r>
              <w:rPr>
                <w:sz w:val="17"/>
              </w:rPr>
              <w:t>true / false</w:t>
            </w:r>
          </w:p>
        </w:tc>
      </w:tr>
    </w:tbl>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Production rule: a seller price cannot be selectable unless the provider is authorized, configured, enabled and actionable for that exact offer.</w:t>
            </w:r>
          </w:p>
        </w:tc>
      </w:tr>
    </w:tbl>
    <w:p>
      <w:pPr>
        <w:spacing w:after="0"/>
      </w:pPr>
    </w:p>
    <w:p>
      <w:r>
        <w:br w:type="page"/>
      </w:r>
    </w:p>
    <w:p>
      <w:pPr>
        <w:spacing w:before="40" w:after="80"/>
      </w:pPr>
      <w:r>
        <w:rPr>
          <w:rFonts w:ascii="Aptos" w:hAnsi="Aptos"/>
          <w:b/>
          <w:color w:val="0F8277"/>
          <w:sz w:val="17"/>
        </w:rPr>
        <w:t>PAGE 9 OF 20  |  DATA INTEGRITY</w:t>
      </w:r>
    </w:p>
    <w:p>
      <w:pPr>
        <w:pStyle w:val="Heading1"/>
      </w:pPr>
      <w:r>
        <w:t>Real Data, Test Data and Price Freshness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UI must make a visible distinction between genuine provider responses, evaluation/sandbox inventory and any unavailable placeholder state.</w:t>
            </w:r>
          </w:p>
        </w:tc>
      </w:tr>
    </w:tbl>
    <w:p>
      <w:pPr>
        <w:spacing w:after="0"/>
      </w:pPr>
    </w:p>
    <w:p>
      <w:r>
        <w:t>Mock data is useful only for component development and deterministic tests. It must not be mixed with a real-results list or labeled as a market price. Duffel sandbox offers, including 'Duffel Airways,' are test airline offers and cannot create a real booking or external provider redirect.</w:t>
      </w:r>
    </w:p>
    <w:p>
      <w:pPr>
        <w:pStyle w:val="ListBullet"/>
      </w:pPr>
      <w:r>
        <w:t>Attach provider, environment, retrieval time, currency, total price and expiry to every seller offer.</w:t>
      </w:r>
    </w:p>
    <w:p>
      <w:pPr>
        <w:pStyle w:val="ListBullet"/>
      </w:pPr>
      <w:r>
        <w:t>Exclude expired offers from starting-price calculations.</w:t>
      </w:r>
    </w:p>
    <w:p>
      <w:pPr>
        <w:pStyle w:val="ListBullet"/>
      </w:pPr>
      <w:r>
        <w:t>Show 'price checked' and provider coverage when those facts are known.</w:t>
      </w:r>
    </w:p>
    <w:p>
      <w:pPr>
        <w:pStyle w:val="ListBullet"/>
      </w:pPr>
      <w:r>
        <w:t>Never imply complete-market coverage when one or more providers failed or were not searched.</w:t>
      </w:r>
    </w:p>
    <w:p>
      <w:pPr>
        <w:pStyle w:val="ListBullet"/>
      </w:pPr>
      <w:r>
        <w:t>Refresh or revalidate before redirect when the provider supports it.</w:t>
      </w:r>
    </w:p>
    <w:p>
      <w:r>
        <w:t>A price insight, flexible-date matrix or 'lower than usual' banner requires a trustworthy historical or adjacent-date data source. If the system does not have that data, the UI should omit the claim instead of calculating decorative pseudo-insights from a single response.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Display principle: unknown information should appear as unknown—not guessed, not inferred from another provider and not replaced by a confident badge.</w:t>
            </w:r>
          </w:p>
        </w:tc>
      </w:tr>
    </w:tbl>
    <w:p>
      <w:pPr>
        <w:spacing w:after="0"/>
      </w:pPr>
    </w:p>
    <w:p>
      <w:r>
        <w:br w:type="page"/>
      </w:r>
    </w:p>
    <w:p>
      <w:pPr>
        <w:spacing w:before="40" w:after="80"/>
      </w:pPr>
      <w:r>
        <w:rPr>
          <w:rFonts w:ascii="Aptos" w:hAnsi="Aptos"/>
          <w:b/>
          <w:color w:val="0F8277"/>
          <w:sz w:val="17"/>
        </w:rPr>
        <w:t>PAGE 10 OF 20  |  BACKEND ARCHITECTURE</w:t>
      </w:r>
    </w:p>
    <w:p>
      <w:pPr>
        <w:pStyle w:val="Heading1"/>
      </w:pPr>
      <w:r>
        <w:t>Multi-Provider Search Orchestration</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One normalized search request fans out to multiple authorized adapters concurrently and returns partial success within a predictable deadline.</w:t>
            </w:r>
          </w:p>
        </w:tc>
      </w:tr>
    </w:tbl>
    <w:p>
      <w:pPr>
        <w:spacing w:after="0"/>
      </w:pPr>
    </w:p>
    <w:p>
      <w:r>
        <w:t>The coordinator owns provider deadlines, cancellation, observability and result assembly. Each adapter owns authentication, request mapping, response normalization and provider-specific error classification. This keeps the core product independent from any single supplier.</w:t>
      </w:r>
    </w:p>
    <w:p>
      <w:pPr>
        <w:spacing w:after="60"/>
        <w:ind w:left="317" w:hanging="317"/>
      </w:pPr>
      <w:r>
        <w:t>1.  Validate the normalized request.</w:t>
      </w:r>
    </w:p>
    <w:p>
      <w:pPr>
        <w:spacing w:after="60"/>
        <w:ind w:left="317" w:hanging="317"/>
      </w:pPr>
      <w:r>
        <w:t>2.  Select providers that are configured, authorized and enabled for the search.</w:t>
      </w:r>
    </w:p>
    <w:p>
      <w:pPr>
        <w:spacing w:after="60"/>
        <w:ind w:left="317" w:hanging="317"/>
      </w:pPr>
      <w:r>
        <w:t>3.  Run eligible adapters concurrently with individual timeouts.</w:t>
      </w:r>
    </w:p>
    <w:p>
      <w:pPr>
        <w:spacing w:after="60"/>
        <w:ind w:left="317" w:hanging="317"/>
      </w:pPr>
      <w:r>
        <w:t>4.  Collect successful normalized offers and safe failure summaries.</w:t>
      </w:r>
    </w:p>
    <w:p>
      <w:pPr>
        <w:spacing w:after="60"/>
        <w:ind w:left="317" w:hanging="317"/>
      </w:pPr>
      <w:r>
        <w:t>5.  Drop malformed or expired offers.</w:t>
      </w:r>
    </w:p>
    <w:p>
      <w:pPr>
        <w:spacing w:after="60"/>
        <w:ind w:left="317" w:hanging="317"/>
      </w:pPr>
      <w:r>
        <w:t>6.  Group exact itinerary matches and deduplicate seller offers.</w:t>
      </w:r>
    </w:p>
    <w:p>
      <w:pPr>
        <w:spacing w:after="60"/>
        <w:ind w:left="317" w:hanging="317"/>
      </w:pPr>
      <w:r>
        <w:t>7.  Rank the resulting itineraries and return provider coverage metadata.</w:t>
      </w:r>
    </w:p>
    <w:p>
      <w:pPr>
        <w:pStyle w:val="ListBullet"/>
      </w:pPr>
      <w:r>
        <w:t>One slow provider must not delay every result.</w:t>
      </w:r>
    </w:p>
    <w:p>
      <w:pPr>
        <w:pStyle w:val="ListBullet"/>
      </w:pPr>
      <w:r>
        <w:t>One failed provider must not remove successful offers.</w:t>
      </w:r>
    </w:p>
    <w:p>
      <w:pPr>
        <w:pStyle w:val="ListBullet"/>
      </w:pPr>
      <w:r>
        <w:t>If all providers fail, return a clear retryable state rather than an empty successful response.</w:t>
      </w:r>
    </w:p>
    <w:p>
      <w:pPr>
        <w:pStyle w:val="ListBullet"/>
      </w:pPr>
      <w:r>
        <w:t>Do not expose provider keys, upstream URLs, stack traces or raw response bodies to the browser.</w:t>
      </w:r>
    </w:p>
    <w:p>
      <w:r>
        <w:br w:type="page"/>
      </w:r>
    </w:p>
    <w:p>
      <w:pPr>
        <w:spacing w:before="40" w:after="80"/>
      </w:pPr>
      <w:r>
        <w:rPr>
          <w:rFonts w:ascii="Aptos" w:hAnsi="Aptos"/>
          <w:b/>
          <w:color w:val="0F8277"/>
          <w:sz w:val="17"/>
        </w:rPr>
        <w:t>PAGE 11 OF 20  |  AGGREGATION LOGIC</w:t>
      </w:r>
    </w:p>
    <w:p>
      <w:pPr>
        <w:pStyle w:val="Heading1"/>
      </w:pPr>
      <w:r>
        <w:t>Itinerary Normalization and Exact-Match Grouping</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same flight sold by several providers should appear once with several seller options; materially different journeys must remain separate.</w:t>
            </w:r>
          </w:p>
        </w:tc>
      </w:tr>
    </w:tbl>
    <w:p>
      <w:pPr>
        <w:spacing w:after="0"/>
      </w:pPr>
    </w:p>
    <w:p>
      <w:r>
        <w:t>The grouping key should be based on normalized segment facts, not airline name or approximate time alone. At minimum it considers local departure date/time, arrival date/time, origin and destination airports, marketing and operating carrier, flight number and ordered connection sequence.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00"/>
            <w:tcMar>
              <w:top w:w="80" w:type="dxa"/>
              <w:start w:w="100" w:type="dxa"/>
              <w:bottom w:w="80" w:type="dxa"/>
              <w:end w:w="100" w:type="dxa"/>
            </w:tcMar>
            <w:shd w:fill="08263D"/>
          </w:tcPr>
          <w:p>
            <w:pPr>
              <w:jc w:val="center"/>
            </w:pPr>
            <w:r>
              <w:rPr>
                <w:b/>
                <w:color w:val="FFFFFF"/>
                <w:sz w:val="18"/>
              </w:rPr>
              <w:t>Case</w:t>
            </w:r>
          </w:p>
        </w:tc>
        <w:tc>
          <w:tcPr>
            <w:tcW w:type="dxa" w:w="3100"/>
            <w:tcMar>
              <w:top w:w="80" w:type="dxa"/>
              <w:start w:w="100" w:type="dxa"/>
              <w:bottom w:w="80" w:type="dxa"/>
              <w:end w:w="100" w:type="dxa"/>
            </w:tcMar>
            <w:shd w:fill="08263D"/>
          </w:tcPr>
          <w:p>
            <w:pPr>
              <w:jc w:val="center"/>
            </w:pPr>
            <w:r>
              <w:rPr>
                <w:b/>
                <w:color w:val="FFFFFF"/>
                <w:sz w:val="18"/>
              </w:rPr>
              <w:t>Expected grouping</w:t>
            </w:r>
          </w:p>
        </w:tc>
        <w:tc>
          <w:tcPr>
            <w:tcW w:type="dxa" w:w="3760"/>
            <w:tcMar>
              <w:top w:w="80" w:type="dxa"/>
              <w:start w:w="100" w:type="dxa"/>
              <w:bottom w:w="80" w:type="dxa"/>
              <w:end w:w="100" w:type="dxa"/>
            </w:tcMar>
            <w:shd w:fill="08263D"/>
          </w:tcPr>
          <w:p>
            <w:pPr>
              <w:jc w:val="center"/>
            </w:pPr>
            <w:r>
              <w:rPr>
                <w:b/>
                <w:color w:val="FFFFFF"/>
                <w:sz w:val="18"/>
              </w:rPr>
              <w:t>Reason</w:t>
            </w:r>
          </w:p>
        </w:tc>
      </w:tr>
      <w:tr>
        <w:tc>
          <w:tcPr>
            <w:tcW w:type="dxa" w:w="2500"/>
            <w:tcMar>
              <w:top w:w="80" w:type="dxa"/>
              <w:start w:w="100" w:type="dxa"/>
              <w:bottom w:w="80" w:type="dxa"/>
              <w:end w:w="100" w:type="dxa"/>
            </w:tcMar>
            <w:vAlign w:val="center"/>
            <w:shd w:fill="F3F7FA"/>
          </w:tcPr>
          <w:p>
            <w:pPr>
              <w:spacing w:after="0"/>
            </w:pPr>
            <w:r>
              <w:rPr>
                <w:sz w:val="17"/>
              </w:rPr>
              <w:t>Same segments, two sellers</w:t>
            </w:r>
          </w:p>
        </w:tc>
        <w:tc>
          <w:tcPr>
            <w:tcW w:type="dxa" w:w="3100"/>
            <w:tcMar>
              <w:top w:w="80" w:type="dxa"/>
              <w:start w:w="100" w:type="dxa"/>
              <w:bottom w:w="80" w:type="dxa"/>
              <w:end w:w="100" w:type="dxa"/>
            </w:tcMar>
            <w:vAlign w:val="center"/>
            <w:shd w:fill="F3F7FA"/>
          </w:tcPr>
          <w:p>
            <w:pPr>
              <w:spacing w:after="0"/>
            </w:pPr>
            <w:r>
              <w:rPr>
                <w:sz w:val="17"/>
              </w:rPr>
              <w:t>One itinerary; two offers</w:t>
            </w:r>
          </w:p>
        </w:tc>
        <w:tc>
          <w:tcPr>
            <w:tcW w:type="dxa" w:w="3760"/>
            <w:tcMar>
              <w:top w:w="80" w:type="dxa"/>
              <w:start w:w="100" w:type="dxa"/>
              <w:bottom w:w="80" w:type="dxa"/>
              <w:end w:w="100" w:type="dxa"/>
            </w:tcMar>
            <w:vAlign w:val="center"/>
            <w:shd w:fill="F3F7FA"/>
          </w:tcPr>
          <w:p>
            <w:pPr>
              <w:spacing w:after="0"/>
            </w:pPr>
            <w:r>
              <w:rPr>
                <w:sz w:val="17"/>
              </w:rPr>
              <w:t>Exact flight match</w:t>
            </w:r>
          </w:p>
        </w:tc>
      </w:tr>
      <w:tr>
        <w:tc>
          <w:tcPr>
            <w:tcW w:type="dxa" w:w="2500"/>
            <w:tcMar>
              <w:top w:w="80" w:type="dxa"/>
              <w:start w:w="100" w:type="dxa"/>
              <w:bottom w:w="80" w:type="dxa"/>
              <w:end w:w="100" w:type="dxa"/>
            </w:tcMar>
            <w:vAlign w:val="center"/>
          </w:tcPr>
          <w:p>
            <w:pPr>
              <w:spacing w:after="0"/>
            </w:pPr>
            <w:r>
              <w:rPr>
                <w:sz w:val="17"/>
              </w:rPr>
              <w:t>Different flight number</w:t>
            </w:r>
          </w:p>
        </w:tc>
        <w:tc>
          <w:tcPr>
            <w:tcW w:type="dxa" w:w="3100"/>
            <w:tcMar>
              <w:top w:w="80" w:type="dxa"/>
              <w:start w:w="100" w:type="dxa"/>
              <w:bottom w:w="80" w:type="dxa"/>
              <w:end w:w="100" w:type="dxa"/>
            </w:tcMar>
            <w:vAlign w:val="center"/>
          </w:tcPr>
          <w:p>
            <w:pPr>
              <w:spacing w:after="0"/>
            </w:pPr>
            <w:r>
              <w:rPr>
                <w:sz w:val="17"/>
              </w:rPr>
              <w:t>Separate itineraries</w:t>
            </w:r>
          </w:p>
        </w:tc>
        <w:tc>
          <w:tcPr>
            <w:tcW w:type="dxa" w:w="3760"/>
            <w:tcMar>
              <w:top w:w="80" w:type="dxa"/>
              <w:start w:w="100" w:type="dxa"/>
              <w:bottom w:w="80" w:type="dxa"/>
              <w:end w:w="100" w:type="dxa"/>
            </w:tcMar>
            <w:vAlign w:val="center"/>
          </w:tcPr>
          <w:p>
            <w:pPr>
              <w:spacing w:after="0"/>
            </w:pPr>
            <w:r>
              <w:rPr>
                <w:sz w:val="17"/>
              </w:rPr>
              <w:t>Different operated journey</w:t>
            </w:r>
          </w:p>
        </w:tc>
      </w:tr>
      <w:tr>
        <w:tc>
          <w:tcPr>
            <w:tcW w:type="dxa" w:w="2500"/>
            <w:tcMar>
              <w:top w:w="80" w:type="dxa"/>
              <w:start w:w="100" w:type="dxa"/>
              <w:bottom w:w="80" w:type="dxa"/>
              <w:end w:w="100" w:type="dxa"/>
            </w:tcMar>
            <w:vAlign w:val="center"/>
            <w:shd w:fill="F3F7FA"/>
          </w:tcPr>
          <w:p>
            <w:pPr>
              <w:spacing w:after="0"/>
            </w:pPr>
            <w:r>
              <w:rPr>
                <w:sz w:val="17"/>
              </w:rPr>
              <w:t>Different travel date</w:t>
            </w:r>
          </w:p>
        </w:tc>
        <w:tc>
          <w:tcPr>
            <w:tcW w:type="dxa" w:w="3100"/>
            <w:tcMar>
              <w:top w:w="80" w:type="dxa"/>
              <w:start w:w="100" w:type="dxa"/>
              <w:bottom w:w="80" w:type="dxa"/>
              <w:end w:w="100" w:type="dxa"/>
            </w:tcMar>
            <w:vAlign w:val="center"/>
            <w:shd w:fill="F3F7FA"/>
          </w:tcPr>
          <w:p>
            <w:pPr>
              <w:spacing w:after="0"/>
            </w:pPr>
            <w:r>
              <w:rPr>
                <w:sz w:val="17"/>
              </w:rPr>
              <w:t>Separate itineraries</w:t>
            </w:r>
          </w:p>
        </w:tc>
        <w:tc>
          <w:tcPr>
            <w:tcW w:type="dxa" w:w="3760"/>
            <w:tcMar>
              <w:top w:w="80" w:type="dxa"/>
              <w:start w:w="100" w:type="dxa"/>
              <w:bottom w:w="80" w:type="dxa"/>
              <w:end w:w="100" w:type="dxa"/>
            </w:tcMar>
            <w:vAlign w:val="center"/>
            <w:shd w:fill="F3F7FA"/>
          </w:tcPr>
          <w:p>
            <w:pPr>
              <w:spacing w:after="0"/>
            </w:pPr>
            <w:r>
              <w:rPr>
                <w:sz w:val="17"/>
              </w:rPr>
              <w:t>Not interchangeable</w:t>
            </w:r>
          </w:p>
        </w:tc>
      </w:tr>
      <w:tr>
        <w:tc>
          <w:tcPr>
            <w:tcW w:type="dxa" w:w="2500"/>
            <w:tcMar>
              <w:top w:w="80" w:type="dxa"/>
              <w:start w:w="100" w:type="dxa"/>
              <w:bottom w:w="80" w:type="dxa"/>
              <w:end w:w="100" w:type="dxa"/>
            </w:tcMar>
            <w:vAlign w:val="center"/>
          </w:tcPr>
          <w:p>
            <w:pPr>
              <w:spacing w:after="0"/>
            </w:pPr>
            <w:r>
              <w:rPr>
                <w:sz w:val="17"/>
              </w:rPr>
              <w:t>Codeshare</w:t>
            </w:r>
          </w:p>
        </w:tc>
        <w:tc>
          <w:tcPr>
            <w:tcW w:type="dxa" w:w="3100"/>
            <w:tcMar>
              <w:top w:w="80" w:type="dxa"/>
              <w:start w:w="100" w:type="dxa"/>
              <w:bottom w:w="80" w:type="dxa"/>
              <w:end w:w="100" w:type="dxa"/>
            </w:tcMar>
            <w:vAlign w:val="center"/>
          </w:tcPr>
          <w:p>
            <w:pPr>
              <w:spacing w:after="0"/>
            </w:pPr>
            <w:r>
              <w:rPr>
                <w:sz w:val="17"/>
              </w:rPr>
              <w:t>Group only when segment identity matches</w:t>
            </w:r>
          </w:p>
        </w:tc>
        <w:tc>
          <w:tcPr>
            <w:tcW w:type="dxa" w:w="3760"/>
            <w:tcMar>
              <w:top w:w="80" w:type="dxa"/>
              <w:start w:w="100" w:type="dxa"/>
              <w:bottom w:w="80" w:type="dxa"/>
              <w:end w:w="100" w:type="dxa"/>
            </w:tcMar>
            <w:vAlign w:val="center"/>
          </w:tcPr>
          <w:p>
            <w:pPr>
              <w:spacing w:after="0"/>
            </w:pPr>
            <w:r>
              <w:rPr>
                <w:sz w:val="17"/>
              </w:rPr>
              <w:t>Preserve operating disclosure</w:t>
            </w:r>
          </w:p>
        </w:tc>
      </w:tr>
      <w:tr>
        <w:tc>
          <w:tcPr>
            <w:tcW w:type="dxa" w:w="2500"/>
            <w:tcMar>
              <w:top w:w="80" w:type="dxa"/>
              <w:start w:w="100" w:type="dxa"/>
              <w:bottom w:w="80" w:type="dxa"/>
              <w:end w:w="100" w:type="dxa"/>
            </w:tcMar>
            <w:vAlign w:val="center"/>
            <w:shd w:fill="F3F7FA"/>
          </w:tcPr>
          <w:p>
            <w:pPr>
              <w:spacing w:after="0"/>
            </w:pPr>
            <w:r>
              <w:rPr>
                <w:sz w:val="17"/>
              </w:rPr>
              <w:t>Self-transfer combination</w:t>
            </w:r>
          </w:p>
        </w:tc>
        <w:tc>
          <w:tcPr>
            <w:tcW w:type="dxa" w:w="3100"/>
            <w:tcMar>
              <w:top w:w="80" w:type="dxa"/>
              <w:start w:w="100" w:type="dxa"/>
              <w:bottom w:w="80" w:type="dxa"/>
              <w:end w:w="100" w:type="dxa"/>
            </w:tcMar>
            <w:vAlign w:val="center"/>
            <w:shd w:fill="F3F7FA"/>
          </w:tcPr>
          <w:p>
            <w:pPr>
              <w:spacing w:after="0"/>
            </w:pPr>
            <w:r>
              <w:rPr>
                <w:sz w:val="17"/>
              </w:rPr>
              <w:t>Separate/risk-labeled</w:t>
            </w:r>
          </w:p>
        </w:tc>
        <w:tc>
          <w:tcPr>
            <w:tcW w:type="dxa" w:w="3760"/>
            <w:tcMar>
              <w:top w:w="80" w:type="dxa"/>
              <w:start w:w="100" w:type="dxa"/>
              <w:bottom w:w="80" w:type="dxa"/>
              <w:end w:w="100" w:type="dxa"/>
            </w:tcMar>
            <w:vAlign w:val="center"/>
            <w:shd w:fill="F3F7FA"/>
          </w:tcPr>
          <w:p>
            <w:pPr>
              <w:spacing w:after="0"/>
            </w:pPr>
            <w:r>
              <w:rPr>
                <w:sz w:val="17"/>
              </w:rPr>
              <w:t>Different ticket and protection model</w:t>
            </w:r>
          </w:p>
        </w:tc>
      </w:tr>
    </w:tbl>
    <w:p>
      <w:r>
        <w:t>Currency normalization may support ordering, but the source currency and source total must remain auditable. Seller ordering should consider total price, freshness and disclosure completeness. It must never promote an expired or non-actionable offer as the lowest price.</w:t>
      </w:r>
    </w:p>
    <w:p>
      <w:pPr>
        <w:pStyle w:val="ListBullet"/>
      </w:pPr>
      <w:r>
        <w:t>Test time zones and overnight arrivals.</w:t>
      </w:r>
    </w:p>
    <w:p>
      <w:pPr>
        <w:pStyle w:val="ListBullet"/>
      </w:pPr>
      <w:r>
        <w:t>Test terminal changes and airport changes.</w:t>
      </w:r>
    </w:p>
    <w:p>
      <w:pPr>
        <w:pStyle w:val="ListBullet"/>
      </w:pPr>
      <w:r>
        <w:t>Test duplicated provider offers.</w:t>
      </w:r>
    </w:p>
    <w:p>
      <w:pPr>
        <w:pStyle w:val="ListBullet"/>
      </w:pPr>
      <w:r>
        <w:t>Test close timings that must not collide.</w:t>
      </w:r>
    </w:p>
    <w:p>
      <w:r>
        <w:br w:type="page"/>
      </w:r>
    </w:p>
    <w:p>
      <w:pPr>
        <w:spacing w:before="40" w:after="80"/>
      </w:pPr>
      <w:r>
        <w:rPr>
          <w:rFonts w:ascii="Aptos" w:hAnsi="Aptos"/>
          <w:b/>
          <w:color w:val="0F8277"/>
          <w:sz w:val="17"/>
        </w:rPr>
        <w:t>PAGE 12 OF 20  |  JOURNEY INTELLIGENCE</w:t>
      </w:r>
    </w:p>
    <w:p>
      <w:pPr>
        <w:pStyle w:val="Heading1"/>
      </w:pPr>
      <w:r>
        <w:t>Connections, Combinations and Self-Transfer Safety</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Rovvy may explain connecting journeys, but it must not manufacture a bookable combination unless an authorized source confirms the combined itinerary or the UI clearly treats separate tickets as self-transfer.</w:t>
            </w:r>
          </w:p>
        </w:tc>
      </w:tr>
    </w:tbl>
    <w:p>
      <w:pPr>
        <w:spacing w:after="0"/>
      </w:pPr>
    </w:p>
    <w:p>
      <w:r>
        <w:t>A through-ticket connection is normally supplied as one offer with protected segments. A virtual interline or separate-ticket combination introduces additional risks: missed-connection responsibility, baggage collection, immigration requirements, airport transfer and independent changes or cancellation.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00"/>
            <w:tcMar>
              <w:top w:w="80" w:type="dxa"/>
              <w:start w:w="100" w:type="dxa"/>
              <w:bottom w:w="80" w:type="dxa"/>
              <w:end w:w="100" w:type="dxa"/>
            </w:tcMar>
            <w:shd w:fill="08263D"/>
          </w:tcPr>
          <w:p>
            <w:pPr>
              <w:jc w:val="center"/>
            </w:pPr>
            <w:r>
              <w:rPr>
                <w:b/>
                <w:color w:val="FFFFFF"/>
                <w:sz w:val="18"/>
              </w:rPr>
              <w:t>Journey type</w:t>
            </w:r>
          </w:p>
        </w:tc>
        <w:tc>
          <w:tcPr>
            <w:tcW w:type="dxa" w:w="3600"/>
            <w:tcMar>
              <w:top w:w="80" w:type="dxa"/>
              <w:start w:w="100" w:type="dxa"/>
              <w:bottom w:w="80" w:type="dxa"/>
              <w:end w:w="100" w:type="dxa"/>
            </w:tcMar>
            <w:shd w:fill="08263D"/>
          </w:tcPr>
          <w:p>
            <w:pPr>
              <w:jc w:val="center"/>
            </w:pPr>
            <w:r>
              <w:rPr>
                <w:b/>
                <w:color w:val="FFFFFF"/>
                <w:sz w:val="18"/>
              </w:rPr>
              <w:t>What Rovvy may show</w:t>
            </w:r>
          </w:p>
        </w:tc>
        <w:tc>
          <w:tcPr>
            <w:tcW w:type="dxa" w:w="3560"/>
            <w:tcMar>
              <w:top w:w="80" w:type="dxa"/>
              <w:start w:w="100" w:type="dxa"/>
              <w:bottom w:w="80" w:type="dxa"/>
              <w:end w:w="100" w:type="dxa"/>
            </w:tcMar>
            <w:shd w:fill="08263D"/>
          </w:tcPr>
          <w:p>
            <w:pPr>
              <w:jc w:val="center"/>
            </w:pPr>
            <w:r>
              <w:rPr>
                <w:b/>
                <w:color w:val="FFFFFF"/>
                <w:sz w:val="18"/>
              </w:rPr>
              <w:t>Mandatory disclosure</w:t>
            </w:r>
          </w:p>
        </w:tc>
      </w:tr>
      <w:tr>
        <w:tc>
          <w:tcPr>
            <w:tcW w:type="dxa" w:w="2200"/>
            <w:tcMar>
              <w:top w:w="80" w:type="dxa"/>
              <w:start w:w="100" w:type="dxa"/>
              <w:bottom w:w="80" w:type="dxa"/>
              <w:end w:w="100" w:type="dxa"/>
            </w:tcMar>
            <w:vAlign w:val="center"/>
            <w:shd w:fill="F3F7FA"/>
          </w:tcPr>
          <w:p>
            <w:pPr>
              <w:spacing w:after="0"/>
            </w:pPr>
            <w:r>
              <w:rPr>
                <w:sz w:val="17"/>
              </w:rPr>
              <w:t>Nonstop</w:t>
            </w:r>
          </w:p>
        </w:tc>
        <w:tc>
          <w:tcPr>
            <w:tcW w:type="dxa" w:w="3600"/>
            <w:tcMar>
              <w:top w:w="80" w:type="dxa"/>
              <w:start w:w="100" w:type="dxa"/>
              <w:bottom w:w="80" w:type="dxa"/>
              <w:end w:w="100" w:type="dxa"/>
            </w:tcMar>
            <w:vAlign w:val="center"/>
            <w:shd w:fill="F3F7FA"/>
          </w:tcPr>
          <w:p>
            <w:pPr>
              <w:spacing w:after="0"/>
            </w:pPr>
            <w:r>
              <w:rPr>
                <w:sz w:val="17"/>
              </w:rPr>
              <w:t>Single segment</w:t>
            </w:r>
          </w:p>
        </w:tc>
        <w:tc>
          <w:tcPr>
            <w:tcW w:type="dxa" w:w="3560"/>
            <w:tcMar>
              <w:top w:w="80" w:type="dxa"/>
              <w:start w:w="100" w:type="dxa"/>
              <w:bottom w:w="80" w:type="dxa"/>
              <w:end w:w="100" w:type="dxa"/>
            </w:tcMar>
            <w:vAlign w:val="center"/>
            <w:shd w:fill="F3F7FA"/>
          </w:tcPr>
          <w:p>
            <w:pPr>
              <w:spacing w:after="0"/>
            </w:pPr>
            <w:r>
              <w:rPr>
                <w:sz w:val="17"/>
              </w:rPr>
              <w:t>Fare, baggage and seller</w:t>
            </w:r>
          </w:p>
        </w:tc>
      </w:tr>
      <w:tr>
        <w:tc>
          <w:tcPr>
            <w:tcW w:type="dxa" w:w="2200"/>
            <w:tcMar>
              <w:top w:w="80" w:type="dxa"/>
              <w:start w:w="100" w:type="dxa"/>
              <w:bottom w:w="80" w:type="dxa"/>
              <w:end w:w="100" w:type="dxa"/>
            </w:tcMar>
            <w:vAlign w:val="center"/>
          </w:tcPr>
          <w:p>
            <w:pPr>
              <w:spacing w:after="0"/>
            </w:pPr>
            <w:r>
              <w:rPr>
                <w:sz w:val="17"/>
              </w:rPr>
              <w:t>Protected connection</w:t>
            </w:r>
          </w:p>
        </w:tc>
        <w:tc>
          <w:tcPr>
            <w:tcW w:type="dxa" w:w="3600"/>
            <w:tcMar>
              <w:top w:w="80" w:type="dxa"/>
              <w:start w:w="100" w:type="dxa"/>
              <w:bottom w:w="80" w:type="dxa"/>
              <w:end w:w="100" w:type="dxa"/>
            </w:tcMar>
            <w:vAlign w:val="center"/>
          </w:tcPr>
          <w:p>
            <w:pPr>
              <w:spacing w:after="0"/>
            </w:pPr>
            <w:r>
              <w:rPr>
                <w:sz w:val="17"/>
              </w:rPr>
              <w:t>Ordered segments from one offer</w:t>
            </w:r>
          </w:p>
        </w:tc>
        <w:tc>
          <w:tcPr>
            <w:tcW w:type="dxa" w:w="3560"/>
            <w:tcMar>
              <w:top w:w="80" w:type="dxa"/>
              <w:start w:w="100" w:type="dxa"/>
              <w:bottom w:w="80" w:type="dxa"/>
              <w:end w:w="100" w:type="dxa"/>
            </w:tcMar>
            <w:vAlign w:val="center"/>
          </w:tcPr>
          <w:p>
            <w:pPr>
              <w:spacing w:after="0"/>
            </w:pPr>
            <w:r>
              <w:rPr>
                <w:sz w:val="17"/>
              </w:rPr>
              <w:t>Connection time and airports</w:t>
            </w:r>
          </w:p>
        </w:tc>
      </w:tr>
      <w:tr>
        <w:tc>
          <w:tcPr>
            <w:tcW w:type="dxa" w:w="2200"/>
            <w:tcMar>
              <w:top w:w="80" w:type="dxa"/>
              <w:start w:w="100" w:type="dxa"/>
              <w:bottom w:w="80" w:type="dxa"/>
              <w:end w:w="100" w:type="dxa"/>
            </w:tcMar>
            <w:vAlign w:val="center"/>
            <w:shd w:fill="F3F7FA"/>
          </w:tcPr>
          <w:p>
            <w:pPr>
              <w:spacing w:after="0"/>
            </w:pPr>
            <w:r>
              <w:rPr>
                <w:sz w:val="17"/>
              </w:rPr>
              <w:t>Provider-confirmed virtual interline</w:t>
            </w:r>
          </w:p>
        </w:tc>
        <w:tc>
          <w:tcPr>
            <w:tcW w:type="dxa" w:w="3600"/>
            <w:tcMar>
              <w:top w:w="80" w:type="dxa"/>
              <w:start w:w="100" w:type="dxa"/>
              <w:bottom w:w="80" w:type="dxa"/>
              <w:end w:w="100" w:type="dxa"/>
            </w:tcMar>
            <w:vAlign w:val="center"/>
            <w:shd w:fill="F3F7FA"/>
          </w:tcPr>
          <w:p>
            <w:pPr>
              <w:spacing w:after="0"/>
            </w:pPr>
            <w:r>
              <w:rPr>
                <w:sz w:val="17"/>
              </w:rPr>
              <w:t>Combined journey</w:t>
            </w:r>
          </w:p>
        </w:tc>
        <w:tc>
          <w:tcPr>
            <w:tcW w:type="dxa" w:w="3560"/>
            <w:tcMar>
              <w:top w:w="80" w:type="dxa"/>
              <w:start w:w="100" w:type="dxa"/>
              <w:bottom w:w="80" w:type="dxa"/>
              <w:end w:w="100" w:type="dxa"/>
            </w:tcMar>
            <w:vAlign w:val="center"/>
            <w:shd w:fill="F3F7FA"/>
          </w:tcPr>
          <w:p>
            <w:pPr>
              <w:spacing w:after="0"/>
            </w:pPr>
            <w:r>
              <w:rPr>
                <w:sz w:val="17"/>
              </w:rPr>
              <w:t>Protection terms and provider ownership</w:t>
            </w:r>
          </w:p>
        </w:tc>
      </w:tr>
      <w:tr>
        <w:tc>
          <w:tcPr>
            <w:tcW w:type="dxa" w:w="2200"/>
            <w:tcMar>
              <w:top w:w="80" w:type="dxa"/>
              <w:start w:w="100" w:type="dxa"/>
              <w:bottom w:w="80" w:type="dxa"/>
              <w:end w:w="100" w:type="dxa"/>
            </w:tcMar>
            <w:vAlign w:val="center"/>
          </w:tcPr>
          <w:p>
            <w:pPr>
              <w:spacing w:after="0"/>
            </w:pPr>
            <w:r>
              <w:rPr>
                <w:sz w:val="17"/>
              </w:rPr>
              <w:t>Independent tickets</w:t>
            </w:r>
          </w:p>
        </w:tc>
        <w:tc>
          <w:tcPr>
            <w:tcW w:type="dxa" w:w="3600"/>
            <w:tcMar>
              <w:top w:w="80" w:type="dxa"/>
              <w:start w:w="100" w:type="dxa"/>
              <w:bottom w:w="80" w:type="dxa"/>
              <w:end w:w="100" w:type="dxa"/>
            </w:tcMar>
            <w:vAlign w:val="center"/>
          </w:tcPr>
          <w:p>
            <w:pPr>
              <w:spacing w:after="0"/>
            </w:pPr>
            <w:r>
              <w:rPr>
                <w:sz w:val="17"/>
              </w:rPr>
              <w:t>Only when deliberately supported</w:t>
            </w:r>
          </w:p>
        </w:tc>
        <w:tc>
          <w:tcPr>
            <w:tcW w:type="dxa" w:w="3560"/>
            <w:tcMar>
              <w:top w:w="80" w:type="dxa"/>
              <w:start w:w="100" w:type="dxa"/>
              <w:bottom w:w="80" w:type="dxa"/>
              <w:end w:w="100" w:type="dxa"/>
            </w:tcMar>
            <w:vAlign w:val="center"/>
          </w:tcPr>
          <w:p>
            <w:pPr>
              <w:spacing w:after="0"/>
            </w:pPr>
            <w:r>
              <w:rPr>
                <w:sz w:val="17"/>
              </w:rPr>
              <w:t>Self-transfer, baggage, visa and missed-connection risk</w:t>
            </w:r>
          </w:p>
        </w:tc>
      </w:tr>
    </w:tbl>
    <w:p>
      <w:pPr>
        <w:pStyle w:val="ListBullet"/>
      </w:pPr>
      <w:r>
        <w:t>Do not call a journey protected unless the provider explicitly supplies that fact.</w:t>
      </w:r>
    </w:p>
    <w:p>
      <w:pPr>
        <w:pStyle w:val="ListBullet"/>
      </w:pPr>
      <w:r>
        <w:t>Do not claim automatic baggage transfer without source confirmation.</w:t>
      </w:r>
    </w:p>
    <w:p>
      <w:pPr>
        <w:pStyle w:val="ListBullet"/>
      </w:pPr>
      <w:r>
        <w:t>Flag airport changes and overnight connections.</w:t>
      </w:r>
    </w:p>
    <w:p>
      <w:pPr>
        <w:pStyle w:val="ListBullet"/>
      </w:pPr>
      <w:r>
        <w:t>Allow users to exclude self-transfer or airport-change results.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Phase-one recommendation: prioritize provider-supplied itineraries. Defer Rovvy-generated separate-ticket combinations until policy, feasibility and risk handling are mature.</w:t>
            </w:r>
          </w:p>
        </w:tc>
      </w:tr>
    </w:tbl>
    <w:p>
      <w:pPr>
        <w:spacing w:after="0"/>
      </w:pPr>
    </w:p>
    <w:p>
      <w:r>
        <w:br w:type="page"/>
      </w:r>
    </w:p>
    <w:p>
      <w:pPr>
        <w:spacing w:before="40" w:after="80"/>
      </w:pPr>
      <w:r>
        <w:rPr>
          <w:rFonts w:ascii="Aptos" w:hAnsi="Aptos"/>
          <w:b/>
          <w:color w:val="0F8277"/>
          <w:sz w:val="17"/>
        </w:rPr>
        <w:t>PAGE 13 OF 20  |  DECISION SUPPORT</w:t>
      </w:r>
    </w:p>
    <w:p>
      <w:pPr>
        <w:pStyle w:val="Heading1"/>
      </w:pPr>
      <w:r>
        <w:t>Ranking and Result Quality</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first results should be genuinely useful, while weaker alternatives remain accessible without overwhelming the user.</w:t>
            </w:r>
          </w:p>
        </w:tc>
      </w:tr>
    </w:tbl>
    <w:p>
      <w:pPr>
        <w:spacing w:after="0"/>
      </w:pPr>
    </w:p>
    <w:p>
      <w:r>
        <w:t>Rovvy Recommended should balance price, duration, stops, departure convenience, connection risk, freshness and disclosure completeness. Cheapest, fastest and earliest remain transparent deterministic sorts. Recommendation reasons must be readable, such as 'lowest price, nonstop, and shortest journey.'</w:t>
      </w:r>
    </w:p>
    <w:p>
      <w:pPr>
        <w:pStyle w:val="ListBullet"/>
      </w:pPr>
      <w:r>
        <w:t>Exclude invalid, expired and non-actionable offers before ranking.</w:t>
      </w:r>
    </w:p>
    <w:p>
      <w:pPr>
        <w:pStyle w:val="ListBullet"/>
      </w:pPr>
      <w:r>
        <w:t>Use a Pareto-style dominance check to collapse options that are both materially more expensive and materially worse in time or stops.</w:t>
      </w:r>
    </w:p>
    <w:p>
      <w:pPr>
        <w:pStyle w:val="ListBullet"/>
      </w:pPr>
      <w:r>
        <w:t>Preserve alternatives that serve a different schedule, airline, airport, baggage or flexibility need.</w:t>
      </w:r>
    </w:p>
    <w:p>
      <w:pPr>
        <w:pStyle w:val="ListBullet"/>
      </w:pPr>
      <w:r>
        <w:t>Avoid arbitrary labels such as 'best' when the score cannot be explained.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00"/>
            <w:tcMar>
              <w:top w:w="80" w:type="dxa"/>
              <w:start w:w="100" w:type="dxa"/>
              <w:bottom w:w="80" w:type="dxa"/>
              <w:end w:w="100" w:type="dxa"/>
            </w:tcMar>
            <w:shd w:fill="08263D"/>
          </w:tcPr>
          <w:p>
            <w:pPr>
              <w:jc w:val="center"/>
            </w:pPr>
            <w:r>
              <w:rPr>
                <w:b/>
                <w:color w:val="FFFFFF"/>
                <w:sz w:val="18"/>
              </w:rPr>
              <w:t>Result group</w:t>
            </w:r>
          </w:p>
        </w:tc>
        <w:tc>
          <w:tcPr>
            <w:tcW w:type="dxa" w:w="3500"/>
            <w:tcMar>
              <w:top w:w="80" w:type="dxa"/>
              <w:start w:w="100" w:type="dxa"/>
              <w:bottom w:w="80" w:type="dxa"/>
              <w:end w:w="100" w:type="dxa"/>
            </w:tcMar>
            <w:shd w:fill="08263D"/>
          </w:tcPr>
          <w:p>
            <w:pPr>
              <w:jc w:val="center"/>
            </w:pPr>
            <w:r>
              <w:rPr>
                <w:b/>
                <w:color w:val="FFFFFF"/>
                <w:sz w:val="18"/>
              </w:rPr>
              <w:t>Presentation</w:t>
            </w:r>
          </w:p>
        </w:tc>
        <w:tc>
          <w:tcPr>
            <w:tcW w:type="dxa" w:w="3860"/>
            <w:tcMar>
              <w:top w:w="80" w:type="dxa"/>
              <w:start w:w="100" w:type="dxa"/>
              <w:bottom w:w="80" w:type="dxa"/>
              <w:end w:w="100" w:type="dxa"/>
            </w:tcMar>
            <w:shd w:fill="08263D"/>
          </w:tcPr>
          <w:p>
            <w:pPr>
              <w:jc w:val="center"/>
            </w:pPr>
            <w:r>
              <w:rPr>
                <w:b/>
                <w:color w:val="FFFFFF"/>
                <w:sz w:val="18"/>
              </w:rPr>
              <w:t>User value</w:t>
            </w:r>
          </w:p>
        </w:tc>
      </w:tr>
      <w:tr>
        <w:tc>
          <w:tcPr>
            <w:tcW w:type="dxa" w:w="2000"/>
            <w:tcMar>
              <w:top w:w="80" w:type="dxa"/>
              <w:start w:w="100" w:type="dxa"/>
              <w:bottom w:w="80" w:type="dxa"/>
              <w:end w:w="100" w:type="dxa"/>
            </w:tcMar>
            <w:vAlign w:val="center"/>
            <w:shd w:fill="F3F7FA"/>
          </w:tcPr>
          <w:p>
            <w:pPr>
              <w:spacing w:after="0"/>
            </w:pPr>
            <w:r>
              <w:rPr>
                <w:sz w:val="17"/>
              </w:rPr>
              <w:t>Recommended</w:t>
            </w:r>
          </w:p>
        </w:tc>
        <w:tc>
          <w:tcPr>
            <w:tcW w:type="dxa" w:w="3500"/>
            <w:tcMar>
              <w:top w:w="80" w:type="dxa"/>
              <w:start w:w="100" w:type="dxa"/>
              <w:bottom w:w="80" w:type="dxa"/>
              <w:end w:w="100" w:type="dxa"/>
            </w:tcMar>
            <w:vAlign w:val="center"/>
            <w:shd w:fill="F3F7FA"/>
          </w:tcPr>
          <w:p>
            <w:pPr>
              <w:spacing w:after="0"/>
            </w:pPr>
            <w:r>
              <w:rPr>
                <w:sz w:val="17"/>
              </w:rPr>
              <w:t>One highlighted card</w:t>
            </w:r>
          </w:p>
        </w:tc>
        <w:tc>
          <w:tcPr>
            <w:tcW w:type="dxa" w:w="3860"/>
            <w:tcMar>
              <w:top w:w="80" w:type="dxa"/>
              <w:start w:w="100" w:type="dxa"/>
              <w:bottom w:w="80" w:type="dxa"/>
              <w:end w:w="100" w:type="dxa"/>
            </w:tcMar>
            <w:vAlign w:val="center"/>
            <w:shd w:fill="F3F7FA"/>
          </w:tcPr>
          <w:p>
            <w:pPr>
              <w:spacing w:after="0"/>
            </w:pPr>
            <w:r>
              <w:rPr>
                <w:sz w:val="17"/>
              </w:rPr>
              <w:t>Balanced default</w:t>
            </w:r>
          </w:p>
        </w:tc>
      </w:tr>
      <w:tr>
        <w:tc>
          <w:tcPr>
            <w:tcW w:type="dxa" w:w="2000"/>
            <w:tcMar>
              <w:top w:w="80" w:type="dxa"/>
              <w:start w:w="100" w:type="dxa"/>
              <w:bottom w:w="80" w:type="dxa"/>
              <w:end w:w="100" w:type="dxa"/>
            </w:tcMar>
            <w:vAlign w:val="center"/>
          </w:tcPr>
          <w:p>
            <w:pPr>
              <w:spacing w:after="0"/>
            </w:pPr>
            <w:r>
              <w:rPr>
                <w:sz w:val="17"/>
              </w:rPr>
              <w:t>Cheapest</w:t>
            </w:r>
          </w:p>
        </w:tc>
        <w:tc>
          <w:tcPr>
            <w:tcW w:type="dxa" w:w="3500"/>
            <w:tcMar>
              <w:top w:w="80" w:type="dxa"/>
              <w:start w:w="100" w:type="dxa"/>
              <w:bottom w:w="80" w:type="dxa"/>
              <w:end w:w="100" w:type="dxa"/>
            </w:tcMar>
            <w:vAlign w:val="center"/>
          </w:tcPr>
          <w:p>
            <w:pPr>
              <w:spacing w:after="0"/>
            </w:pPr>
            <w:r>
              <w:rPr>
                <w:sz w:val="17"/>
              </w:rPr>
              <w:t>Sort/tab with actual minimum</w:t>
            </w:r>
          </w:p>
        </w:tc>
        <w:tc>
          <w:tcPr>
            <w:tcW w:type="dxa" w:w="3860"/>
            <w:tcMar>
              <w:top w:w="80" w:type="dxa"/>
              <w:start w:w="100" w:type="dxa"/>
              <w:bottom w:w="80" w:type="dxa"/>
              <w:end w:w="100" w:type="dxa"/>
            </w:tcMar>
            <w:vAlign w:val="center"/>
          </w:tcPr>
          <w:p>
            <w:pPr>
              <w:spacing w:after="0"/>
            </w:pPr>
            <w:r>
              <w:rPr>
                <w:sz w:val="17"/>
              </w:rPr>
              <w:t>Budget decision</w:t>
            </w:r>
          </w:p>
        </w:tc>
      </w:tr>
      <w:tr>
        <w:tc>
          <w:tcPr>
            <w:tcW w:type="dxa" w:w="2000"/>
            <w:tcMar>
              <w:top w:w="80" w:type="dxa"/>
              <w:start w:w="100" w:type="dxa"/>
              <w:bottom w:w="80" w:type="dxa"/>
              <w:end w:w="100" w:type="dxa"/>
            </w:tcMar>
            <w:vAlign w:val="center"/>
            <w:shd w:fill="F3F7FA"/>
          </w:tcPr>
          <w:p>
            <w:pPr>
              <w:spacing w:after="0"/>
            </w:pPr>
            <w:r>
              <w:rPr>
                <w:sz w:val="17"/>
              </w:rPr>
              <w:t>Fastest</w:t>
            </w:r>
          </w:p>
        </w:tc>
        <w:tc>
          <w:tcPr>
            <w:tcW w:type="dxa" w:w="3500"/>
            <w:tcMar>
              <w:top w:w="80" w:type="dxa"/>
              <w:start w:w="100" w:type="dxa"/>
              <w:bottom w:w="80" w:type="dxa"/>
              <w:end w:w="100" w:type="dxa"/>
            </w:tcMar>
            <w:vAlign w:val="center"/>
            <w:shd w:fill="F3F7FA"/>
          </w:tcPr>
          <w:p>
            <w:pPr>
              <w:spacing w:after="0"/>
            </w:pPr>
            <w:r>
              <w:rPr>
                <w:sz w:val="17"/>
              </w:rPr>
              <w:t>Sort/tab with duration</w:t>
            </w:r>
          </w:p>
        </w:tc>
        <w:tc>
          <w:tcPr>
            <w:tcW w:type="dxa" w:w="3860"/>
            <w:tcMar>
              <w:top w:w="80" w:type="dxa"/>
              <w:start w:w="100" w:type="dxa"/>
              <w:bottom w:w="80" w:type="dxa"/>
              <w:end w:w="100" w:type="dxa"/>
            </w:tcMar>
            <w:vAlign w:val="center"/>
            <w:shd w:fill="F3F7FA"/>
          </w:tcPr>
          <w:p>
            <w:pPr>
              <w:spacing w:after="0"/>
            </w:pPr>
            <w:r>
              <w:rPr>
                <w:sz w:val="17"/>
              </w:rPr>
              <w:t>Time decision</w:t>
            </w:r>
          </w:p>
        </w:tc>
      </w:tr>
      <w:tr>
        <w:tc>
          <w:tcPr>
            <w:tcW w:type="dxa" w:w="2000"/>
            <w:tcMar>
              <w:top w:w="80" w:type="dxa"/>
              <w:start w:w="100" w:type="dxa"/>
              <w:bottom w:w="80" w:type="dxa"/>
              <w:end w:w="100" w:type="dxa"/>
            </w:tcMar>
            <w:vAlign w:val="center"/>
          </w:tcPr>
          <w:p>
            <w:pPr>
              <w:spacing w:after="0"/>
            </w:pPr>
            <w:r>
              <w:rPr>
                <w:sz w:val="17"/>
              </w:rPr>
              <w:t>Alternatives</w:t>
            </w:r>
          </w:p>
        </w:tc>
        <w:tc>
          <w:tcPr>
            <w:tcW w:type="dxa" w:w="3500"/>
            <w:tcMar>
              <w:top w:w="80" w:type="dxa"/>
              <w:start w:w="100" w:type="dxa"/>
              <w:bottom w:w="80" w:type="dxa"/>
              <w:end w:w="100" w:type="dxa"/>
            </w:tcMar>
            <w:vAlign w:val="center"/>
          </w:tcPr>
          <w:p>
            <w:pPr>
              <w:spacing w:after="0"/>
            </w:pPr>
            <w:r>
              <w:rPr>
                <w:sz w:val="17"/>
              </w:rPr>
              <w:t>Collapsed with comparison reason</w:t>
            </w:r>
          </w:p>
        </w:tc>
        <w:tc>
          <w:tcPr>
            <w:tcW w:type="dxa" w:w="3860"/>
            <w:tcMar>
              <w:top w:w="80" w:type="dxa"/>
              <w:start w:w="100" w:type="dxa"/>
              <w:bottom w:w="80" w:type="dxa"/>
              <w:end w:w="100" w:type="dxa"/>
            </w:tcMar>
            <w:vAlign w:val="center"/>
          </w:tcPr>
          <w:p>
            <w:pPr>
              <w:spacing w:after="0"/>
            </w:pPr>
            <w:r>
              <w:rPr>
                <w:sz w:val="17"/>
              </w:rPr>
              <w:t>Choice without clutter</w:t>
            </w:r>
          </w:p>
        </w:tc>
      </w:tr>
      <w:tr>
        <w:tc>
          <w:tcPr>
            <w:tcW w:type="dxa" w:w="2000"/>
            <w:tcMar>
              <w:top w:w="80" w:type="dxa"/>
              <w:start w:w="100" w:type="dxa"/>
              <w:bottom w:w="80" w:type="dxa"/>
              <w:end w:w="100" w:type="dxa"/>
            </w:tcMar>
            <w:vAlign w:val="center"/>
            <w:shd w:fill="F3F7FA"/>
          </w:tcPr>
          <w:p>
            <w:pPr>
              <w:spacing w:after="0"/>
            </w:pPr>
            <w:r>
              <w:rPr>
                <w:sz w:val="17"/>
              </w:rPr>
              <w:t>Unavailable</w:t>
            </w:r>
          </w:p>
        </w:tc>
        <w:tc>
          <w:tcPr>
            <w:tcW w:type="dxa" w:w="3500"/>
            <w:tcMar>
              <w:top w:w="80" w:type="dxa"/>
              <w:start w:w="100" w:type="dxa"/>
              <w:bottom w:w="80" w:type="dxa"/>
              <w:end w:w="100" w:type="dxa"/>
            </w:tcMar>
            <w:vAlign w:val="center"/>
            <w:shd w:fill="F3F7FA"/>
          </w:tcPr>
          <w:p>
            <w:pPr>
              <w:spacing w:after="0"/>
            </w:pPr>
            <w:r>
              <w:rPr>
                <w:sz w:val="17"/>
              </w:rPr>
              <w:t>Non-actionable explanation</w:t>
            </w:r>
          </w:p>
        </w:tc>
        <w:tc>
          <w:tcPr>
            <w:tcW w:type="dxa" w:w="3860"/>
            <w:tcMar>
              <w:top w:w="80" w:type="dxa"/>
              <w:start w:w="100" w:type="dxa"/>
              <w:bottom w:w="80" w:type="dxa"/>
              <w:end w:w="100" w:type="dxa"/>
            </w:tcMar>
            <w:vAlign w:val="center"/>
            <w:shd w:fill="F3F7FA"/>
          </w:tcPr>
          <w:p>
            <w:pPr>
              <w:spacing w:after="0"/>
            </w:pPr>
            <w:r>
              <w:rPr>
                <w:sz w:val="17"/>
              </w:rPr>
              <w:t>Trustworthy limitation</w:t>
            </w:r>
          </w:p>
        </w:tc>
      </w:tr>
    </w:tbl>
    <w:p>
      <w:r>
        <w:br w:type="page"/>
      </w:r>
    </w:p>
    <w:p>
      <w:pPr>
        <w:spacing w:before="40" w:after="80"/>
      </w:pPr>
      <w:r>
        <w:rPr>
          <w:rFonts w:ascii="Aptos" w:hAnsi="Aptos"/>
          <w:b/>
          <w:color w:val="0F8277"/>
          <w:sz w:val="17"/>
        </w:rPr>
        <w:t>PAGE 14 OF 20  |  FRONTEND EXPERIENCE</w:t>
      </w:r>
    </w:p>
    <w:p>
      <w:pPr>
        <w:pStyle w:val="Heading1"/>
      </w:pPr>
      <w:r>
        <w:t>Results UI and Provider Comparison</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visual model should resemble familiar flight-search patterns without copying another brand: filters on the left, clear result cards in the center, and provider choice opened only for the selected itinerary.</w:t>
            </w:r>
          </w:p>
        </w:tc>
      </w:tr>
    </w:tbl>
    <w:p>
      <w:pPr>
        <w:spacing w:after="0"/>
      </w:pPr>
    </w:p>
    <w:p>
      <w:r>
        <w:t>Each card should prioritize airline identity, departure and arrival times, airport codes, duration, stops and connection airports, then show the starting actionable price and number of sellers. Secondary details include baggage, fare flexibility, operating carrier and freshness.</w:t>
      </w:r>
    </w:p>
    <w:p>
      <w:pPr>
        <w:pStyle w:val="ListBullet"/>
      </w:pPr>
      <w:r>
        <w:t>Desktop: compact two- or three-column layout with a stable filter rail.</w:t>
      </w:r>
    </w:p>
    <w:p>
      <w:pPr>
        <w:pStyle w:val="ListBullet"/>
      </w:pPr>
      <w:r>
        <w:t>Mobile: filter and sort drawers; no horizontal overflow.</w:t>
      </w:r>
    </w:p>
    <w:p>
      <w:pPr>
        <w:pStyle w:val="ListBullet"/>
      </w:pPr>
      <w:r>
        <w:t>Provider panel: one card per actionable seller, not repeated copies of the same sandbox offer.</w:t>
      </w:r>
    </w:p>
    <w:p>
      <w:pPr>
        <w:pStyle w:val="ListBullet"/>
      </w:pPr>
      <w:r>
        <w:t>Actions: 'Compare providers' and 'Continue to provider'; disable action when no valid destination exists.</w:t>
      </w:r>
    </w:p>
    <w:p>
      <w:pPr>
        <w:pStyle w:val="ListBullet"/>
      </w:pPr>
      <w:r>
        <w:t>Trust strip: environment, provider coverage and price check time.</w:t>
      </w:r>
    </w:p>
    <w:p>
      <w:r>
        <w:t>The current tall cards can be made stronger by reducing empty space, aligning the timeline and price column, shortening repetitive disclosure text, and moving detailed conditions into an expandable area. The Rovvy teal remains the primary action color; navy provides hierarchy and white/light gray keeps the list readable.</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No sponsored placement should be simulated. If sponsorship is introduced later, it must be contractually authorized and unmistakably labeled.</w:t>
            </w:r>
          </w:p>
        </w:tc>
      </w:tr>
    </w:tbl>
    <w:p>
      <w:pPr>
        <w:spacing w:after="0"/>
      </w:pPr>
    </w:p>
    <w:p>
      <w:r>
        <w:br w:type="page"/>
      </w:r>
    </w:p>
    <w:p>
      <w:pPr>
        <w:spacing w:before="40" w:after="80"/>
      </w:pPr>
      <w:r>
        <w:rPr>
          <w:rFonts w:ascii="Aptos" w:hAnsi="Aptos"/>
          <w:b/>
          <w:color w:val="0F8277"/>
          <w:sz w:val="17"/>
        </w:rPr>
        <w:t>PAGE 15 OF 20  |  REDIRECT FLOW</w:t>
      </w:r>
    </w:p>
    <w:p>
      <w:pPr>
        <w:pStyle w:val="Heading1"/>
      </w:pPr>
      <w:r>
        <w:t>External Redirect and Handoff Security</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Redirecting is a security boundary. Rovvy should never trust an arbitrary URL returned to or submitted by the browser.</w:t>
            </w:r>
          </w:p>
        </w:tc>
      </w:tr>
    </w:tbl>
    <w:p>
      <w:pPr>
        <w:spacing w:after="0"/>
      </w:pPr>
    </w:p>
    <w:p>
      <w:pPr>
        <w:spacing w:after="60"/>
        <w:ind w:left="317" w:hanging="317"/>
      </w:pPr>
      <w:r>
        <w:t>1.  The selected seller offer is identified by a server-known offer or handoff token.</w:t>
      </w:r>
    </w:p>
    <w:p>
      <w:pPr>
        <w:spacing w:after="60"/>
        <w:ind w:left="317" w:hanging="317"/>
      </w:pPr>
      <w:r>
        <w:t>2.  The backend checks that the offer is current and belongs to an actionable provider.</w:t>
      </w:r>
    </w:p>
    <w:p>
      <w:pPr>
        <w:spacing w:after="60"/>
        <w:ind w:left="317" w:hanging="317"/>
      </w:pPr>
      <w:r>
        <w:t>3.  The destination is HTTPS and its host matches the provider's allowlist.</w:t>
      </w:r>
    </w:p>
    <w:p>
      <w:pPr>
        <w:spacing w:after="60"/>
        <w:ind w:left="317" w:hanging="317"/>
      </w:pPr>
      <w:r>
        <w:t>4.  The backend records a minimal handoff event without sensitive passenger or payment data.</w:t>
      </w:r>
    </w:p>
    <w:p>
      <w:pPr>
        <w:spacing w:after="60"/>
        <w:ind w:left="317" w:hanging="317"/>
      </w:pPr>
      <w:r>
        <w:t>5.  The user sees a clear message that booking will continue with the provider.</w:t>
      </w:r>
    </w:p>
    <w:p>
      <w:pPr>
        <w:spacing w:after="60"/>
        <w:ind w:left="317" w:hanging="317"/>
      </w:pPr>
      <w:r>
        <w:t>6.  The browser opens the validated itinerary-specific destination when available.</w:t>
      </w:r>
    </w:p>
    <w:p>
      <w:pPr>
        <w:pStyle w:val="ListBullet"/>
      </w:pPr>
      <w:r>
        <w:t>Block malformed, javascript, data and unknown-domain destinations.</w:t>
      </w:r>
    </w:p>
    <w:p>
      <w:pPr>
        <w:pStyle w:val="ListBullet"/>
      </w:pPr>
      <w:r>
        <w:t>Avoid open-redirect query parameters.</w:t>
      </w:r>
    </w:p>
    <w:p>
      <w:pPr>
        <w:pStyle w:val="ListBullet"/>
      </w:pPr>
      <w:r>
        <w:t>Do not expose provider credentials in client bundles or redirect URLs.</w:t>
      </w:r>
    </w:p>
    <w:p>
      <w:pPr>
        <w:pStyle w:val="ListBullet"/>
      </w:pPr>
      <w:r>
        <w:t>Use safe error text when the link expires or is unavailable.</w:t>
      </w:r>
    </w:p>
    <w:p>
      <w:pPr>
        <w:pStyle w:val="ListBullet"/>
      </w:pPr>
      <w:r>
        <w:t>Do not require sign-in merely to leave for an authorized provider.</w:t>
      </w:r>
    </w:p>
    <w:p>
      <w:r>
        <w:t>The disabled 'Continue to Duffel sandbox' button in the current UI is not caused by the user being signed out. It is disabled because the sandbox offer has no valid external provider link and cannot create a real booking. The UI should state that reason once, clearly, rather than repeating many identical seller cards.</w:t>
      </w:r>
    </w:p>
    <w:p>
      <w:r>
        <w:br w:type="page"/>
      </w:r>
    </w:p>
    <w:p>
      <w:pPr>
        <w:spacing w:before="40" w:after="80"/>
      </w:pPr>
      <w:r>
        <w:rPr>
          <w:rFonts w:ascii="Aptos" w:hAnsi="Aptos"/>
          <w:b/>
          <w:color w:val="0F8277"/>
          <w:sz w:val="17"/>
        </w:rPr>
        <w:t>PAGE 16 OF 20  |  ROVVY DIFFERENTIATION</w:t>
      </w:r>
    </w:p>
    <w:p>
      <w:pPr>
        <w:pStyle w:val="Heading1"/>
      </w:pPr>
      <w:r>
        <w:t>Trip Space and Group-Travel Integration</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Rovvy's durable advantage is not merely fare discovery; it is helping travelers coordinate decisions before and after an external booking.</w:t>
            </w:r>
          </w:p>
        </w:tc>
      </w:tr>
    </w:tbl>
    <w:p>
      <w:pPr>
        <w:spacing w:after="0"/>
      </w:pPr>
    </w:p>
    <w:p>
      <w:r>
        <w:t>A member should be able to share a proposed itinerary with the group, discuss schedule tradeoffs, vote or indicate preference, and record the selected option. After booking on the provider site, the member may attach limited confirmation facts such as airline, flight number, dates and booking status.</w:t>
      </w:r>
    </w:p>
    <w:p>
      <w:pPr>
        <w:pStyle w:val="ListBullet"/>
      </w:pPr>
      <w:r>
        <w:t>Do not request payment card data.</w:t>
      </w:r>
    </w:p>
    <w:p>
      <w:pPr>
        <w:pStyle w:val="ListBullet"/>
      </w:pPr>
      <w:r>
        <w:t>Avoid storing full passport details for a comparison product.</w:t>
      </w:r>
    </w:p>
    <w:p>
      <w:pPr>
        <w:pStyle w:val="ListBullet"/>
      </w:pPr>
      <w:r>
        <w:t>Minimize confirmation identifiers and restrict visibility by Trip Space permissions.</w:t>
      </w:r>
    </w:p>
    <w:p>
      <w:pPr>
        <w:pStyle w:val="ListBullet"/>
      </w:pPr>
      <w:r>
        <w:t>Clearly label externally booked flights as user-provided unless verified through an authorized source.</w:t>
      </w:r>
    </w:p>
    <w:p>
      <w:pPr>
        <w:pStyle w:val="ListBullet"/>
      </w:pPr>
      <w:r>
        <w:t>Allow members to hide personal price or confirmation details while sharing schedule information.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00"/>
            <w:tcMar>
              <w:top w:w="80" w:type="dxa"/>
              <w:start w:w="100" w:type="dxa"/>
              <w:bottom w:w="80" w:type="dxa"/>
              <w:end w:w="100" w:type="dxa"/>
            </w:tcMar>
            <w:shd w:fill="08263D"/>
          </w:tcPr>
          <w:p>
            <w:pPr>
              <w:jc w:val="center"/>
            </w:pPr>
            <w:r>
              <w:rPr>
                <w:b/>
                <w:color w:val="FFFFFF"/>
                <w:sz w:val="18"/>
              </w:rPr>
              <w:t>Group action</w:t>
            </w:r>
          </w:p>
        </w:tc>
        <w:tc>
          <w:tcPr>
            <w:tcW w:type="dxa" w:w="3300"/>
            <w:tcMar>
              <w:top w:w="80" w:type="dxa"/>
              <w:start w:w="100" w:type="dxa"/>
              <w:bottom w:w="80" w:type="dxa"/>
              <w:end w:w="100" w:type="dxa"/>
            </w:tcMar>
            <w:shd w:fill="08263D"/>
          </w:tcPr>
          <w:p>
            <w:pPr>
              <w:jc w:val="center"/>
            </w:pPr>
            <w:r>
              <w:rPr>
                <w:b/>
                <w:color w:val="FFFFFF"/>
                <w:sz w:val="18"/>
              </w:rPr>
              <w:t>Data needed</w:t>
            </w:r>
          </w:p>
        </w:tc>
        <w:tc>
          <w:tcPr>
            <w:tcW w:type="dxa" w:w="3860"/>
            <w:tcMar>
              <w:top w:w="80" w:type="dxa"/>
              <w:start w:w="100" w:type="dxa"/>
              <w:bottom w:w="80" w:type="dxa"/>
              <w:end w:w="100" w:type="dxa"/>
            </w:tcMar>
            <w:shd w:fill="08263D"/>
          </w:tcPr>
          <w:p>
            <w:pPr>
              <w:jc w:val="center"/>
            </w:pPr>
            <w:r>
              <w:rPr>
                <w:b/>
                <w:color w:val="FFFFFF"/>
                <w:sz w:val="18"/>
              </w:rPr>
              <w:t>Privacy rule</w:t>
            </w:r>
          </w:p>
        </w:tc>
      </w:tr>
      <w:tr>
        <w:tc>
          <w:tcPr>
            <w:tcW w:type="dxa" w:w="2200"/>
            <w:tcMar>
              <w:top w:w="80" w:type="dxa"/>
              <w:start w:w="100" w:type="dxa"/>
              <w:bottom w:w="80" w:type="dxa"/>
              <w:end w:w="100" w:type="dxa"/>
            </w:tcMar>
            <w:vAlign w:val="center"/>
            <w:shd w:fill="F3F7FA"/>
          </w:tcPr>
          <w:p>
            <w:pPr>
              <w:spacing w:after="0"/>
            </w:pPr>
            <w:r>
              <w:rPr>
                <w:sz w:val="17"/>
              </w:rPr>
              <w:t>Share option</w:t>
            </w:r>
          </w:p>
        </w:tc>
        <w:tc>
          <w:tcPr>
            <w:tcW w:type="dxa" w:w="3300"/>
            <w:tcMar>
              <w:top w:w="80" w:type="dxa"/>
              <w:start w:w="100" w:type="dxa"/>
              <w:bottom w:w="80" w:type="dxa"/>
              <w:end w:w="100" w:type="dxa"/>
            </w:tcMar>
            <w:vAlign w:val="center"/>
            <w:shd w:fill="F3F7FA"/>
          </w:tcPr>
          <w:p>
            <w:pPr>
              <w:spacing w:after="0"/>
            </w:pPr>
            <w:r>
              <w:rPr>
                <w:sz w:val="17"/>
              </w:rPr>
              <w:t>Public itinerary facts</w:t>
            </w:r>
          </w:p>
        </w:tc>
        <w:tc>
          <w:tcPr>
            <w:tcW w:type="dxa" w:w="3860"/>
            <w:tcMar>
              <w:top w:w="80" w:type="dxa"/>
              <w:start w:w="100" w:type="dxa"/>
              <w:bottom w:w="80" w:type="dxa"/>
              <w:end w:w="100" w:type="dxa"/>
            </w:tcMar>
            <w:vAlign w:val="center"/>
            <w:shd w:fill="F3F7FA"/>
          </w:tcPr>
          <w:p>
            <w:pPr>
              <w:spacing w:after="0"/>
            </w:pPr>
            <w:r>
              <w:rPr>
                <w:sz w:val="17"/>
              </w:rPr>
              <w:t>No booking reference</w:t>
            </w:r>
          </w:p>
        </w:tc>
      </w:tr>
      <w:tr>
        <w:tc>
          <w:tcPr>
            <w:tcW w:type="dxa" w:w="2200"/>
            <w:tcMar>
              <w:top w:w="80" w:type="dxa"/>
              <w:start w:w="100" w:type="dxa"/>
              <w:bottom w:w="80" w:type="dxa"/>
              <w:end w:w="100" w:type="dxa"/>
            </w:tcMar>
            <w:vAlign w:val="center"/>
          </w:tcPr>
          <w:p>
            <w:pPr>
              <w:spacing w:after="0"/>
            </w:pPr>
            <w:r>
              <w:rPr>
                <w:sz w:val="17"/>
              </w:rPr>
              <w:t>Vote</w:t>
            </w:r>
          </w:p>
        </w:tc>
        <w:tc>
          <w:tcPr>
            <w:tcW w:type="dxa" w:w="3300"/>
            <w:tcMar>
              <w:top w:w="80" w:type="dxa"/>
              <w:start w:w="100" w:type="dxa"/>
              <w:bottom w:w="80" w:type="dxa"/>
              <w:end w:w="100" w:type="dxa"/>
            </w:tcMar>
            <w:vAlign w:val="center"/>
          </w:tcPr>
          <w:p>
            <w:pPr>
              <w:spacing w:after="0"/>
            </w:pPr>
            <w:r>
              <w:rPr>
                <w:sz w:val="17"/>
              </w:rPr>
              <w:t>Member and choice</w:t>
            </w:r>
          </w:p>
        </w:tc>
        <w:tc>
          <w:tcPr>
            <w:tcW w:type="dxa" w:w="3860"/>
            <w:tcMar>
              <w:top w:w="80" w:type="dxa"/>
              <w:start w:w="100" w:type="dxa"/>
              <w:bottom w:w="80" w:type="dxa"/>
              <w:end w:w="100" w:type="dxa"/>
            </w:tcMar>
            <w:vAlign w:val="center"/>
          </w:tcPr>
          <w:p>
            <w:pPr>
              <w:spacing w:after="0"/>
            </w:pPr>
            <w:r>
              <w:rPr>
                <w:sz w:val="17"/>
              </w:rPr>
              <w:t>Group-only visibility</w:t>
            </w:r>
          </w:p>
        </w:tc>
      </w:tr>
      <w:tr>
        <w:tc>
          <w:tcPr>
            <w:tcW w:type="dxa" w:w="2200"/>
            <w:tcMar>
              <w:top w:w="80" w:type="dxa"/>
              <w:start w:w="100" w:type="dxa"/>
              <w:bottom w:w="80" w:type="dxa"/>
              <w:end w:w="100" w:type="dxa"/>
            </w:tcMar>
            <w:vAlign w:val="center"/>
            <w:shd w:fill="F3F7FA"/>
          </w:tcPr>
          <w:p>
            <w:pPr>
              <w:spacing w:after="0"/>
            </w:pPr>
            <w:r>
              <w:rPr>
                <w:sz w:val="17"/>
              </w:rPr>
              <w:t>Attach booked flight</w:t>
            </w:r>
          </w:p>
        </w:tc>
        <w:tc>
          <w:tcPr>
            <w:tcW w:type="dxa" w:w="3300"/>
            <w:tcMar>
              <w:top w:w="80" w:type="dxa"/>
              <w:start w:w="100" w:type="dxa"/>
              <w:bottom w:w="80" w:type="dxa"/>
              <w:end w:w="100" w:type="dxa"/>
            </w:tcMar>
            <w:vAlign w:val="center"/>
            <w:shd w:fill="F3F7FA"/>
          </w:tcPr>
          <w:p>
            <w:pPr>
              <w:spacing w:after="0"/>
            </w:pPr>
            <w:r>
              <w:rPr>
                <w:sz w:val="17"/>
              </w:rPr>
              <w:t>Minimal confirmation summary</w:t>
            </w:r>
          </w:p>
        </w:tc>
        <w:tc>
          <w:tcPr>
            <w:tcW w:type="dxa" w:w="3860"/>
            <w:tcMar>
              <w:top w:w="80" w:type="dxa"/>
              <w:start w:w="100" w:type="dxa"/>
              <w:bottom w:w="80" w:type="dxa"/>
              <w:end w:w="100" w:type="dxa"/>
            </w:tcMar>
            <w:vAlign w:val="center"/>
            <w:shd w:fill="F3F7FA"/>
          </w:tcPr>
          <w:p>
            <w:pPr>
              <w:spacing w:after="0"/>
            </w:pPr>
            <w:r>
              <w:rPr>
                <w:sz w:val="17"/>
              </w:rPr>
              <w:t>User-controlled access</w:t>
            </w:r>
          </w:p>
        </w:tc>
      </w:tr>
      <w:tr>
        <w:tc>
          <w:tcPr>
            <w:tcW w:type="dxa" w:w="2200"/>
            <w:tcMar>
              <w:top w:w="80" w:type="dxa"/>
              <w:start w:w="100" w:type="dxa"/>
              <w:bottom w:w="80" w:type="dxa"/>
              <w:end w:w="100" w:type="dxa"/>
            </w:tcMar>
            <w:vAlign w:val="center"/>
          </w:tcPr>
          <w:p>
            <w:pPr>
              <w:spacing w:after="0"/>
            </w:pPr>
            <w:r>
              <w:rPr>
                <w:sz w:val="17"/>
              </w:rPr>
              <w:t>Reminder</w:t>
            </w:r>
          </w:p>
        </w:tc>
        <w:tc>
          <w:tcPr>
            <w:tcW w:type="dxa" w:w="3300"/>
            <w:tcMar>
              <w:top w:w="80" w:type="dxa"/>
              <w:start w:w="100" w:type="dxa"/>
              <w:bottom w:w="80" w:type="dxa"/>
              <w:end w:w="100" w:type="dxa"/>
            </w:tcMar>
            <w:vAlign w:val="center"/>
          </w:tcPr>
          <w:p>
            <w:pPr>
              <w:spacing w:after="0"/>
            </w:pPr>
            <w:r>
              <w:rPr>
                <w:sz w:val="17"/>
              </w:rPr>
              <w:t>Flight time and status source</w:t>
            </w:r>
          </w:p>
        </w:tc>
        <w:tc>
          <w:tcPr>
            <w:tcW w:type="dxa" w:w="3860"/>
            <w:tcMar>
              <w:top w:w="80" w:type="dxa"/>
              <w:start w:w="100" w:type="dxa"/>
              <w:bottom w:w="80" w:type="dxa"/>
              <w:end w:w="100" w:type="dxa"/>
            </w:tcMar>
            <w:vAlign w:val="center"/>
          </w:tcPr>
          <w:p>
            <w:pPr>
              <w:spacing w:after="0"/>
            </w:pPr>
            <w:r>
              <w:rPr>
                <w:sz w:val="17"/>
              </w:rPr>
              <w:t>Disclose verification level</w:t>
            </w:r>
          </w:p>
        </w:tc>
      </w:tr>
    </w:tbl>
    <w:p>
      <w:r>
        <w:br w:type="page"/>
      </w:r>
    </w:p>
    <w:p>
      <w:pPr>
        <w:spacing w:before="40" w:after="80"/>
      </w:pPr>
      <w:r>
        <w:rPr>
          <w:rFonts w:ascii="Aptos" w:hAnsi="Aptos"/>
          <w:b/>
          <w:color w:val="0F8277"/>
          <w:sz w:val="17"/>
        </w:rPr>
        <w:t>PAGE 17 OF 20  |  QUALITY</w:t>
      </w:r>
    </w:p>
    <w:p>
      <w:pPr>
        <w:pStyle w:val="Heading1"/>
      </w:pPr>
      <w:r>
        <w:t>Testing, Observability and Quality Gates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Flight comparison is trustworthy only when data contracts, grouping, failure handling, accessibility and redirects are continuously tested.</w:t>
            </w:r>
          </w:p>
        </w:tc>
      </w:tr>
    </w:tbl>
    <w:p>
      <w:pPr>
        <w:spacing w:after="0"/>
      </w:pPr>
    </w:p>
    <w:p>
      <w:r>
        <w:t>Backend tests cover provider lifecycle states, concurrent orchestration, partial success, normalization, fingerprint collisions, deduplication, expiry and redirect validation. Frontend tests cover search serialization, date validation, sorting, filtering, curation, provider disclosure, test/live presentation and mobile behavior.</w:t>
      </w:r>
    </w:p>
    <w:p>
      <w:pPr>
        <w:pStyle w:val="ListBullet"/>
      </w:pPr>
      <w:r>
        <w:t>Scenario 1: one provider returns multiple timings.</w:t>
      </w:r>
    </w:p>
    <w:p>
      <w:pPr>
        <w:pStyle w:val="ListBullet"/>
      </w:pPr>
      <w:r>
        <w:t>Scenario 2: several providers return the same flight at different prices.</w:t>
      </w:r>
    </w:p>
    <w:p>
      <w:pPr>
        <w:pStyle w:val="ListBullet"/>
      </w:pPr>
      <w:r>
        <w:t>Scenario 3: similar but non-identical journeys remain separate.</w:t>
      </w:r>
    </w:p>
    <w:p>
      <w:pPr>
        <w:pStyle w:val="ListBullet"/>
      </w:pPr>
      <w:r>
        <w:t>Scenario 4: one provider times out while another succeeds.</w:t>
      </w:r>
    </w:p>
    <w:p>
      <w:pPr>
        <w:pStyle w:val="ListBullet"/>
      </w:pPr>
      <w:r>
        <w:t>Scenario 5: every provider fails or an offer expires before selection.</w:t>
      </w:r>
    </w:p>
    <w:p>
      <w:pPr>
        <w:pStyle w:val="ListBullet"/>
      </w:pPr>
      <w:r>
        <w:t>Scenario 6: an unauthorized redirect domain is rejected.</w:t>
      </w:r>
    </w:p>
    <w:p>
      <w:r>
        <w:t>Operational metrics should include search success, provider latency percentiles, partial-result rate, offers before and after grouping, fingerprint exceptions, actionable-redirect percentage and test-versus-live comprehension. During development, quality metrics matter more than revenue metrics.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Release gate: one repeatable command or CI workflow must verify the critical Flights suite before any demonstration or deployment.</w:t>
            </w:r>
          </w:p>
        </w:tc>
      </w:tr>
    </w:tbl>
    <w:p>
      <w:pPr>
        <w:spacing w:after="0"/>
      </w:pPr>
    </w:p>
    <w:p>
      <w:r>
        <w:br w:type="page"/>
      </w:r>
    </w:p>
    <w:p>
      <w:pPr>
        <w:spacing w:before="40" w:after="80"/>
      </w:pPr>
      <w:r>
        <w:rPr>
          <w:rFonts w:ascii="Aptos" w:hAnsi="Aptos"/>
          <w:b/>
          <w:color w:val="0F8277"/>
          <w:sz w:val="17"/>
        </w:rPr>
        <w:t>PAGE 18 OF 20  |  SCRUM ROADMAP</w:t>
      </w:r>
    </w:p>
    <w:p>
      <w:pPr>
        <w:pStyle w:val="Heading1"/>
      </w:pPr>
      <w:r>
        <w:t>Six-Sprint Delivery Plan</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work is organized as six two-week sprints, with context and feature-level goals maintained in the companion Excel Scrum plan.</w:t>
            </w:r>
          </w:p>
        </w:tc>
      </w:tr>
    </w:tbl>
    <w:p>
      <w:pPr>
        <w:spacing w:after="0"/>
      </w:pP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900"/>
            <w:tcMar>
              <w:top w:w="80" w:type="dxa"/>
              <w:start w:w="100" w:type="dxa"/>
              <w:bottom w:w="80" w:type="dxa"/>
              <w:end w:w="100" w:type="dxa"/>
            </w:tcMar>
            <w:shd w:fill="08263D"/>
          </w:tcPr>
          <w:p>
            <w:pPr>
              <w:jc w:val="center"/>
            </w:pPr>
            <w:r>
              <w:rPr>
                <w:b/>
                <w:color w:val="FFFFFF"/>
                <w:sz w:val="18"/>
              </w:rPr>
              <w:t>Sprint</w:t>
            </w:r>
          </w:p>
        </w:tc>
        <w:tc>
          <w:tcPr>
            <w:tcW w:type="dxa" w:w="3200"/>
            <w:tcMar>
              <w:top w:w="80" w:type="dxa"/>
              <w:start w:w="100" w:type="dxa"/>
              <w:bottom w:w="80" w:type="dxa"/>
              <w:end w:w="100" w:type="dxa"/>
            </w:tcMar>
            <w:shd w:fill="08263D"/>
          </w:tcPr>
          <w:p>
            <w:pPr>
              <w:jc w:val="center"/>
            </w:pPr>
            <w:r>
              <w:rPr>
                <w:b/>
                <w:color w:val="FFFFFF"/>
                <w:sz w:val="18"/>
              </w:rPr>
              <w:t>Focus</w:t>
            </w:r>
          </w:p>
        </w:tc>
        <w:tc>
          <w:tcPr>
            <w:tcW w:type="dxa" w:w="5260"/>
            <w:tcMar>
              <w:top w:w="80" w:type="dxa"/>
              <w:start w:w="100" w:type="dxa"/>
              <w:bottom w:w="80" w:type="dxa"/>
              <w:end w:w="100" w:type="dxa"/>
            </w:tcMar>
            <w:shd w:fill="08263D"/>
          </w:tcPr>
          <w:p>
            <w:pPr>
              <w:jc w:val="center"/>
            </w:pPr>
            <w:r>
              <w:rPr>
                <w:b/>
                <w:color w:val="FFFFFF"/>
                <w:sz w:val="18"/>
              </w:rPr>
              <w:t>Expected result</w:t>
            </w:r>
          </w:p>
        </w:tc>
      </w:tr>
      <w:tr>
        <w:tc>
          <w:tcPr>
            <w:tcW w:type="dxa" w:w="900"/>
            <w:tcMar>
              <w:top w:w="80" w:type="dxa"/>
              <w:start w:w="100" w:type="dxa"/>
              <w:bottom w:w="80" w:type="dxa"/>
              <w:end w:w="100" w:type="dxa"/>
            </w:tcMar>
            <w:vAlign w:val="center"/>
            <w:shd w:fill="F3F7FA"/>
          </w:tcPr>
          <w:p>
            <w:pPr>
              <w:spacing w:after="0"/>
            </w:pPr>
            <w:r>
              <w:rPr>
                <w:sz w:val="17"/>
              </w:rPr>
              <w:t>1</w:t>
            </w:r>
          </w:p>
        </w:tc>
        <w:tc>
          <w:tcPr>
            <w:tcW w:type="dxa" w:w="3200"/>
            <w:tcMar>
              <w:top w:w="80" w:type="dxa"/>
              <w:start w:w="100" w:type="dxa"/>
              <w:bottom w:w="80" w:type="dxa"/>
              <w:end w:w="100" w:type="dxa"/>
            </w:tcMar>
            <w:vAlign w:val="center"/>
            <w:shd w:fill="F3F7FA"/>
          </w:tcPr>
          <w:p>
            <w:pPr>
              <w:spacing w:after="0"/>
            </w:pPr>
            <w:r>
              <w:rPr>
                <w:sz w:val="17"/>
              </w:rPr>
              <w:t>Redirect-only alignment</w:t>
            </w:r>
          </w:p>
        </w:tc>
        <w:tc>
          <w:tcPr>
            <w:tcW w:type="dxa" w:w="5260"/>
            <w:tcMar>
              <w:top w:w="80" w:type="dxa"/>
              <w:start w:w="100" w:type="dxa"/>
              <w:bottom w:w="80" w:type="dxa"/>
              <w:end w:w="100" w:type="dxa"/>
            </w:tcMar>
            <w:vAlign w:val="center"/>
            <w:shd w:fill="F3F7FA"/>
          </w:tcPr>
          <w:p>
            <w:pPr>
              <w:spacing w:after="0"/>
            </w:pPr>
            <w:r>
              <w:rPr>
                <w:sz w:val="17"/>
              </w:rPr>
              <w:t>No public Rovvy checkout path</w:t>
            </w:r>
          </w:p>
        </w:tc>
      </w:tr>
      <w:tr>
        <w:tc>
          <w:tcPr>
            <w:tcW w:type="dxa" w:w="900"/>
            <w:tcMar>
              <w:top w:w="80" w:type="dxa"/>
              <w:start w:w="100" w:type="dxa"/>
              <w:bottom w:w="80" w:type="dxa"/>
              <w:end w:w="100" w:type="dxa"/>
            </w:tcMar>
            <w:vAlign w:val="center"/>
          </w:tcPr>
          <w:p>
            <w:pPr>
              <w:spacing w:after="0"/>
            </w:pPr>
            <w:r>
              <w:rPr>
                <w:sz w:val="17"/>
              </w:rPr>
              <w:t>2</w:t>
            </w:r>
          </w:p>
        </w:tc>
        <w:tc>
          <w:tcPr>
            <w:tcW w:type="dxa" w:w="3200"/>
            <w:tcMar>
              <w:top w:w="80" w:type="dxa"/>
              <w:start w:w="100" w:type="dxa"/>
              <w:bottom w:w="80" w:type="dxa"/>
              <w:end w:w="100" w:type="dxa"/>
            </w:tcMar>
            <w:vAlign w:val="center"/>
          </w:tcPr>
          <w:p>
            <w:pPr>
              <w:spacing w:after="0"/>
            </w:pPr>
            <w:r>
              <w:rPr>
                <w:sz w:val="17"/>
              </w:rPr>
              <w:t>Provider governance</w:t>
            </w:r>
          </w:p>
        </w:tc>
        <w:tc>
          <w:tcPr>
            <w:tcW w:type="dxa" w:w="5260"/>
            <w:tcMar>
              <w:top w:w="80" w:type="dxa"/>
              <w:start w:w="100" w:type="dxa"/>
              <w:bottom w:w="80" w:type="dxa"/>
              <w:end w:w="100" w:type="dxa"/>
            </w:tcMar>
            <w:vAlign w:val="center"/>
          </w:tcPr>
          <w:p>
            <w:pPr>
              <w:spacing w:after="0"/>
            </w:pPr>
            <w:r>
              <w:rPr>
                <w:sz w:val="17"/>
              </w:rPr>
              <w:t>Only authorized actionable sellers</w:t>
            </w:r>
          </w:p>
        </w:tc>
      </w:tr>
      <w:tr>
        <w:tc>
          <w:tcPr>
            <w:tcW w:type="dxa" w:w="900"/>
            <w:tcMar>
              <w:top w:w="80" w:type="dxa"/>
              <w:start w:w="100" w:type="dxa"/>
              <w:bottom w:w="80" w:type="dxa"/>
              <w:end w:w="100" w:type="dxa"/>
            </w:tcMar>
            <w:vAlign w:val="center"/>
            <w:shd w:fill="F3F7FA"/>
          </w:tcPr>
          <w:p>
            <w:pPr>
              <w:spacing w:after="0"/>
            </w:pPr>
            <w:r>
              <w:rPr>
                <w:sz w:val="17"/>
              </w:rPr>
              <w:t>3</w:t>
            </w:r>
          </w:p>
        </w:tc>
        <w:tc>
          <w:tcPr>
            <w:tcW w:type="dxa" w:w="3200"/>
            <w:tcMar>
              <w:top w:w="80" w:type="dxa"/>
              <w:start w:w="100" w:type="dxa"/>
              <w:bottom w:w="80" w:type="dxa"/>
              <w:end w:w="100" w:type="dxa"/>
            </w:tcMar>
            <w:vAlign w:val="center"/>
            <w:shd w:fill="F3F7FA"/>
          </w:tcPr>
          <w:p>
            <w:pPr>
              <w:spacing w:after="0"/>
            </w:pPr>
            <w:r>
              <w:rPr>
                <w:sz w:val="17"/>
              </w:rPr>
              <w:t>Aggregation correctness</w:t>
            </w:r>
          </w:p>
        </w:tc>
        <w:tc>
          <w:tcPr>
            <w:tcW w:type="dxa" w:w="5260"/>
            <w:tcMar>
              <w:top w:w="80" w:type="dxa"/>
              <w:start w:w="100" w:type="dxa"/>
              <w:bottom w:w="80" w:type="dxa"/>
              <w:end w:w="100" w:type="dxa"/>
            </w:tcMar>
            <w:vAlign w:val="center"/>
            <w:shd w:fill="F3F7FA"/>
          </w:tcPr>
          <w:p>
            <w:pPr>
              <w:spacing w:after="0"/>
            </w:pPr>
            <w:r>
              <w:rPr>
                <w:sz w:val="17"/>
              </w:rPr>
              <w:t>Exact grouping without collisions</w:t>
            </w:r>
          </w:p>
        </w:tc>
      </w:tr>
      <w:tr>
        <w:tc>
          <w:tcPr>
            <w:tcW w:type="dxa" w:w="900"/>
            <w:tcMar>
              <w:top w:w="80" w:type="dxa"/>
              <w:start w:w="100" w:type="dxa"/>
              <w:bottom w:w="80" w:type="dxa"/>
              <w:end w:w="100" w:type="dxa"/>
            </w:tcMar>
            <w:vAlign w:val="center"/>
          </w:tcPr>
          <w:p>
            <w:pPr>
              <w:spacing w:after="0"/>
            </w:pPr>
            <w:r>
              <w:rPr>
                <w:sz w:val="17"/>
              </w:rPr>
              <w:t>4</w:t>
            </w:r>
          </w:p>
        </w:tc>
        <w:tc>
          <w:tcPr>
            <w:tcW w:type="dxa" w:w="3200"/>
            <w:tcMar>
              <w:top w:w="80" w:type="dxa"/>
              <w:start w:w="100" w:type="dxa"/>
              <w:bottom w:w="80" w:type="dxa"/>
              <w:end w:w="100" w:type="dxa"/>
            </w:tcMar>
            <w:vAlign w:val="center"/>
          </w:tcPr>
          <w:p>
            <w:pPr>
              <w:spacing w:after="0"/>
            </w:pPr>
            <w:r>
              <w:rPr>
                <w:sz w:val="17"/>
              </w:rPr>
              <w:t>Results and group usefulness</w:t>
            </w:r>
          </w:p>
        </w:tc>
        <w:tc>
          <w:tcPr>
            <w:tcW w:type="dxa" w:w="5260"/>
            <w:tcMar>
              <w:top w:w="80" w:type="dxa"/>
              <w:start w:w="100" w:type="dxa"/>
              <w:bottom w:w="80" w:type="dxa"/>
              <w:end w:w="100" w:type="dxa"/>
            </w:tcMar>
            <w:vAlign w:val="center"/>
          </w:tcPr>
          <w:p>
            <w:pPr>
              <w:spacing w:after="0"/>
            </w:pPr>
            <w:r>
              <w:rPr>
                <w:sz w:val="17"/>
              </w:rPr>
              <w:t>Compact, accessible decision experience</w:t>
            </w:r>
          </w:p>
        </w:tc>
      </w:tr>
      <w:tr>
        <w:tc>
          <w:tcPr>
            <w:tcW w:type="dxa" w:w="900"/>
            <w:tcMar>
              <w:top w:w="80" w:type="dxa"/>
              <w:start w:w="100" w:type="dxa"/>
              <w:bottom w:w="80" w:type="dxa"/>
              <w:end w:w="100" w:type="dxa"/>
            </w:tcMar>
            <w:vAlign w:val="center"/>
            <w:shd w:fill="F3F7FA"/>
          </w:tcPr>
          <w:p>
            <w:pPr>
              <w:spacing w:after="0"/>
            </w:pPr>
            <w:r>
              <w:rPr>
                <w:sz w:val="17"/>
              </w:rPr>
              <w:t>5</w:t>
            </w:r>
          </w:p>
        </w:tc>
        <w:tc>
          <w:tcPr>
            <w:tcW w:type="dxa" w:w="3200"/>
            <w:tcMar>
              <w:top w:w="80" w:type="dxa"/>
              <w:start w:w="100" w:type="dxa"/>
              <w:bottom w:w="80" w:type="dxa"/>
              <w:end w:w="100" w:type="dxa"/>
            </w:tcMar>
            <w:vAlign w:val="center"/>
            <w:shd w:fill="F3F7FA"/>
          </w:tcPr>
          <w:p>
            <w:pPr>
              <w:spacing w:after="0"/>
            </w:pPr>
            <w:r>
              <w:rPr>
                <w:sz w:val="17"/>
              </w:rPr>
              <w:t>First authorized source</w:t>
            </w:r>
          </w:p>
        </w:tc>
        <w:tc>
          <w:tcPr>
            <w:tcW w:type="dxa" w:w="5260"/>
            <w:tcMar>
              <w:top w:w="80" w:type="dxa"/>
              <w:start w:w="100" w:type="dxa"/>
              <w:bottom w:w="80" w:type="dxa"/>
              <w:end w:w="100" w:type="dxa"/>
            </w:tcMar>
            <w:vAlign w:val="center"/>
            <w:shd w:fill="F3F7FA"/>
          </w:tcPr>
          <w:p>
            <w:pPr>
              <w:spacing w:after="0"/>
            </w:pPr>
            <w:r>
              <w:rPr>
                <w:sz w:val="17"/>
              </w:rPr>
              <w:t>One genuine evaluation integration</w:t>
            </w:r>
          </w:p>
        </w:tc>
      </w:tr>
      <w:tr>
        <w:tc>
          <w:tcPr>
            <w:tcW w:type="dxa" w:w="900"/>
            <w:tcMar>
              <w:top w:w="80" w:type="dxa"/>
              <w:start w:w="100" w:type="dxa"/>
              <w:bottom w:w="80" w:type="dxa"/>
              <w:end w:w="100" w:type="dxa"/>
            </w:tcMar>
            <w:vAlign w:val="center"/>
          </w:tcPr>
          <w:p>
            <w:pPr>
              <w:spacing w:after="0"/>
            </w:pPr>
            <w:r>
              <w:rPr>
                <w:sz w:val="17"/>
              </w:rPr>
              <w:t>6</w:t>
            </w:r>
          </w:p>
        </w:tc>
        <w:tc>
          <w:tcPr>
            <w:tcW w:type="dxa" w:w="3200"/>
            <w:tcMar>
              <w:top w:w="80" w:type="dxa"/>
              <w:start w:w="100" w:type="dxa"/>
              <w:bottom w:w="80" w:type="dxa"/>
              <w:end w:w="100" w:type="dxa"/>
            </w:tcMar>
            <w:vAlign w:val="center"/>
          </w:tcPr>
          <w:p>
            <w:pPr>
              <w:spacing w:after="0"/>
            </w:pPr>
            <w:r>
              <w:rPr>
                <w:sz w:val="17"/>
              </w:rPr>
              <w:t>Hardening and evidence</w:t>
            </w:r>
          </w:p>
        </w:tc>
        <w:tc>
          <w:tcPr>
            <w:tcW w:type="dxa" w:w="5260"/>
            <w:tcMar>
              <w:top w:w="80" w:type="dxa"/>
              <w:start w:w="100" w:type="dxa"/>
              <w:bottom w:w="80" w:type="dxa"/>
              <w:end w:w="100" w:type="dxa"/>
            </w:tcMar>
            <w:vAlign w:val="center"/>
          </w:tcPr>
          <w:p>
            <w:pPr>
              <w:spacing w:after="0"/>
            </w:pPr>
            <w:r>
              <w:rPr>
                <w:sz w:val="17"/>
              </w:rPr>
              <w:t>Stable non-commercial preview</w:t>
            </w:r>
          </w:p>
        </w:tc>
      </w:tr>
    </w:tbl>
    <w:p>
      <w:r>
        <w:t>Every sprint contains its own feature goals, related work items, estimated hours, dates, ceremony timings, expected evidence, status fields and review box. Sprint 5 deliberately groups the work into two major goals: complete the provider-neutral gate and connect one authorized evaluation provider. Sprint 6 expands to eight release goals covering tests, security, performance, failure behavior, demonstration, architecture evidence, disclosure approval and release ownership.</w:t>
      </w:r>
    </w:p>
    <w:p>
      <w:pPr>
        <w:pStyle w:val="ListBullet"/>
      </w:pPr>
      <w:r>
        <w:t>Planning: first day, 9:00-11:00 AM Central.</w:t>
      </w:r>
    </w:p>
    <w:p>
      <w:pPr>
        <w:pStyle w:val="ListBullet"/>
      </w:pPr>
      <w:r>
        <w:t>Daily Scrum: working days, 9:15-9:30 AM Central.</w:t>
      </w:r>
    </w:p>
    <w:p>
      <w:pPr>
        <w:pStyle w:val="ListBullet"/>
      </w:pPr>
      <w:r>
        <w:t>Review: final day, 2:00-3:30 PM Central.</w:t>
      </w:r>
    </w:p>
    <w:p>
      <w:pPr>
        <w:pStyle w:val="ListBullet"/>
      </w:pPr>
      <w:r>
        <w:t>Retrospective: final day, 3:30-4:30 PM Central.</w:t>
      </w:r>
    </w:p>
    <w:p>
      <w:r>
        <w:br w:type="page"/>
      </w:r>
    </w:p>
    <w:p>
      <w:pPr>
        <w:spacing w:before="40" w:after="80"/>
      </w:pPr>
      <w:r>
        <w:rPr>
          <w:rFonts w:ascii="Aptos" w:hAnsi="Aptos"/>
          <w:b/>
          <w:color w:val="0F8277"/>
          <w:sz w:val="17"/>
        </w:rPr>
        <w:t>PAGE 19 OF 20  |  GOVERNANCE</w:t>
      </w:r>
    </w:p>
    <w:p>
      <w:pPr>
        <w:pStyle w:val="Heading1"/>
      </w:pPr>
      <w:r>
        <w:t>Risks, Constraints and Decisions Required</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largest risks are not visual; they are provider access, misleading data, unsafe redirects, incorrect grouping and an accidental return to internal checkout.</w:t>
            </w:r>
          </w:p>
        </w:tc>
      </w:tr>
    </w:tbl>
    <w:p>
      <w:pPr>
        <w:spacing w:after="0"/>
      </w:pP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600"/>
            <w:tcMar>
              <w:top w:w="80" w:type="dxa"/>
              <w:start w:w="100" w:type="dxa"/>
              <w:bottom w:w="80" w:type="dxa"/>
              <w:end w:w="100" w:type="dxa"/>
            </w:tcMar>
            <w:shd w:fill="08263D"/>
          </w:tcPr>
          <w:p>
            <w:pPr>
              <w:jc w:val="center"/>
            </w:pPr>
            <w:r>
              <w:rPr>
                <w:b/>
                <w:color w:val="FFFFFF"/>
                <w:sz w:val="18"/>
              </w:rPr>
              <w:t>Risk</w:t>
            </w:r>
          </w:p>
        </w:tc>
        <w:tc>
          <w:tcPr>
            <w:tcW w:type="dxa" w:w="2500"/>
            <w:tcMar>
              <w:top w:w="80" w:type="dxa"/>
              <w:start w:w="100" w:type="dxa"/>
              <w:bottom w:w="80" w:type="dxa"/>
              <w:end w:w="100" w:type="dxa"/>
            </w:tcMar>
            <w:shd w:fill="08263D"/>
          </w:tcPr>
          <w:p>
            <w:pPr>
              <w:jc w:val="center"/>
            </w:pPr>
            <w:r>
              <w:rPr>
                <w:b/>
                <w:color w:val="FFFFFF"/>
                <w:sz w:val="18"/>
              </w:rPr>
              <w:t>Impact</w:t>
            </w:r>
          </w:p>
        </w:tc>
        <w:tc>
          <w:tcPr>
            <w:tcW w:type="dxa" w:w="4260"/>
            <w:tcMar>
              <w:top w:w="80" w:type="dxa"/>
              <w:start w:w="100" w:type="dxa"/>
              <w:bottom w:w="80" w:type="dxa"/>
              <w:end w:w="100" w:type="dxa"/>
            </w:tcMar>
            <w:shd w:fill="08263D"/>
          </w:tcPr>
          <w:p>
            <w:pPr>
              <w:jc w:val="center"/>
            </w:pPr>
            <w:r>
              <w:rPr>
                <w:b/>
                <w:color w:val="FFFFFF"/>
                <w:sz w:val="18"/>
              </w:rPr>
              <w:t>Control</w:t>
            </w:r>
          </w:p>
        </w:tc>
      </w:tr>
      <w:tr>
        <w:tc>
          <w:tcPr>
            <w:tcW w:type="dxa" w:w="2600"/>
            <w:tcMar>
              <w:top w:w="80" w:type="dxa"/>
              <w:start w:w="100" w:type="dxa"/>
              <w:bottom w:w="80" w:type="dxa"/>
              <w:end w:w="100" w:type="dxa"/>
            </w:tcMar>
            <w:vAlign w:val="center"/>
            <w:shd w:fill="F3F7FA"/>
          </w:tcPr>
          <w:p>
            <w:pPr>
              <w:spacing w:after="0"/>
            </w:pPr>
            <w:r>
              <w:rPr>
                <w:sz w:val="17"/>
              </w:rPr>
              <w:t>Provider access denied</w:t>
            </w:r>
          </w:p>
        </w:tc>
        <w:tc>
          <w:tcPr>
            <w:tcW w:type="dxa" w:w="2500"/>
            <w:tcMar>
              <w:top w:w="80" w:type="dxa"/>
              <w:start w:w="100" w:type="dxa"/>
              <w:bottom w:w="80" w:type="dxa"/>
              <w:end w:w="100" w:type="dxa"/>
            </w:tcMar>
            <w:vAlign w:val="center"/>
            <w:shd w:fill="F3F7FA"/>
          </w:tcPr>
          <w:p>
            <w:pPr>
              <w:spacing w:after="0"/>
            </w:pPr>
            <w:r>
              <w:rPr>
                <w:sz w:val="17"/>
              </w:rPr>
              <w:t>Coverage cannot launch</w:t>
            </w:r>
          </w:p>
        </w:tc>
        <w:tc>
          <w:tcPr>
            <w:tcW w:type="dxa" w:w="4260"/>
            <w:tcMar>
              <w:top w:w="80" w:type="dxa"/>
              <w:start w:w="100" w:type="dxa"/>
              <w:bottom w:w="80" w:type="dxa"/>
              <w:end w:w="100" w:type="dxa"/>
            </w:tcMar>
            <w:vAlign w:val="center"/>
            <w:shd w:fill="F3F7FA"/>
          </w:tcPr>
          <w:p>
            <w:pPr>
              <w:spacing w:after="0"/>
            </w:pPr>
            <w:r>
              <w:rPr>
                <w:sz w:val="17"/>
              </w:rPr>
              <w:t>Provider-neutral design; secure one source</w:t>
            </w:r>
          </w:p>
        </w:tc>
      </w:tr>
      <w:tr>
        <w:tc>
          <w:tcPr>
            <w:tcW w:type="dxa" w:w="2600"/>
            <w:tcMar>
              <w:top w:w="80" w:type="dxa"/>
              <w:start w:w="100" w:type="dxa"/>
              <w:bottom w:w="80" w:type="dxa"/>
              <w:end w:w="100" w:type="dxa"/>
            </w:tcMar>
            <w:vAlign w:val="center"/>
          </w:tcPr>
          <w:p>
            <w:pPr>
              <w:spacing w:after="0"/>
            </w:pPr>
            <w:r>
              <w:rPr>
                <w:sz w:val="17"/>
              </w:rPr>
              <w:t>Test price shown as live</w:t>
            </w:r>
          </w:p>
        </w:tc>
        <w:tc>
          <w:tcPr>
            <w:tcW w:type="dxa" w:w="2500"/>
            <w:tcMar>
              <w:top w:w="80" w:type="dxa"/>
              <w:start w:w="100" w:type="dxa"/>
              <w:bottom w:w="80" w:type="dxa"/>
              <w:end w:w="100" w:type="dxa"/>
            </w:tcMar>
            <w:vAlign w:val="center"/>
          </w:tcPr>
          <w:p>
            <w:pPr>
              <w:spacing w:after="0"/>
            </w:pPr>
            <w:r>
              <w:rPr>
                <w:sz w:val="17"/>
              </w:rPr>
              <w:t>Critical trust failure</w:t>
            </w:r>
          </w:p>
        </w:tc>
        <w:tc>
          <w:tcPr>
            <w:tcW w:type="dxa" w:w="4260"/>
            <w:tcMar>
              <w:top w:w="80" w:type="dxa"/>
              <w:start w:w="100" w:type="dxa"/>
              <w:bottom w:w="80" w:type="dxa"/>
              <w:end w:w="100" w:type="dxa"/>
            </w:tcMar>
            <w:vAlign w:val="center"/>
          </w:tcPr>
          <w:p>
            <w:pPr>
              <w:spacing w:after="0"/>
            </w:pPr>
            <w:r>
              <w:rPr>
                <w:sz w:val="17"/>
              </w:rPr>
              <w:t>Environment labels and disabled action</w:t>
            </w:r>
          </w:p>
        </w:tc>
      </w:tr>
      <w:tr>
        <w:tc>
          <w:tcPr>
            <w:tcW w:type="dxa" w:w="2600"/>
            <w:tcMar>
              <w:top w:w="80" w:type="dxa"/>
              <w:start w:w="100" w:type="dxa"/>
              <w:bottom w:w="80" w:type="dxa"/>
              <w:end w:w="100" w:type="dxa"/>
            </w:tcMar>
            <w:vAlign w:val="center"/>
            <w:shd w:fill="F3F7FA"/>
          </w:tcPr>
          <w:p>
            <w:pPr>
              <w:spacing w:after="0"/>
            </w:pPr>
            <w:r>
              <w:rPr>
                <w:sz w:val="17"/>
              </w:rPr>
              <w:t>Unauthorized scraping</w:t>
            </w:r>
          </w:p>
        </w:tc>
        <w:tc>
          <w:tcPr>
            <w:tcW w:type="dxa" w:w="2500"/>
            <w:tcMar>
              <w:top w:w="80" w:type="dxa"/>
              <w:start w:w="100" w:type="dxa"/>
              <w:bottom w:w="80" w:type="dxa"/>
              <w:end w:w="100" w:type="dxa"/>
            </w:tcMar>
            <w:vAlign w:val="center"/>
            <w:shd w:fill="F3F7FA"/>
          </w:tcPr>
          <w:p>
            <w:pPr>
              <w:spacing w:after="0"/>
            </w:pPr>
            <w:r>
              <w:rPr>
                <w:sz w:val="17"/>
              </w:rPr>
              <w:t>Legal and partner risk</w:t>
            </w:r>
          </w:p>
        </w:tc>
        <w:tc>
          <w:tcPr>
            <w:tcW w:type="dxa" w:w="4260"/>
            <w:tcMar>
              <w:top w:w="80" w:type="dxa"/>
              <w:start w:w="100" w:type="dxa"/>
              <w:bottom w:w="80" w:type="dxa"/>
              <w:end w:w="100" w:type="dxa"/>
            </w:tcMar>
            <w:vAlign w:val="center"/>
            <w:shd w:fill="F3F7FA"/>
          </w:tcPr>
          <w:p>
            <w:pPr>
              <w:spacing w:after="0"/>
            </w:pPr>
            <w:r>
              <w:rPr>
                <w:sz w:val="17"/>
              </w:rPr>
              <w:t>Explicit prohibition and access evidence</w:t>
            </w:r>
          </w:p>
        </w:tc>
      </w:tr>
      <w:tr>
        <w:tc>
          <w:tcPr>
            <w:tcW w:type="dxa" w:w="2600"/>
            <w:tcMar>
              <w:top w:w="80" w:type="dxa"/>
              <w:start w:w="100" w:type="dxa"/>
              <w:bottom w:w="80" w:type="dxa"/>
              <w:end w:w="100" w:type="dxa"/>
            </w:tcMar>
            <w:vAlign w:val="center"/>
          </w:tcPr>
          <w:p>
            <w:pPr>
              <w:spacing w:after="0"/>
            </w:pPr>
            <w:r>
              <w:rPr>
                <w:sz w:val="17"/>
              </w:rPr>
              <w:t>Wrong itinerary grouping</w:t>
            </w:r>
          </w:p>
        </w:tc>
        <w:tc>
          <w:tcPr>
            <w:tcW w:type="dxa" w:w="2500"/>
            <w:tcMar>
              <w:top w:w="80" w:type="dxa"/>
              <w:start w:w="100" w:type="dxa"/>
              <w:bottom w:w="80" w:type="dxa"/>
              <w:end w:w="100" w:type="dxa"/>
            </w:tcMar>
            <w:vAlign w:val="center"/>
          </w:tcPr>
          <w:p>
            <w:pPr>
              <w:spacing w:after="0"/>
            </w:pPr>
            <w:r>
              <w:rPr>
                <w:sz w:val="17"/>
              </w:rPr>
              <w:t>User may select wrong journey</w:t>
            </w:r>
          </w:p>
        </w:tc>
        <w:tc>
          <w:tcPr>
            <w:tcW w:type="dxa" w:w="4260"/>
            <w:tcMar>
              <w:top w:w="80" w:type="dxa"/>
              <w:start w:w="100" w:type="dxa"/>
              <w:bottom w:w="80" w:type="dxa"/>
              <w:end w:w="100" w:type="dxa"/>
            </w:tcMar>
            <w:vAlign w:val="center"/>
          </w:tcPr>
          <w:p>
            <w:pPr>
              <w:spacing w:after="0"/>
            </w:pPr>
            <w:r>
              <w:rPr>
                <w:sz w:val="17"/>
              </w:rPr>
              <w:t>Exact fingerprint tests</w:t>
            </w:r>
          </w:p>
        </w:tc>
      </w:tr>
      <w:tr>
        <w:tc>
          <w:tcPr>
            <w:tcW w:type="dxa" w:w="2600"/>
            <w:tcMar>
              <w:top w:w="80" w:type="dxa"/>
              <w:start w:w="100" w:type="dxa"/>
              <w:bottom w:w="80" w:type="dxa"/>
              <w:end w:w="100" w:type="dxa"/>
            </w:tcMar>
            <w:vAlign w:val="center"/>
            <w:shd w:fill="F3F7FA"/>
          </w:tcPr>
          <w:p>
            <w:pPr>
              <w:spacing w:after="0"/>
            </w:pPr>
            <w:r>
              <w:rPr>
                <w:sz w:val="17"/>
              </w:rPr>
              <w:t>Stale price</w:t>
            </w:r>
          </w:p>
        </w:tc>
        <w:tc>
          <w:tcPr>
            <w:tcW w:type="dxa" w:w="2500"/>
            <w:tcMar>
              <w:top w:w="80" w:type="dxa"/>
              <w:start w:w="100" w:type="dxa"/>
              <w:bottom w:w="80" w:type="dxa"/>
              <w:end w:w="100" w:type="dxa"/>
            </w:tcMar>
            <w:vAlign w:val="center"/>
            <w:shd w:fill="F3F7FA"/>
          </w:tcPr>
          <w:p>
            <w:pPr>
              <w:spacing w:after="0"/>
            </w:pPr>
            <w:r>
              <w:rPr>
                <w:sz w:val="17"/>
              </w:rPr>
              <w:t>Bad comparison</w:t>
            </w:r>
          </w:p>
        </w:tc>
        <w:tc>
          <w:tcPr>
            <w:tcW w:type="dxa" w:w="4260"/>
            <w:tcMar>
              <w:top w:w="80" w:type="dxa"/>
              <w:start w:w="100" w:type="dxa"/>
              <w:bottom w:w="80" w:type="dxa"/>
              <w:end w:w="100" w:type="dxa"/>
            </w:tcMar>
            <w:vAlign w:val="center"/>
            <w:shd w:fill="F3F7FA"/>
          </w:tcPr>
          <w:p>
            <w:pPr>
              <w:spacing w:after="0"/>
            </w:pPr>
            <w:r>
              <w:rPr>
                <w:sz w:val="17"/>
              </w:rPr>
              <w:t>Expiry and freshness controls</w:t>
            </w:r>
          </w:p>
        </w:tc>
      </w:tr>
      <w:tr>
        <w:tc>
          <w:tcPr>
            <w:tcW w:type="dxa" w:w="2600"/>
            <w:tcMar>
              <w:top w:w="80" w:type="dxa"/>
              <w:start w:w="100" w:type="dxa"/>
              <w:bottom w:w="80" w:type="dxa"/>
              <w:end w:w="100" w:type="dxa"/>
            </w:tcMar>
            <w:vAlign w:val="center"/>
          </w:tcPr>
          <w:p>
            <w:pPr>
              <w:spacing w:after="0"/>
            </w:pPr>
            <w:r>
              <w:rPr>
                <w:sz w:val="17"/>
              </w:rPr>
              <w:t>Immigration/work constraint</w:t>
            </w:r>
          </w:p>
        </w:tc>
        <w:tc>
          <w:tcPr>
            <w:tcW w:type="dxa" w:w="2500"/>
            <w:tcMar>
              <w:top w:w="80" w:type="dxa"/>
              <w:start w:w="100" w:type="dxa"/>
              <w:bottom w:w="80" w:type="dxa"/>
              <w:end w:w="100" w:type="dxa"/>
            </w:tcMar>
            <w:vAlign w:val="center"/>
          </w:tcPr>
          <w:p>
            <w:pPr>
              <w:spacing w:after="0"/>
            </w:pPr>
            <w:r>
              <w:rPr>
                <w:sz w:val="17"/>
              </w:rPr>
              <w:t>Personal legal exposure</w:t>
            </w:r>
          </w:p>
        </w:tc>
        <w:tc>
          <w:tcPr>
            <w:tcW w:type="dxa" w:w="4260"/>
            <w:tcMar>
              <w:top w:w="80" w:type="dxa"/>
              <w:start w:w="100" w:type="dxa"/>
              <w:bottom w:w="80" w:type="dxa"/>
              <w:end w:w="100" w:type="dxa"/>
            </w:tcMar>
            <w:vAlign w:val="center"/>
          </w:tcPr>
          <w:p>
            <w:pPr>
              <w:spacing w:after="0"/>
            </w:pPr>
            <w:r>
              <w:rPr>
                <w:sz w:val="17"/>
              </w:rPr>
              <w:t>Remain non-commercial; obtain individual advice</w:t>
            </w:r>
          </w:p>
        </w:tc>
      </w:tr>
    </w:tbl>
    <w:p>
      <w:r>
        <w:t>Decisions still required include whether dormant checkout code should be deleted or feature-flagged, which authorized source should be pursued first, how seller ranking will be governed, and how much externally booked flight information belongs in Trip Space.</w:t>
      </w:r>
    </w:p>
    <w:p>
      <w:pPr>
        <w:pStyle w:val="ListBullet"/>
      </w:pPr>
      <w:r>
        <w:t>Do not promise named providers before access is confirmed.</w:t>
      </w:r>
    </w:p>
    <w:p>
      <w:pPr>
        <w:pStyle w:val="ListBullet"/>
      </w:pPr>
      <w:r>
        <w:t>Do not promise complete-market coverage.</w:t>
      </w:r>
    </w:p>
    <w:p>
      <w:pPr>
        <w:pStyle w:val="ListBullet"/>
      </w:pPr>
      <w:r>
        <w:t>Do not treat absence of commission as permission to use data.</w:t>
      </w:r>
    </w:p>
    <w:p>
      <w:pPr>
        <w:pStyle w:val="ListBullet"/>
      </w:pPr>
      <w:r>
        <w:t>Do not launch live redirects without security and disclosure review.</w:t>
      </w:r>
    </w:p>
    <w:p>
      <w:r>
        <w:br w:type="page"/>
      </w:r>
    </w:p>
    <w:p>
      <w:pPr>
        <w:spacing w:before="40" w:after="80"/>
      </w:pPr>
      <w:r>
        <w:rPr>
          <w:rFonts w:ascii="Aptos" w:hAnsi="Aptos"/>
          <w:b/>
          <w:color w:val="0F8277"/>
          <w:sz w:val="17"/>
        </w:rPr>
        <w:t>PAGE 20 OF 20  |  CONCLUSION</w:t>
      </w:r>
    </w:p>
    <w:p>
      <w:pPr>
        <w:pStyle w:val="Heading1"/>
      </w:pPr>
      <w:r>
        <w:t>Recommended Next Actions and Definition of Success</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The immediate objective is a credible, provider-ready flight comparison preview—not an imitation filled with unverified sellers.</w:t>
            </w:r>
          </w:p>
        </w:tc>
      </w:tr>
    </w:tbl>
    <w:p>
      <w:pPr>
        <w:spacing w:after="0"/>
      </w:pPr>
    </w:p>
    <w:p>
      <w:pPr>
        <w:spacing w:after="60"/>
        <w:ind w:left="317" w:hanging="317"/>
      </w:pPr>
      <w:r>
        <w:t>1.  Finish Sprint 1 and remove every public internal-checkout path.</w:t>
      </w:r>
    </w:p>
    <w:p>
      <w:pPr>
        <w:spacing w:after="60"/>
        <w:ind w:left="317" w:hanging="317"/>
      </w:pPr>
      <w:r>
        <w:t>2.  Make test and live inventory impossible to confuse.</w:t>
      </w:r>
    </w:p>
    <w:p>
      <w:pPr>
        <w:spacing w:after="60"/>
        <w:ind w:left="317" w:hanging="317"/>
      </w:pPr>
      <w:r>
        <w:t>3.  Complete the provider lifecycle and safe-redirect controls.</w:t>
      </w:r>
    </w:p>
    <w:p>
      <w:pPr>
        <w:spacing w:after="60"/>
        <w:ind w:left="317" w:hanging="317"/>
      </w:pPr>
      <w:r>
        <w:t>4.  Validate exact itinerary grouping with real-world fixtures.</w:t>
      </w:r>
    </w:p>
    <w:p>
      <w:pPr>
        <w:spacing w:after="60"/>
        <w:ind w:left="317" w:hanging="317"/>
      </w:pPr>
      <w:r>
        <w:t>5.  Polish the compact results and provider-comparison experience.</w:t>
      </w:r>
    </w:p>
    <w:p>
      <w:pPr>
        <w:spacing w:after="60"/>
        <w:ind w:left="317" w:hanging="317"/>
      </w:pPr>
      <w:r>
        <w:t>6.  Prepare a concise provider integration packet and apply to one suitable evaluation program.</w:t>
      </w:r>
    </w:p>
    <w:p>
      <w:pPr>
        <w:spacing w:after="60"/>
        <w:ind w:left="317" w:hanging="317"/>
      </w:pPr>
      <w:r>
        <w:t>7.  Connect the first authorized source and measure partial-result behavior.</w:t>
      </w:r>
    </w:p>
    <w:p>
      <w:pPr>
        <w:spacing w:after="60"/>
        <w:ind w:left="317" w:hanging="317"/>
      </w:pPr>
      <w:r>
        <w:t>8.  Run the release gate, security review and Product Owner acceptance review.</w:t>
      </w:r>
    </w:p>
    <w:p>
      <w:r>
        <w:t>Success means a traveler can search a real journey, understand several distinct timing options, open one itinerary, compare legitimate seller offers for that exact itinerary, and continue safely to the chosen external provider. The experience must remain useful when only one source succeeds and honest when no actionable provider exists.</w:t>
      </w:r>
    </w:p>
    <w:p>
      <w:r>
        <w:t>For group travel, success also means the traveler can share the itinerary and later attach a minimal externally confirmed flight to Trip Space without suggesting that Rovvy owns or services the booking.</w:t>
      </w:r>
    </w:p>
    <w:tbl>
      <w:tblPr>
        <w:tblW w:type="auto" w:w="0"/>
        <w:jc w:val="center"/>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E8F7F4"/>
          </w:tcPr>
          <w:p>
            <w:pPr>
              <w:spacing w:after="0"/>
            </w:pPr>
            <w:r>
              <w:rPr>
                <w:b/>
                <w:color w:val="08263D"/>
                <w:sz w:val="21"/>
              </w:rPr>
              <w:t>Final product statement: Rovvy helps people understand and coordinate flight choices. Authorized providers supply the offers and complete the booking. Trust comes from accurate grouping, visible provenance, safe handoff and honest limitations.</w:t>
            </w:r>
          </w:p>
        </w:tc>
      </w:tr>
    </w:tbl>
    <w:p>
      <w:pPr>
        <w:spacing w:after="0"/>
      </w:pPr>
    </w:p>
    <w:sectPr w:rsidR="00FC693F" w:rsidRPr="0006063C" w:rsidSect="00034616">
      <w:headerReference w:type="default" r:id="rId9"/>
      <w:footerReference w:type="default" r:id="rId10"/>
      <w:pgSz w:w="12240" w:h="15840"/>
      <w:pgMar w:top="1037"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277"/>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F8277"/>
        <w:sz w:val="17"/>
      </w:rPr>
      <w:t>ROVVY  /  TRAVEL UNIT  /  FLIGHTS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ptos Display" w:hAnsi="Aptos Display"/>
      <w:b/>
      <w:bCs/>
      <w:color w:val="08263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F8277"/>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b/>
      <w:bCs/>
      <w:color w:val="0826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Rovvy Flights Detailed Product Report</dc:title>
  <dc:subject>Travel Unit - Flights subunit product, provider, architecture, UX and delivery plan</dc:subject>
  <dc:creator>Rovvy Product Team</dc:creator>
  <cp:keywords>Rovvy, flights, aggregator, providers, redirect, group travel, Scrum</cp:keywords>
  <dc:description>generated by python-docx</dc:description>
  <cp:lastModifiedBy/>
  <cp:revision>1</cp:revision>
  <dcterms:created xsi:type="dcterms:W3CDTF">2013-12-23T23:15:00Z</dcterms:created>
  <dcterms:modified xsi:type="dcterms:W3CDTF">2013-12-23T23:15:00Z</dcterms:modified>
  <cp:category/>
</cp:coreProperties>
</file>