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FuZP2G0qd2JwRqDIab9WPWq3LQ==">CgMxLjA4AHIhMXFOUy1yclM2N1A4TWRRR1o3NXJyXzFiVlpLU2ctRFBk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