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color w:val="0F172A"/>
          <w:sz w:val="52"/>
        </w:rPr>
        <w:t>GraphRAG Literature Platform</w:t>
      </w:r>
    </w:p>
    <w:p>
      <w:pPr>
        <w:spacing w:before="0" w:after="320"/>
      </w:pPr>
      <w:r>
        <w:rPr>
          <w:rFonts w:ascii="Segoe UI" w:hAnsi="Segoe UI"/>
          <w:color w:val="1D4ED8"/>
          <w:sz w:val="26"/>
        </w:rPr>
        <w:t>Enterprise Agentic Architecture, High-Level Design (HLD), Core Application Features &amp; Global Cloud Deployment Blueprint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0F172A"/>
            <w:tcMar>
              <w:top w:w="100" w:type="dxa"/>
              <w:bottom w:w="100" w:type="dxa"/>
              <w:left w:w="140" w:type="dxa"/>
              <w:right w:w="140" w:type="dxa"/>
            </w:tcMar>
          </w:tcPr>
          <w:p>
            <w:pPr>
              <w:spacing w:before="0" w:after="0"/>
              <w:jc w:val="left"/>
            </w:pPr>
            <w:r>
              <w:rPr>
                <w:rFonts w:ascii="Segoe UI" w:hAnsi="Segoe UI"/>
                <w:b/>
                <w:color w:val="FFFFFF"/>
                <w:sz w:val="19"/>
              </w:rPr>
              <w:t>Attribute</w:t>
            </w:r>
          </w:p>
        </w:tc>
        <w:tc>
          <w:tcPr>
            <w:tcW w:type="dxa" w:w="6192"/>
            <w:shd w:fill="0F172A"/>
            <w:tcMar>
              <w:top w:w="100" w:type="dxa"/>
              <w:bottom w:w="100" w:type="dxa"/>
              <w:left w:w="140" w:type="dxa"/>
              <w:right w:w="140" w:type="dxa"/>
            </w:tcMar>
          </w:tcPr>
          <w:p>
            <w:pPr>
              <w:spacing w:before="0" w:after="0"/>
              <w:jc w:val="left"/>
            </w:pPr>
            <w:r>
              <w:rPr>
                <w:rFonts w:ascii="Segoe UI" w:hAnsi="Segoe UI"/>
                <w:b/>
                <w:color w:val="FFFFFF"/>
                <w:sz w:val="19"/>
              </w:rPr>
              <w:t>Specification Details</w:t>
            </w:r>
          </w:p>
        </w:tc>
      </w:tr>
      <w:tr>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Project Name</w:t>
            </w:r>
          </w:p>
        </w:tc>
        <w:tc>
          <w:tcPr>
            <w:tcW w:type="dxa" w:w="6192"/>
            <w:shd w:fill="FFFFFF"/>
            <w:tcMar>
              <w:top w:w="80" w:type="dxa"/>
              <w:bottom w:w="80" w:type="dxa"/>
              <w:left w:w="140" w:type="dxa"/>
              <w:right w:w="140" w:type="dxa"/>
            </w:tcMar>
          </w:tcPr>
          <w:p>
            <w:pPr>
              <w:spacing w:before="0" w:after="0" w:line="264" w:lineRule="auto"/>
            </w:pPr>
            <w:r>
              <w:rPr>
                <w:rFonts w:ascii="Segoe UI" w:hAnsi="Segoe UI"/>
                <w:color w:val="1E293B"/>
                <w:sz w:val="18"/>
              </w:rPr>
              <w:t>GraphRAG Literature Platform (Multi-Doc Chat, Biomedical NER &amp; Structured PICO Evidence)</w:t>
            </w:r>
          </w:p>
        </w:tc>
      </w:tr>
      <w:tr>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Target Domain</w:t>
            </w:r>
          </w:p>
        </w:tc>
        <w:tc>
          <w:tcPr>
            <w:tcW w:type="dxa" w:w="6192"/>
            <w:shd w:fill="F8FAFC"/>
            <w:tcMar>
              <w:top w:w="80" w:type="dxa"/>
              <w:bottom w:w="80" w:type="dxa"/>
              <w:left w:w="140" w:type="dxa"/>
              <w:right w:w="140" w:type="dxa"/>
            </w:tcMar>
          </w:tcPr>
          <w:p>
            <w:pPr>
              <w:spacing w:before="0" w:after="0" w:line="264" w:lineRule="auto"/>
            </w:pPr>
            <w:r>
              <w:rPr>
                <w:rFonts w:ascii="Segoe UI" w:hAnsi="Segoe UI"/>
                <w:color w:val="1E293B"/>
                <w:sz w:val="18"/>
              </w:rPr>
              <w:t>Pharmaceutical R&amp;D, Clinical Development, Medical Affairs &amp; Health Economics</w:t>
            </w:r>
          </w:p>
        </w:tc>
      </w:tr>
      <w:tr>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Architecture Pattern</w:t>
            </w:r>
          </w:p>
        </w:tc>
        <w:tc>
          <w:tcPr>
            <w:tcW w:type="dxa" w:w="6192"/>
            <w:shd w:fill="FFFFFF"/>
            <w:tcMar>
              <w:top w:w="80" w:type="dxa"/>
              <w:bottom w:w="80" w:type="dxa"/>
              <w:left w:w="140" w:type="dxa"/>
              <w:right w:w="140" w:type="dxa"/>
            </w:tcMar>
          </w:tcPr>
          <w:p>
            <w:pPr>
              <w:spacing w:before="0" w:after="0" w:line="264" w:lineRule="auto"/>
            </w:pPr>
            <w:r>
              <w:rPr>
                <w:rFonts w:ascii="Segoe UI" w:hAnsi="Segoe UI"/>
                <w:color w:val="1E293B"/>
                <w:sz w:val="18"/>
              </w:rPr>
              <w:t>Agentic Knowledge Graph Retrieval-Augmented Generation (GraphRAG) with Verification Guards</w:t>
            </w:r>
          </w:p>
        </w:tc>
      </w:tr>
      <w:tr>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Key Features Covered</w:t>
            </w:r>
          </w:p>
        </w:tc>
        <w:tc>
          <w:tcPr>
            <w:tcW w:type="dxa" w:w="6192"/>
            <w:shd w:fill="F8FAFC"/>
            <w:tcMar>
              <w:top w:w="80" w:type="dxa"/>
              <w:bottom w:w="80" w:type="dxa"/>
              <w:left w:w="140" w:type="dxa"/>
              <w:right w:w="140" w:type="dxa"/>
            </w:tcMar>
          </w:tcPr>
          <w:p>
            <w:pPr>
              <w:spacing w:before="0" w:after="0" w:line="264" w:lineRule="auto"/>
            </w:pPr>
            <w:r>
              <w:rPr>
                <w:rFonts w:ascii="Segoe UI" w:hAnsi="Segoe UI"/>
                <w:color w:val="1E293B"/>
                <w:sz w:val="18"/>
              </w:rPr>
              <w:t>Ingest to Graph, Multi-Doc Chat &amp; Synthesis, Biomedical NER &amp; Concept Explorer, PICO Grid, KG Explorer</w:t>
            </w:r>
          </w:p>
        </w:tc>
      </w:tr>
      <w:tr>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Deployment Target</w:t>
            </w:r>
          </w:p>
        </w:tc>
        <w:tc>
          <w:tcPr>
            <w:tcW w:type="dxa" w:w="6192"/>
            <w:shd w:fill="FFFFFF"/>
            <w:tcMar>
              <w:top w:w="80" w:type="dxa"/>
              <w:bottom w:w="80" w:type="dxa"/>
              <w:left w:w="140" w:type="dxa"/>
              <w:right w:w="140" w:type="dxa"/>
            </w:tcMar>
          </w:tcPr>
          <w:p>
            <w:pPr>
              <w:spacing w:before="0" w:after="0" w:line="264" w:lineRule="auto"/>
            </w:pPr>
            <w:r>
              <w:rPr>
                <w:rFonts w:ascii="Segoe UI" w:hAnsi="Segoe UI"/>
                <w:color w:val="1E293B"/>
                <w:sz w:val="18"/>
              </w:rPr>
              <w:t>Google Cloud Ecosystem (Google Cloud Run + Google Vertex AI / Gemini 1.5 Flash)</w:t>
            </w:r>
          </w:p>
        </w:tc>
      </w:tr>
      <w:tr>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Document Status</w:t>
            </w:r>
          </w:p>
        </w:tc>
        <w:tc>
          <w:tcPr>
            <w:tcW w:type="dxa" w:w="6192"/>
            <w:shd w:fill="F8FAFC"/>
            <w:tcMar>
              <w:top w:w="80" w:type="dxa"/>
              <w:bottom w:w="80" w:type="dxa"/>
              <w:left w:w="140" w:type="dxa"/>
              <w:right w:w="140" w:type="dxa"/>
            </w:tcMar>
          </w:tcPr>
          <w:p>
            <w:pPr>
              <w:spacing w:before="0" w:after="0" w:line="264" w:lineRule="auto"/>
            </w:pPr>
            <w:r>
              <w:rPr>
                <w:rFonts w:ascii="Segoe UI" w:hAnsi="Segoe UI"/>
                <w:color w:val="1E293B"/>
                <w:sz w:val="18"/>
              </w:rPr>
              <w:t>Production-Ready High-Level Design (HLD) &amp; Architectural Specification</w:t>
            </w:r>
          </w:p>
        </w:tc>
      </w:tr>
      <w:tr>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Classification</w:t>
            </w:r>
          </w:p>
        </w:tc>
        <w:tc>
          <w:tcPr>
            <w:tcW w:type="dxa" w:w="6192"/>
            <w:shd w:fill="FFFFFF"/>
            <w:tcMar>
              <w:top w:w="80" w:type="dxa"/>
              <w:bottom w:w="80" w:type="dxa"/>
              <w:left w:w="140" w:type="dxa"/>
              <w:right w:w="140" w:type="dxa"/>
            </w:tcMar>
          </w:tcPr>
          <w:p>
            <w:pPr>
              <w:spacing w:before="0" w:after="0" w:line="264" w:lineRule="auto"/>
            </w:pPr>
            <w:r>
              <w:rPr>
                <w:rFonts w:ascii="Segoe UI" w:hAnsi="Segoe UI"/>
                <w:color w:val="1E293B"/>
                <w:sz w:val="18"/>
              </w:rPr>
              <w:t>Novartis AI Hackathon Technical Reference Architecture</w:t>
            </w:r>
          </w:p>
        </w:tc>
      </w:tr>
    </w:tbl>
    <w:p>
      <w:pPr>
        <w:spacing w:after="120"/>
      </w:pPr>
    </w:p>
    <w:p>
      <w:r>
        <w:br w:type="page"/>
      </w:r>
    </w:p>
    <w:p>
      <w:pPr>
        <w:pStyle w:val="Heading1"/>
        <w:keepNext/>
        <w:spacing w:before="400" w:after="160"/>
      </w:pPr>
      <w:r>
        <w:rPr>
          <w:rFonts w:ascii="Segoe UI" w:hAnsi="Segoe UI"/>
          <w:b/>
          <w:color w:val="0F172A"/>
          <w:sz w:val="33"/>
        </w:rPr>
        <w:t>1. Executive Summary &amp; Project Overview</w:t>
      </w:r>
    </w:p>
    <w:p>
      <w:pPr>
        <w:spacing w:before="0" w:after="120" w:line="276" w:lineRule="auto"/>
      </w:pPr>
      <w:r>
        <w:rPr>
          <w:rFonts w:ascii="Segoe UI" w:hAnsi="Segoe UI"/>
          <w:color w:val="334155"/>
          <w:sz w:val="20"/>
        </w:rPr>
        <w:t>Biomedical researchers, clinical trialists, and pharmaceutical teams face an unprecedented literature explosion. With more than 35 million research publications indexed on PubMed and over 1.5 million newly published papers annually, scientific synthesis has become the critical bottleneck in drug discovery, clinical protocol benchmarking, and regulatory review.</w:t>
      </w:r>
    </w:p>
    <w:p>
      <w:pPr>
        <w:spacing w:before="0" w:after="120" w:line="276" w:lineRule="auto"/>
      </w:pPr>
      <w:r>
        <w:rPr>
          <w:rFonts w:ascii="Segoe UI" w:hAnsi="Segoe UI"/>
          <w:color w:val="334155"/>
          <w:sz w:val="20"/>
        </w:rPr>
        <w:t>Current automated literature search engines rely almost exclusively on naive keyword queries or traditional vector-only Retrieval-Augmented Generation (Vector RAG). While vector search excels at retrieving passages conceptually similar to a query, it fundamentally fails at enterprise biomedical evidence synthesis. Vector search silently drops relevant clinical trials due to arbitrary top-k limits, cannot resolve synonymous biomedical nomenclature, fails at multi-hop drug-class hierarchies, and lacks the structural rigor required to produce verifiable, audit-ready clinical evidence tables.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Core Architectural Insight</w:t>
              <w:br/>
            </w:r>
            <w:r>
              <w:rPr>
                <w:rFonts w:ascii="Segoe UI" w:hAnsi="Segoe UI"/>
                <w:color w:val="1E293B"/>
                <w:sz w:val="19"/>
              </w:rPr>
              <w:t>In this platform, Named Entity Recognition (NER) and PICO (Population, Intervention, Comparator, Outcome) extraction are NOT standalone post-processing tools. They constitute the primary extraction layer that builds the knowledge graph. A single structured extraction pass over raw PubMed literature constructs a normalized, unified biomedical knowledge graph that simultaneously powers multi-document clinical chat, ontology browsing, structured trial grids, and dynamic graph exploration.</w:t>
            </w:r>
          </w:p>
        </w:tc>
      </w:tr>
    </w:tbl>
    <w:p>
      <w:pPr>
        <w:spacing w:after="80"/>
      </w:pPr>
    </w:p>
    <w:p>
      <w:pPr>
        <w:spacing w:before="0" w:after="120" w:line="276" w:lineRule="auto"/>
      </w:pPr>
      <w:r>
        <w:rPr>
          <w:rFonts w:ascii="Segoe UI" w:hAnsi="Segoe UI"/>
          <w:color w:val="334155"/>
          <w:sz w:val="20"/>
        </w:rPr>
        <w:t>The GraphRAG Literature Platform solves these foundational limitations through an autonomous, multi-agent AI architecture that integrates:</w:t>
      </w:r>
    </w:p>
    <w:p>
      <w:pPr>
        <w:pStyle w:val="ListBullet"/>
        <w:spacing w:before="0" w:after="60" w:line="276" w:lineRule="auto"/>
      </w:pPr>
      <w:r>
        <w:rPr>
          <w:rFonts w:ascii="Segoe UI" w:hAnsi="Segoe UI"/>
          <w:b/>
          <w:color w:val="0F172A"/>
          <w:sz w:val="20"/>
        </w:rPr>
        <w:t>1. 'Ingest to Graph' Pipeline:</w:t>
      </w:r>
      <w:r>
        <w:rPr>
          <w:rFonts w:ascii="Segoe UI" w:hAnsi="Segoe UI"/>
          <w:color w:val="334155"/>
          <w:sz w:val="20"/>
        </w:rPr>
        <w:t xml:space="preserve"> automated retrieval of clinical trials, open-access full text, and structured section parsing.</w:t>
      </w:r>
    </w:p>
    <w:p>
      <w:pPr>
        <w:pStyle w:val="ListBullet"/>
        <w:spacing w:before="0" w:after="60" w:line="276" w:lineRule="auto"/>
      </w:pPr>
      <w:r>
        <w:rPr>
          <w:rFonts w:ascii="Segoe UI" w:hAnsi="Segoe UI"/>
          <w:b/>
          <w:color w:val="0F172A"/>
          <w:sz w:val="20"/>
        </w:rPr>
        <w:t>2. Multi-Document Clinical Chat &amp; Synthesis:</w:t>
      </w:r>
      <w:r>
        <w:rPr>
          <w:rFonts w:ascii="Segoe UI" w:hAnsi="Segoe UI"/>
          <w:color w:val="334155"/>
          <w:sz w:val="20"/>
        </w:rPr>
        <w:t xml:space="preserve"> hybrid routing over graph traversals, aggregation, community summaries, and vector ranking with tri-view output.</w:t>
      </w:r>
    </w:p>
    <w:p>
      <w:pPr>
        <w:pStyle w:val="ListBullet"/>
        <w:spacing w:before="0" w:after="60" w:line="276" w:lineRule="auto"/>
      </w:pPr>
      <w:r>
        <w:rPr>
          <w:rFonts w:ascii="Segoe UI" w:hAnsi="Segoe UI"/>
          <w:b/>
          <w:color w:val="0F172A"/>
          <w:sz w:val="20"/>
        </w:rPr>
        <w:t>3. Biomedical NER &amp; Concept Explorer:</w:t>
      </w:r>
      <w:r>
        <w:rPr>
          <w:rFonts w:ascii="Segoe UI" w:hAnsi="Segoe UI"/>
          <w:color w:val="334155"/>
          <w:sz w:val="20"/>
        </w:rPr>
        <w:t xml:space="preserve"> mapping synonymous medical terms to standard UMLS CUIs, MeSH IDs, and RxNorm codes with co-occurrence networks.</w:t>
      </w:r>
    </w:p>
    <w:p>
      <w:pPr>
        <w:pStyle w:val="ListBullet"/>
        <w:spacing w:before="0" w:after="60" w:line="276" w:lineRule="auto"/>
      </w:pPr>
      <w:r>
        <w:rPr>
          <w:rFonts w:ascii="Segoe UI" w:hAnsi="Segoe UI"/>
          <w:b/>
          <w:color w:val="0F172A"/>
          <w:sz w:val="20"/>
        </w:rPr>
        <w:t>4. Structured PICO Evidence Matrix:</w:t>
      </w:r>
      <w:r>
        <w:rPr>
          <w:rFonts w:ascii="Segoe UI" w:hAnsi="Segoe UI"/>
          <w:color w:val="334155"/>
          <w:sz w:val="20"/>
        </w:rPr>
        <w:t xml:space="preserve"> schema-constrained extraction of Population, Intervention, Comparator, and Outcomes with 100% verbatim sentence provenance.</w:t>
      </w:r>
    </w:p>
    <w:p>
      <w:pPr>
        <w:pStyle w:val="ListBullet"/>
        <w:spacing w:before="0" w:after="60" w:line="276" w:lineRule="auto"/>
      </w:pPr>
      <w:r>
        <w:rPr>
          <w:rFonts w:ascii="Segoe UI" w:hAnsi="Segoe UI"/>
          <w:b/>
          <w:color w:val="0F172A"/>
          <w:sz w:val="20"/>
        </w:rPr>
        <w:t>5. Interactive Knowledge Graph Explorer:</w:t>
      </w:r>
      <w:r>
        <w:rPr>
          <w:rFonts w:ascii="Segoe UI" w:hAnsi="Segoe UI"/>
          <w:color w:val="334155"/>
          <w:sz w:val="20"/>
        </w:rPr>
        <w:t xml:space="preserve"> live force-directed 2D/3D visualization of multi-hop clinical relations across trials, drug classes, and indications.</w:t>
      </w:r>
    </w:p>
    <w:p>
      <w:pPr>
        <w:pStyle w:val="Heading1"/>
        <w:keepNext/>
        <w:spacing w:before="400" w:after="160"/>
      </w:pPr>
      <w:r>
        <w:rPr>
          <w:rFonts w:ascii="Segoe UI" w:hAnsi="Segoe UI"/>
          <w:b/>
          <w:color w:val="0F172A"/>
          <w:sz w:val="33"/>
        </w:rPr>
        <w:t>2. Clinical Problem Statement &amp; Why Vector-Only RAG Fails</w:t>
      </w:r>
    </w:p>
    <w:p>
      <w:pPr>
        <w:spacing w:before="0" w:after="120" w:line="276" w:lineRule="auto"/>
      </w:pPr>
      <w:r>
        <w:rPr>
          <w:rFonts w:ascii="Segoe UI" w:hAnsi="Segoe UI"/>
          <w:color w:val="334155"/>
          <w:sz w:val="20"/>
        </w:rPr>
        <w:t>Traditional Vector RAG operates by chunking documents into arbitrary token windows (e.g. 500 tokens), generating dense vector embeddings, and retrieving the top-k nearest chunks using cosine similarity. In clinical literature synthesis, this paradigm exhibits catastrophic failure modes: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0F172A"/>
            <w:tcMar>
              <w:top w:w="100" w:type="dxa"/>
              <w:bottom w:w="100" w:type="dxa"/>
              <w:left w:w="140" w:type="dxa"/>
              <w:right w:w="140" w:type="dxa"/>
            </w:tcMar>
          </w:tcPr>
          <w:p>
            <w:pPr>
              <w:spacing w:before="0" w:after="0"/>
              <w:jc w:val="left"/>
            </w:pPr>
            <w:r>
              <w:rPr>
                <w:rFonts w:ascii="Segoe UI" w:hAnsi="Segoe UI"/>
                <w:b/>
                <w:color w:val="FFFFFF"/>
                <w:sz w:val="19"/>
              </w:rPr>
              <w:t>Vector RAG Limitation</w:t>
            </w:r>
          </w:p>
        </w:tc>
        <w:tc>
          <w:tcPr>
            <w:tcW w:type="dxa" w:w="3456"/>
            <w:shd w:fill="0F172A"/>
            <w:tcMar>
              <w:top w:w="100" w:type="dxa"/>
              <w:bottom w:w="100" w:type="dxa"/>
              <w:left w:w="140" w:type="dxa"/>
              <w:right w:w="140" w:type="dxa"/>
            </w:tcMar>
          </w:tcPr>
          <w:p>
            <w:pPr>
              <w:spacing w:before="0" w:after="0"/>
              <w:jc w:val="left"/>
            </w:pPr>
            <w:r>
              <w:rPr>
                <w:rFonts w:ascii="Segoe UI" w:hAnsi="Segoe UI"/>
                <w:b/>
                <w:color w:val="FFFFFF"/>
                <w:sz w:val="19"/>
              </w:rPr>
              <w:t>Real-World Clinical Impact</w:t>
            </w:r>
          </w:p>
        </w:tc>
        <w:tc>
          <w:tcPr>
            <w:tcW w:type="dxa" w:w="3312"/>
            <w:shd w:fill="0F172A"/>
            <w:tcMar>
              <w:top w:w="100" w:type="dxa"/>
              <w:bottom w:w="100" w:type="dxa"/>
              <w:left w:w="140" w:type="dxa"/>
              <w:right w:w="140" w:type="dxa"/>
            </w:tcMar>
          </w:tcPr>
          <w:p>
            <w:pPr>
              <w:spacing w:before="0" w:after="0"/>
              <w:jc w:val="left"/>
            </w:pPr>
            <w:r>
              <w:rPr>
                <w:rFonts w:ascii="Segoe UI" w:hAnsi="Segoe UI"/>
                <w:b/>
                <w:color w:val="FFFFFF"/>
                <w:sz w:val="19"/>
              </w:rPr>
              <w:t>GraphRAG Solution</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Top-k Retrieval Truncation</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If 40 clinical trials study a drug class and k=8, 80% of clinical evidence is silently dropped.</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Graph Traversal: Retrieves 100% of studies connected to a drug class node.</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Similarity != Clinical Relevance</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Passing mentions in 'Discussion' rank higher than primary endpoint statistics in 'Results'.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Section-Aware Graph: Weights Results tables, primary endpoints, and PICO entities.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No Entity Identity (Synonyms)</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'T2DM', 'type 2 diabetes', and 'NIDDM' are embedded as distinct vector points.</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Ontology Normalization: Maps all variants to UMLS CUI C0011860.</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Absence of Cross-Study Relations</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Cannot identify that two different trials studied the exact same comparator or drug class.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Graph Edges: Explicit 'IS_A' and 'COMPARES_TO' relationships connect trials.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Inability to Aggregate &amp; Count</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Questions like 'How many RCTs reported eGFR decline?' produce fabricated counts.</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Deterministic Cypher/Graph Queries: Native COUNT, GROUP BY, and statistical ranges.</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Failure on Global Thematic Queries</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Broad questions like 'What are the main therapeutic themes?' fail without single answering chunks.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Community Summaries: Hierarchical Leiden clustering provides global corpus synthesis.</w:t>
            </w:r>
          </w:p>
        </w:tc>
      </w:tr>
    </w:tbl>
    <w:p>
      <w:pPr>
        <w:spacing w:after="120"/>
      </w:pPr>
    </w:p>
    <w:p>
      <w:pPr>
        <w:pStyle w:val="Heading2"/>
        <w:keepNext/>
        <w:spacing w:before="280" w:after="120"/>
      </w:pPr>
      <w:r>
        <w:rPr>
          <w:rFonts w:ascii="Segoe UI" w:hAnsi="Segoe UI"/>
          <w:b/>
          <w:color w:val="1D4ED8"/>
          <w:sz w:val="26"/>
        </w:rPr>
        <w:t>Real-World Failure Scenario: SGLT2 Inhibitors in Chronic Kidney Disease</w:t>
      </w:r>
    </w:p>
    <w:p>
      <w:pPr>
        <w:spacing w:before="0" w:after="120" w:line="276" w:lineRule="auto"/>
      </w:pPr>
      <w:r>
        <w:rPr>
          <w:rFonts w:ascii="Segoe UI" w:hAnsi="Segoe UI"/>
          <w:color w:val="334155"/>
          <w:sz w:val="20"/>
        </w:rPr>
        <w:t>Consider a clinical scientist asking: 'Which SGLT2 inhibitor trials reported kidney disease progression in CKD patients?'</w:t>
      </w:r>
    </w:p>
    <w:p>
      <w:pPr>
        <w:pStyle w:val="ListBullet"/>
        <w:spacing w:before="0" w:after="60" w:line="276" w:lineRule="auto"/>
      </w:pPr>
      <w:r>
        <w:rPr>
          <w:rFonts w:ascii="Segoe UI" w:hAnsi="Segoe UI"/>
          <w:b/>
          <w:color w:val="0F172A"/>
          <w:sz w:val="20"/>
        </w:rPr>
        <w:t>Vector RAG Execution:</w:t>
      </w:r>
      <w:r>
        <w:rPr>
          <w:rFonts w:ascii="Segoe UI" w:hAnsi="Segoe UI"/>
          <w:color w:val="334155"/>
          <w:sz w:val="20"/>
        </w:rPr>
        <w:t xml:space="preserve"> retrieves 8 chunks mentioning 'SGLT2' and 'kidney disease'. It might capture chunks from the EMPA-KIDNEY trial and a review paper, but completely omits the DAPA-CKD and CREDENCE trials because their abstract phrasing had lower cosine similarity. Furthermore, it cannot discern whether empagliflozin, dapagliflozin, and canagliflozin belong to the same pharmacologic class.</w:t>
      </w:r>
    </w:p>
    <w:p>
      <w:pPr>
        <w:pStyle w:val="ListBullet"/>
        <w:spacing w:before="0" w:after="60" w:line="276" w:lineRule="auto"/>
      </w:pPr>
      <w:r>
        <w:rPr>
          <w:rFonts w:ascii="Segoe UI" w:hAnsi="Segoe UI"/>
          <w:b/>
          <w:color w:val="0F172A"/>
          <w:sz w:val="20"/>
        </w:rPr>
        <w:t>GraphRAG Execution:</w:t>
      </w:r>
      <w:r>
        <w:rPr>
          <w:rFonts w:ascii="Segoe UI" w:hAnsi="Segoe UI"/>
          <w:color w:val="334155"/>
          <w:sz w:val="20"/>
        </w:rPr>
        <w:t xml:space="preserve"> parses the user intent to DrugClass('SGLT2 inhibitors') and Condition('Chronic Kidney Disease'). It traverses the ontology graph: DrugClass &lt;-[:IS_A]- Drug &lt;-[:IS_DRUG]- Intervention &lt;-[:STUDIES]- Article -[:REPORTS]-&gt; Outcome. It extracts every matching trial (EMPA-KIDNEY [PMID 36331190], DAPA-CKD [PMID 32970396], CREDENCE [PMID 30990260]), ranks passages only within this verified subset, and outputs a complete comparative evidence table.</w:t>
      </w:r>
    </w:p>
    <w:p>
      <w:pPr>
        <w:pStyle w:val="Heading1"/>
        <w:keepNext/>
        <w:spacing w:before="400" w:after="160"/>
      </w:pPr>
      <w:r>
        <w:rPr>
          <w:rFonts w:ascii="Segoe UI" w:hAnsi="Segoe UI"/>
          <w:b/>
          <w:color w:val="0F172A"/>
          <w:sz w:val="33"/>
        </w:rPr>
        <w:t>3. Reliable, Explainable &amp; Scalable Agentic AI Architecture</w:t>
      </w:r>
    </w:p>
    <w:p>
      <w:pPr>
        <w:spacing w:before="0" w:after="120" w:line="276" w:lineRule="auto"/>
      </w:pPr>
      <w:r>
        <w:rPr>
          <w:rFonts w:ascii="Segoe UI" w:hAnsi="Segoe UI"/>
          <w:color w:val="334155"/>
          <w:sz w:val="20"/>
        </w:rPr>
        <w:t>Clinical research and pharmaceutical decision-making demand absolute precision. The GraphRAG platform discards monolithic generative pipelines in favor of a modular, multi-agent architecture built upon the Agentic Triad.</w:t>
      </w:r>
    </w:p>
    <w:p>
      <w:pPr>
        <w:pStyle w:val="Heading2"/>
        <w:keepNext/>
        <w:spacing w:before="280" w:after="120"/>
      </w:pPr>
      <w:r>
        <w:rPr>
          <w:rFonts w:ascii="Segoe UI" w:hAnsi="Segoe UI"/>
          <w:b/>
          <w:color w:val="1D4ED8"/>
          <w:sz w:val="26"/>
        </w:rPr>
        <w:t>3.1 The Triadic Foundational Principles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The Agentic Triad: Reliability, Explainability, Scalability</w:t>
              <w:br/>
            </w:r>
            <w:r>
              <w:rPr>
                <w:rFonts w:ascii="Segoe UI" w:hAnsi="Segoe UI"/>
                <w:color w:val="1E293B"/>
                <w:sz w:val="19"/>
              </w:rPr>
              <w:t>1. RELIABILITY (Zero-Hallucination Guard): Clinical parameters, statistical hazard ratios, and node relationships cannot rely on LLM memory. Every extracted datum must be accompanied by a verbatim source sentence verified through automated string-containment audits before entering the knowledge graph.</w:t>
              <w:br/>
              <w:t>2. EXPLAINABILITY (Sentence-Level Provenance &amp; Audit Loops): Every cell in the PICO evidence matrix and every claim in multi-document chat answers carries clickable provenance linking directly to its source sentence and PubMed PMID. A downstream Natural Language Inference (NLI) audit verifies that generated claims are strictly entailed by cited passages.</w:t>
              <w:br/>
              <w:t>3. SCALABILITY (Decoupled Micro-Agents &amp; Async Execution): Autonomous micro-agents execute discrete processing stages asynchronously. Compute-heavy ingestion and ontology normalization scale horizontally on background worker pools without blocking interactive sub-second user queries.</w:t>
            </w:r>
          </w:p>
        </w:tc>
      </w:tr>
    </w:tbl>
    <w:p>
      <w:pPr>
        <w:spacing w:after="80"/>
      </w:pPr>
    </w:p>
    <w:p>
      <w:pPr>
        <w:pStyle w:val="Heading2"/>
        <w:keepNext/>
        <w:spacing w:before="280" w:after="120"/>
      </w:pPr>
      <w:r>
        <w:rPr>
          <w:rFonts w:ascii="Segoe UI" w:hAnsi="Segoe UI"/>
          <w:b/>
          <w:color w:val="1D4ED8"/>
          <w:sz w:val="26"/>
        </w:rPr>
        <w:t>3.2 Autonomous Micro-Agent Ecosystem</w:t>
      </w:r>
    </w:p>
    <w:p>
      <w:pPr>
        <w:spacing w:before="0" w:after="120" w:line="276" w:lineRule="auto"/>
      </w:pPr>
      <w:r>
        <w:rPr>
          <w:rFonts w:ascii="Segoe UI" w:hAnsi="Segoe UI"/>
          <w:color w:val="334155"/>
          <w:sz w:val="20"/>
        </w:rPr>
        <w:t>The architecture is orchestrated across five decoupled, specialized micro-agents, each possessing constrained responsibilities, isolated state, and rigorous validation boundaries:</w:t>
      </w:r>
    </w:p>
    <w:p>
      <w:pPr>
        <w:pStyle w:val="Heading3"/>
        <w:keepNext/>
        <w:spacing w:before="200" w:after="80"/>
      </w:pPr>
      <w:r>
        <w:rPr>
          <w:rFonts w:ascii="Segoe UI" w:hAnsi="Segoe UI"/>
          <w:b/>
          <w:color w:val="0284C7"/>
          <w:sz w:val="22"/>
        </w:rPr>
        <w:t>Agent 1: Ingestion &amp; Document Decomposition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Interfacing with NCBI PubMed E-Utilities, Europe PMC, and PMC Open Access repositories to ingest clinical trial metadata, structured abstracts, and full-text XML/PDFs.</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Natural language queries, PubMed query strings, or explicit lists of PMIDs/DOIs.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It parses XML documents into discrete semantic sections: Title, Abstract, Background, Methods, Results, Discussion, and Tables. It executes section-aware chunking (300 to 600 tokens) while preserving clinical structural tags. Unlike naive token chunkers that splice text across semantic boundaries, this agent guarantees that primary outcome tables and trial endpoints remain intact.</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Section-tagged passage chunks, publication metadata (journal, publication year, study design), and normalized document manifests.</w:t>
      </w:r>
    </w:p>
    <w:p>
      <w:pPr>
        <w:pStyle w:val="ListBullet"/>
        <w:spacing w:before="0" w:after="60" w:line="276" w:lineRule="auto"/>
      </w:pPr>
      <w:r>
        <w:rPr>
          <w:rFonts w:ascii="Segoe UI" w:hAnsi="Segoe UI"/>
          <w:b/>
          <w:color w:val="0F172A"/>
          <w:sz w:val="20"/>
        </w:rPr>
        <w:t>Failure Recovery:</w:t>
      </w:r>
      <w:r>
        <w:rPr>
          <w:rFonts w:ascii="Segoe UI" w:hAnsi="Segoe UI"/>
          <w:color w:val="334155"/>
          <w:sz w:val="20"/>
        </w:rPr>
        <w:t xml:space="preserve"> If full-text XML is paywalled or unavailable, the agent gracefully degrades to structured abstract parsing, logging the extraction confidence tier.</w:t>
      </w:r>
    </w:p>
    <w:p>
      <w:pPr>
        <w:pStyle w:val="Heading3"/>
        <w:keepNext/>
        <w:spacing w:before="200" w:after="80"/>
      </w:pPr>
      <w:r>
        <w:rPr>
          <w:rFonts w:ascii="Segoe UI" w:hAnsi="Segoe UI"/>
          <w:b/>
          <w:color w:val="0284C7"/>
          <w:sz w:val="22"/>
        </w:rPr>
        <w:t>Agent 2: PICO &amp; Relation Extraction Guard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Transforming unstructured clinical narratives into strongly typed, schema-constrained PICO entities and relational edges.</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Section-tagged text chunks, specifically focusing on Methods and Results sections.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executes schema-constrained extraction using LLMs operating under strict Pydantic JSON schemas. For every trial, it extracts study design, population demographics (condition, sample size N, age range), interventions (drug, dose, duration), comparators, and quantified clinical outcomes (hazard ratios, relative risks, 95% confidence intervals, p-values).</w:t>
      </w:r>
    </w:p>
    <w:p>
      <w:pPr>
        <w:pStyle w:val="ListBullet"/>
        <w:spacing w:before="0" w:after="60" w:line="276" w:lineRule="auto"/>
      </w:pPr>
      <w:r>
        <w:rPr>
          <w:rFonts w:ascii="Segoe UI" w:hAnsi="Segoe UI"/>
          <w:b/>
          <w:color w:val="0F172A"/>
          <w:sz w:val="20"/>
        </w:rPr>
        <w:t>Self-Correcting Guard:</w:t>
      </w:r>
      <w:r>
        <w:rPr>
          <w:rFonts w:ascii="Segoe UI" w:hAnsi="Segoe UI"/>
          <w:color w:val="334155"/>
          <w:sz w:val="20"/>
        </w:rPr>
        <w:t xml:space="preserve"> **The Verbatim String Guard (Hallucination Guard)**: The agent mandates an exact supporting sentence quote for every extracted parameter. An automated string-containment function verifies that the quote is an exact substring within the source text. If a quote cannot be verified, the parameter is rejected or sent back for re-extraction.</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Validated PICO JSON records with sentence-level character offsets and verified quotation hashes.</w:t>
      </w:r>
    </w:p>
    <w:p>
      <w:pPr>
        <w:pStyle w:val="Heading3"/>
        <w:keepNext/>
        <w:spacing w:before="200" w:after="80"/>
      </w:pPr>
      <w:r>
        <w:rPr>
          <w:rFonts w:ascii="Segoe UI" w:hAnsi="Segoe UI"/>
          <w:b/>
          <w:color w:val="0284C7"/>
          <w:sz w:val="22"/>
        </w:rPr>
        <w:t>Agent 3: Biomedical Ontology Normalization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Resolving free-text clinical mentions to standardized biomedical vocabularies and constructing ontological hierarchies.</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Extracted entity mentions (conditions, drugs, outcomes) from Agent 2.</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applies high-precision biomedical NER models (scispaCy en_core_sci_lg) and queries the UMLS Metathesaurus, MeSH, and RxNorm APIs. It maps synonymous disease names (e.g. 'T2DM', 'type 2 diabetes', 'non-insulin dependent diabetes mellitus') to a single Concept Unique Identifier (CUI: C0011860). For pharmacologic entities, it maps active ingredients to RxNorm codes and links them to their parent pharmacological classes via ATC codes (e.g. Empagliflozin -&gt; SGLT2 inhibitor -&gt; Antidiabetic Agent).</w:t>
      </w:r>
    </w:p>
    <w:p>
      <w:pPr>
        <w:pStyle w:val="ListBullet"/>
        <w:spacing w:before="0" w:after="60" w:line="276" w:lineRule="auto"/>
      </w:pPr>
      <w:r>
        <w:rPr>
          <w:rFonts w:ascii="Segoe UI" w:hAnsi="Segoe UI"/>
          <w:b/>
          <w:color w:val="0F172A"/>
          <w:sz w:val="20"/>
        </w:rPr>
        <w:t>Guard Mechanism:</w:t>
      </w:r>
      <w:r>
        <w:rPr>
          <w:rFonts w:ascii="Segoe UI" w:hAnsi="Segoe UI"/>
          <w:color w:val="334155"/>
          <w:sz w:val="20"/>
        </w:rPr>
        <w:t xml:space="preserve"> **Semantic Boundary Enforcement**: The agent inspects UMLS semantic types to prevent concept collisions (e.g. ensuring an acronym is not conflated between a gene symbol and a clinical syndrome).</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Standardized graph nodes and hierarchical edges ('IS_A', 'IS_DRUG', 'HAS_CONDITION') loaded directly into the knowledge graph store.</w:t>
      </w:r>
    </w:p>
    <w:p>
      <w:pPr>
        <w:pStyle w:val="Heading3"/>
        <w:keepNext/>
        <w:spacing w:before="200" w:after="80"/>
      </w:pPr>
      <w:r>
        <w:rPr>
          <w:rFonts w:ascii="Segoe UI" w:hAnsi="Segoe UI"/>
          <w:b/>
          <w:color w:val="0284C7"/>
          <w:sz w:val="22"/>
        </w:rPr>
        <w:t>Agent 4: Hybrid Router &amp; Pathfinding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Analyzing incoming user queries, determining retrieval intent, and orchestrating multi-path graph and vector retrieval.</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Natural language user questions, session context, and optional user-selected filters.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classifies query intent across four specialized execution pathways: (1) Cross-Study Entity Queries (`graph_entity`), (2) Deterministic Aggregation Queries (`aggregation`), (3) Global Thematic Summaries (`global_thematic`), and (4) Single-Fact Lookups (`vector_fact`). For entity-centric questions, it expands user terms across the ontology graph (e.g. expanding 'SGLT2 inhibitors' to all child drug nodes), retrieves all connected trials, and then executes dense vector re-ranking only on passages belonging to those verified trials.</w:t>
      </w:r>
    </w:p>
    <w:p>
      <w:pPr>
        <w:pStyle w:val="ListBullet"/>
        <w:spacing w:before="0" w:after="60" w:line="276" w:lineRule="auto"/>
      </w:pPr>
      <w:r>
        <w:rPr>
          <w:rFonts w:ascii="Segoe UI" w:hAnsi="Segoe UI"/>
          <w:b/>
          <w:color w:val="0F172A"/>
          <w:sz w:val="20"/>
        </w:rPr>
        <w:t>Fallback Mechanism:</w:t>
      </w:r>
      <w:r>
        <w:rPr>
          <w:rFonts w:ascii="Segoe UI" w:hAnsi="Segoe UI"/>
          <w:color w:val="334155"/>
          <w:sz w:val="20"/>
        </w:rPr>
        <w:t xml:space="preserve"> Dual-path fallback: if a structured graph traversal returns zero nodes due to an extraction gap, the router instantly falls back to vector similarity search across all chunks, ensuring zero query dead-ends.</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Filtered subgraphs, structured evidence tables, and top-k ranked textual passages.</w:t>
      </w:r>
    </w:p>
    <w:p>
      <w:pPr>
        <w:pStyle w:val="Heading3"/>
        <w:keepNext/>
        <w:spacing w:before="200" w:after="80"/>
      </w:pPr>
      <w:r>
        <w:rPr>
          <w:rFonts w:ascii="Segoe UI" w:hAnsi="Segoe UI"/>
          <w:b/>
          <w:color w:val="0284C7"/>
          <w:sz w:val="22"/>
        </w:rPr>
        <w:t>Agent 5: Evidence Synthesis &amp; Audit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Generating audit-ready clinical comparative syntheses with interactive citations and running automated entailment audits.</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Retrieved evidence table, top ranked passage chunks, user question, and intent classification.</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synthesizes cross-trial findings, explicitly grouping results by intervention and outcome, noting study designs and sample sizes, and highlighting conflicting evidence. It generates structured markdown evidence matrices and appends interactive citation tags in the format `[PMID:sentence_id]`.</w:t>
      </w:r>
    </w:p>
    <w:p>
      <w:pPr>
        <w:pStyle w:val="ListBullet"/>
        <w:spacing w:before="0" w:after="60" w:line="276" w:lineRule="auto"/>
      </w:pPr>
      <w:r>
        <w:rPr>
          <w:rFonts w:ascii="Segoe UI" w:hAnsi="Segoe UI"/>
          <w:b/>
          <w:color w:val="0F172A"/>
          <w:sz w:val="20"/>
        </w:rPr>
        <w:t>Self-Correcting Guard:</w:t>
      </w:r>
      <w:r>
        <w:rPr>
          <w:rFonts w:ascii="Segoe UI" w:hAnsi="Segoe UI"/>
          <w:color w:val="334155"/>
          <w:sz w:val="20"/>
        </w:rPr>
        <w:t xml:space="preserve"> **Natural Language Inference (NLI) Audit Loop**: Before returning the response to the user, an automated NLI verification pass evaluates every generated claim against its cited source sentence. If a claim is classified as 'neutral' or 'contradiction' relative to the source passage, the synthesis agent automatically rewrites or excises the claim.</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Verified clinical synthesis response, interactive evidence table, and highlighted source quotes.</w:t>
      </w:r>
    </w:p>
    <w:p>
      <w:pPr>
        <w:pStyle w:val="Heading3"/>
        <w:keepNext/>
        <w:spacing w:before="200" w:after="80"/>
      </w:pPr>
      <w:r>
        <w:rPr>
          <w:rFonts w:ascii="Segoe UI" w:hAnsi="Segoe UI"/>
          <w:b/>
          <w:color w:val="0284C7"/>
          <w:sz w:val="22"/>
        </w:rPr>
        <w:t>Agent 6: Autonomous Query Optimizer &amp; Multi-Prompt Strategy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Generating optimized, high-yield query formulations for both Literature Ingestion and Multi-Document Clinical Chat.</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User clinical questions, therapeutic concepts, drug names, or rough disease keywords.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Operates in dual specialized modes:</w:t>
        <w:br/>
        <w:t xml:space="preserve">   • Mode A (Data Ingestion Multi-Prompt): Transforms naive keyword queries into 3-4 boolean MeSH-indexed queries incorporating active comparators, explicit publication filters ('Clinical Trial, Phase III'[pt] OR 'randomized controlled trial'[pt]), and excluding noisy review articles. Predicts expected trial yields (e.g., '20-40 Phase 3 RCTs') and generates clinical rationales.</w:t>
        <w:br/>
        <w:t xml:space="preserve">   • Mode B (Clinical Chat Multi-Prompt): Inspects user questions and constructs 3 refined clinical angles: (1) Head-to-Head Comparative Efficacy, (2) Safety, Tolerability &amp; Biomarker Deep-Dive, and (3) Guideline &amp; Class-Level Therapeutic Landscape.</w:t>
      </w:r>
    </w:p>
    <w:p>
      <w:pPr>
        <w:pStyle w:val="ListBullet"/>
        <w:spacing w:before="0" w:after="60" w:line="276" w:lineRule="auto"/>
      </w:pPr>
      <w:r>
        <w:rPr>
          <w:rFonts w:ascii="Segoe UI" w:hAnsi="Segoe UI"/>
          <w:b/>
          <w:color w:val="0F172A"/>
          <w:sz w:val="20"/>
        </w:rPr>
        <w:t>Verification Guard:</w:t>
      </w:r>
      <w:r>
        <w:rPr>
          <w:rFonts w:ascii="Segoe UI" w:hAnsi="Segoe UI"/>
          <w:color w:val="334155"/>
          <w:sz w:val="20"/>
        </w:rPr>
        <w:t xml:space="preserve"> Guarantees zero empty retrieval results by validating generated PubMed syntax against NCBI E-Utilities constraints and ensuring all target drug entities match active ontologies.</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Triplet of refined chat prompts with rationale badges; 3-4 optimized PubMed boolean queries with yield metrics and target drug tags.</w:t>
      </w:r>
    </w:p>
    <w:p>
      <w:pPr>
        <w:pStyle w:val="Heading2"/>
        <w:keepNext/>
        <w:spacing w:before="280" w:after="120"/>
      </w:pPr>
      <w:r>
        <w:rPr>
          <w:rFonts w:ascii="Segoe UI" w:hAnsi="Segoe UI"/>
          <w:b/>
          <w:color w:val="1D4ED8"/>
          <w:sz w:val="26"/>
        </w:rPr>
        <w:t>3.3 Self-Correcting Verification Loops &amp; Gatekeeper Architecture</w:t>
      </w:r>
    </w:p>
    <w:p>
      <w:pPr>
        <w:spacing w:before="0" w:after="120" w:line="276" w:lineRule="auto"/>
      </w:pPr>
      <w:r>
        <w:rPr>
          <w:rFonts w:ascii="Segoe UI" w:hAnsi="Segoe UI"/>
          <w:color w:val="334155"/>
          <w:sz w:val="20"/>
        </w:rPr>
        <w:t>To eliminate hallucinations and guarantee clinical auditability, the architecture implements two automated, closed-loop verification gates: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GATEKEEPER LOOP 1: VERBATIM STRING EXTRACTION GUARD                  |</w:t>
              <w:br/>
              <w:t>|                                                                                         |</w:t>
              <w:br/>
              <w:t>|   [Raw Section Text] ---&gt; [Agent 2: PICO Extractor] ---&gt; [Candidate PICO JSON]          |</w:t>
              <w:br/>
              <w:t>|                                                                   |                     |</w:t>
              <w:br/>
              <w:t>|                                                                   v                     |</w:t>
              <w:br/>
              <w:t>|                                                    +----------------------------+       |</w:t>
              <w:br/>
              <w:t>|                                                    | Automated Substring Audit  |       |</w:t>
              <w:br/>
              <w:t>|                                                    | Exact Match in Source Doc? |       |</w:t>
              <w:br/>
              <w:t>|                                                    +----------------------------+       |</w:t>
              <w:br/>
              <w:t>|                                                              /            \             |</w:t>
              <w:br/>
              <w:t>|                                                      YES    /              \   NO       |</w:t>
              <w:br/>
              <w:t>|                                                            v                v           |</w:t>
              <w:br/>
              <w:t>|                                                    [Commit Node/Edge]   [Retry Loop /   |</w:t>
              <w:br/>
              <w:t>|                                                    [to Knowledge Graph] [Drop Field]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GATEKEEPER LOOP 2: NLI ENTAILMENT FAITHFULNESS AUDIT                 |</w:t>
              <w:br/>
              <w:t>|                                                                                         |</w:t>
              <w:br/>
              <w:t>|   [Retrieved Chunks + Table] ---&gt; [Agent 5: Synthesizer] ---&gt; [Draft Answer Prose]      |</w:t>
              <w:br/>
              <w:t>|                                                                      |                  |</w:t>
              <w:br/>
              <w:t>|                                                                      v                  |</w:t>
              <w:br/>
              <w:t>|                                                       +-----------------------------+   |</w:t>
              <w:br/>
              <w:t>|                                                       | NLI Entailment Classifier   |   |</w:t>
              <w:br/>
              <w:t>|                                                       | Premise: Source Sentences   |   |</w:t>
              <w:br/>
              <w:t>|                                                       | Hypothesis: Generated Claim |   |</w:t>
              <w:br/>
              <w:t>|                                                       +-----------------------------+   |</w:t>
              <w:br/>
              <w:t>|                                                                 /         \             |</w:t>
              <w:br/>
              <w:t>|                                                 ENTAILMENT &gt;0.85/           \ NEUTRAL / |</w:t>
              <w:br/>
              <w:t>|                                                                /             \ CONFLICT |</w:t>
              <w:br/>
              <w:t>|                                                               v               v         |</w:t>
              <w:br/>
              <w:t>|                                                       [Deliver to UI]  [Regenerate Claim|</w:t>
              <w:br/>
              <w:t>|                                                       [with Citations] [with Flag]      |</w:t>
              <w:br/>
              <w:t>+-----------------------------------------------------------------------------------------+</w:t>
            </w:r>
          </w:p>
        </w:tc>
      </w:tr>
    </w:tbl>
    <w:p>
      <w:pPr>
        <w:spacing w:after="80"/>
      </w:pPr>
    </w:p>
    <w:p>
      <w:pPr>
        <w:pStyle w:val="Heading1"/>
        <w:keepNext/>
        <w:spacing w:before="400" w:after="160"/>
      </w:pPr>
      <w:r>
        <w:rPr>
          <w:rFonts w:ascii="Segoe UI" w:hAnsi="Segoe UI"/>
          <w:b/>
          <w:color w:val="0F172A"/>
          <w:sz w:val="33"/>
        </w:rPr>
        <w:t>4. Core Application Feature Specifications (Aligned with Hackathon Presentation)</w:t>
      </w:r>
    </w:p>
    <w:p>
      <w:pPr>
        <w:spacing w:before="0" w:after="120" w:line="276" w:lineRule="auto"/>
      </w:pPr>
      <w:r>
        <w:rPr>
          <w:rFonts w:ascii="Segoe UI" w:hAnsi="Segoe UI"/>
          <w:color w:val="334155"/>
          <w:sz w:val="20"/>
        </w:rPr>
        <w:t>This section provides the exhaustive technical and functional specifications for each of the five core application features demonstrated in the hackathon presentation slides:</w:t>
      </w:r>
    </w:p>
    <w:p>
      <w:pPr>
        <w:pStyle w:val="Heading2"/>
        <w:keepNext/>
        <w:spacing w:before="280" w:after="120"/>
      </w:pPr>
      <w:r>
        <w:rPr>
          <w:rFonts w:ascii="Segoe UI" w:hAnsi="Segoe UI"/>
          <w:b/>
          <w:color w:val="1D4ED8"/>
          <w:sz w:val="26"/>
        </w:rPr>
        <w:t>4.1 Feature 1: 'Ingest to Graph' Pipeline &amp; Literature Corpus Store</w:t>
      </w:r>
    </w:p>
    <w:p>
      <w:pPr>
        <w:spacing w:before="0" w:after="120" w:line="276" w:lineRule="auto"/>
      </w:pPr>
      <w:r>
        <w:rPr>
          <w:rFonts w:ascii="Segoe UI" w:hAnsi="Segoe UI"/>
          <w:color w:val="334155"/>
          <w:sz w:val="20"/>
        </w:rPr>
        <w:t>The 'Ingest to Graph' module serves as the primary literature onboarding portal (Presentation Slides 01, 02, and 03). It connects directly to live biomedical literature repositories and transforms unstructured scientific text into an integrated knowledge graph:</w:t>
      </w:r>
    </w:p>
    <w:p>
      <w:pPr>
        <w:pStyle w:val="ListBullet"/>
        <w:spacing w:before="0" w:after="60" w:line="276" w:lineRule="auto"/>
      </w:pPr>
      <w:r>
        <w:rPr>
          <w:rFonts w:ascii="Segoe UI" w:hAnsi="Segoe UI"/>
          <w:b/>
          <w:color w:val="0F172A"/>
          <w:sz w:val="20"/>
        </w:rPr>
        <w:t>1. PubMed E-Utilities Fetch Engine:</w:t>
      </w:r>
      <w:r>
        <w:rPr>
          <w:rFonts w:ascii="Segoe UI" w:hAnsi="Segoe UI"/>
          <w:color w:val="334155"/>
          <w:sz w:val="20"/>
        </w:rPr>
        <w:t xml:space="preserve"> Live integration with NCBI PubMed E-Utilities (esearch.fcgi, esummary.fcgi, efetch.fcgi) and Europe PMC. Accepts either free-text therapeutic queries (e.g. 'GLP-1 receptor agonists kidney disease trial') or explicit lists of PMIDs.</w:t>
      </w:r>
    </w:p>
    <w:p>
      <w:pPr>
        <w:pStyle w:val="ListBullet"/>
        <w:spacing w:before="0" w:after="60" w:line="276" w:lineRule="auto"/>
      </w:pPr>
      <w:r>
        <w:rPr>
          <w:rFonts w:ascii="Segoe UI" w:hAnsi="Segoe UI"/>
          <w:b/>
          <w:color w:val="0F172A"/>
          <w:sz w:val="20"/>
        </w:rPr>
        <w:t>2. Section-Aware Document Decomposer:</w:t>
      </w:r>
      <w:r>
        <w:rPr>
          <w:rFonts w:ascii="Segoe UI" w:hAnsi="Segoe UI"/>
          <w:color w:val="334155"/>
          <w:sz w:val="20"/>
        </w:rPr>
        <w:t xml:space="preserve"> Decomposes incoming publications into semantic sections (Title, Abstract, Background, Methods, Results, Discussion). Preserves section headers and table structures rather than naive fixed-token chunking.</w:t>
      </w:r>
    </w:p>
    <w:p>
      <w:pPr>
        <w:pStyle w:val="ListBullet"/>
        <w:spacing w:before="0" w:after="60" w:line="276" w:lineRule="auto"/>
      </w:pPr>
      <w:r>
        <w:rPr>
          <w:rFonts w:ascii="Segoe UI" w:hAnsi="Segoe UI"/>
          <w:b/>
          <w:color w:val="0F172A"/>
          <w:sz w:val="20"/>
        </w:rPr>
        <w:t>3. Schema-Constrained PICO Extractor:</w:t>
      </w:r>
      <w:r>
        <w:rPr>
          <w:rFonts w:ascii="Segoe UI" w:hAnsi="Segoe UI"/>
          <w:color w:val="334155"/>
          <w:sz w:val="20"/>
        </w:rPr>
        <w:t xml:space="preserve"> Passes candidate text chunks to Agent 2 (PICO Guard) to extract Population, Intervention, Comparator, and Outcome parameters with mandatory verbatim sentence hashes.</w:t>
      </w:r>
    </w:p>
    <w:p>
      <w:pPr>
        <w:pStyle w:val="ListBullet"/>
        <w:spacing w:before="0" w:after="60" w:line="276" w:lineRule="auto"/>
      </w:pPr>
      <w:r>
        <w:rPr>
          <w:rFonts w:ascii="Segoe UI" w:hAnsi="Segoe UI"/>
          <w:b/>
          <w:color w:val="0F172A"/>
          <w:sz w:val="20"/>
        </w:rPr>
        <w:t>4. Real-Time Graph Construction:</w:t>
      </w:r>
      <w:r>
        <w:rPr>
          <w:rFonts w:ascii="Segoe UI" w:hAnsi="Segoe UI"/>
          <w:color w:val="334155"/>
          <w:sz w:val="20"/>
        </w:rPr>
        <w:t xml:space="preserve"> Normalizes extracted entities to UMLS CUIs, MeSH IDs, and RxNorm codes, generating interconnected graph nodes in real time.</w:t>
      </w:r>
    </w:p>
    <w:p>
      <w:pPr>
        <w:pStyle w:val="ListBullet"/>
        <w:spacing w:before="0" w:after="60" w:line="276" w:lineRule="auto"/>
      </w:pPr>
      <w:r>
        <w:rPr>
          <w:rFonts w:ascii="Segoe UI" w:hAnsi="Segoe UI"/>
          <w:b/>
          <w:color w:val="0F172A"/>
          <w:sz w:val="20"/>
        </w:rPr>
        <w:t>5. Corpus Metrics Dashboard:</w:t>
      </w:r>
      <w:r>
        <w:rPr>
          <w:rFonts w:ascii="Segoe UI" w:hAnsi="Segoe UI"/>
          <w:color w:val="334155"/>
          <w:sz w:val="20"/>
        </w:rPr>
        <w:t xml:space="preserve"> Indexed Articles, Section Chunks, Knowledge Graph Edges, Normalized Entities, and Thematic Communities. Includes a one-click 'Reset to Landmark Benchmark' button.</w:t>
      </w:r>
    </w:p>
    <w:p>
      <w:pPr>
        <w:pStyle w:val="ListBullet"/>
        <w:spacing w:before="0" w:after="60" w:line="276" w:lineRule="auto"/>
      </w:pPr>
      <w:r>
        <w:rPr>
          <w:rFonts w:ascii="Segoe UI" w:hAnsi="Segoe UI"/>
          <w:b/>
          <w:color w:val="0F172A"/>
          <w:sz w:val="20"/>
        </w:rPr>
        <w:t>6. Multi-Prompt Ingestion Optimizer:</w:t>
      </w:r>
      <w:r>
        <w:rPr>
          <w:rFonts w:ascii="Segoe UI" w:hAnsi="Segoe UI"/>
          <w:color w:val="334155"/>
          <w:sz w:val="20"/>
        </w:rPr>
        <w:t xml:space="preserve"> Agent 6 generates 3-4 domain-optimized PubMed boolean queries with MeSH tagging, active comparators, phase 3 publication filters, and expected yield metrics (e.g. '20-40 Phase 3 RCTs'), allowing one-click execution or search editing.</w:t>
      </w:r>
    </w:p>
    <w:p>
      <w:pPr>
        <w:pStyle w:val="ListBullet"/>
        <w:spacing w:before="0" w:after="60" w:line="276" w:lineRule="auto"/>
      </w:pPr>
      <w:r>
        <w:rPr>
          <w:rFonts w:ascii="Segoe UI" w:hAnsi="Segoe UI"/>
          <w:b/>
          <w:color w:val="0F172A"/>
          <w:sz w:val="20"/>
        </w:rPr>
        <w:t>7. Persistent Ingestion Audit Store:</w:t>
      </w:r>
      <w:r>
        <w:rPr>
          <w:rFonts w:ascii="Segoe UI" w:hAnsi="Segoe UI"/>
          <w:color w:val="334155"/>
          <w:sz w:val="20"/>
        </w:rPr>
        <w:t xml:space="preserve"> Logs every ingestion event (query text, fetched PMIDs, section chunks created, KG edges linked, timestamp) into a persistent history audit store for regulatory compliance.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Ingest to Graph Operational Flow</w:t>
              <w:br/>
            </w:r>
            <w:r>
              <w:rPr>
                <w:rFonts w:ascii="Segoe UI" w:hAnsi="Segoe UI"/>
                <w:color w:val="1E293B"/>
                <w:sz w:val="19"/>
              </w:rPr>
              <w:t>User enters search query or clicks Multi-Prompt Suggestion -&gt; Agent 1 queries PubMed API -&gt; Receives XML payloads -&gt; Decomposes into section chunks -&gt; Agent 2 executes PICO extraction with Verbatim String Guard -&gt; Agent 3 links to UMLS/MeSH -&gt; Nodes and edges committed to Knowledge Graph &amp; Vector Store -&gt; UI metrics update dynamically with success banner -&gt; Follow-up multi-prompt strategies suggested.</w:t>
            </w:r>
          </w:p>
        </w:tc>
      </w:tr>
    </w:tbl>
    <w:p>
      <w:pPr>
        <w:spacing w:after="80"/>
      </w:pPr>
    </w:p>
    <w:p>
      <w:pPr>
        <w:pStyle w:val="Heading2"/>
        <w:keepNext/>
        <w:spacing w:before="280" w:after="120"/>
      </w:pPr>
      <w:r>
        <w:rPr>
          <w:rFonts w:ascii="Segoe UI" w:hAnsi="Segoe UI"/>
          <w:b/>
          <w:color w:val="1D4ED8"/>
          <w:sz w:val="26"/>
        </w:rPr>
        <w:t>4.2 Feature 2: Multi-Document Literature Chat &amp; Synthesis</w:t>
      </w:r>
    </w:p>
    <w:p>
      <w:pPr>
        <w:spacing w:before="0" w:after="120" w:line="276" w:lineRule="auto"/>
      </w:pPr>
      <w:r>
        <w:rPr>
          <w:rFonts w:ascii="Segoe UI" w:hAnsi="Segoe UI"/>
          <w:color w:val="334155"/>
          <w:sz w:val="20"/>
        </w:rPr>
        <w:t>The Multi-Document Chat module (Presentation Slides 04, 05, 13, 14, and 15) represents the interactive evidence synthesis engine. It eliminates the blind spots of vector search through hybrid query routing, natural language multi-prompt refinement, and structured tri-view answers:</w:t>
      </w:r>
    </w:p>
    <w:p>
      <w:pPr>
        <w:pStyle w:val="ListBullet"/>
        <w:spacing w:before="0" w:after="60" w:line="276" w:lineRule="auto"/>
      </w:pPr>
      <w:r>
        <w:rPr>
          <w:rFonts w:ascii="Segoe UI" w:hAnsi="Segoe UI"/>
          <w:b/>
          <w:color w:val="0F172A"/>
          <w:sz w:val="20"/>
        </w:rPr>
        <w:t>1. Hybrid Routing Engine:</w:t>
      </w:r>
      <w:r>
        <w:rPr>
          <w:rFonts w:ascii="Segoe UI" w:hAnsi="Segoe UI"/>
          <w:color w:val="334155"/>
          <w:sz w:val="20"/>
        </w:rPr>
        <w:t xml:space="preserve"> Inspects query semantics and routes across 4 execution pathways: Graph Traversal (cross-paper entity connections), Aggregation (trial counts &amp; cohort totals), Community Summaries (global corpus themes via Leiden clustering), and Vector Search (isolated single-study lookups).</w:t>
      </w:r>
    </w:p>
    <w:p>
      <w:pPr>
        <w:pStyle w:val="ListBullet"/>
        <w:spacing w:before="0" w:after="60" w:line="276" w:lineRule="auto"/>
      </w:pPr>
      <w:r>
        <w:rPr>
          <w:rFonts w:ascii="Segoe UI" w:hAnsi="Segoe UI"/>
          <w:b/>
          <w:color w:val="0F172A"/>
          <w:sz w:val="20"/>
        </w:rPr>
        <w:t>2. Clinical Prompt Accelerators:</w:t>
      </w:r>
      <w:r>
        <w:rPr>
          <w:rFonts w:ascii="Segoe UI" w:hAnsi="Segoe UI"/>
          <w:color w:val="334155"/>
          <w:sz w:val="20"/>
        </w:rPr>
        <w:t xml:space="preserve"> Quick-select prompt buttons for clinical workflows: 'Cross-Study SGLT2i in CKD', 'Corpus Aggregation (RCT counts)', 'Thematic Summaries (Communities)', and 'Direct Fact Retrieval (Vector)'.</w:t>
      </w:r>
    </w:p>
    <w:p>
      <w:pPr>
        <w:pStyle w:val="ListBullet"/>
        <w:spacing w:before="0" w:after="60" w:line="276" w:lineRule="auto"/>
      </w:pPr>
      <w:r>
        <w:rPr>
          <w:rFonts w:ascii="Segoe UI" w:hAnsi="Segoe UI"/>
          <w:b/>
          <w:color w:val="0F172A"/>
          <w:sz w:val="20"/>
        </w:rPr>
        <w:t>3. Tri-View Response Architecture:</w:t>
      </w:r>
      <w:r>
        <w:rPr>
          <w:rFonts w:ascii="Segoe UI" w:hAnsi="Segoe UI"/>
          <w:color w:val="334155"/>
          <w:sz w:val="20"/>
        </w:rPr>
        <w:t xml:space="preserve"> The output card renders three synchronized views matching presentation slides 05, 14, and 15:</w:t>
        <w:br/>
        <w:t xml:space="preserve">   • View A: 'Synthesis Answer' — Prose synthesis grouping findings by intervention, reporting exact hazard ratios with 95% CIs, and flagging conflicting endpoints.</w:t>
        <w:br/>
        <w:t xml:space="preserve">   • View B: 'Evidence Table' — In-line comparative matrix (Columns: PMID, Design, Sample N, Intervention, Comparator, Outcome, Effect &amp; CI, Source Sentence).</w:t>
        <w:br/>
        <w:t xml:space="preserve">   • View C: 'Citations' — Granular study cards with direct PubMed links and blue quote callouts containing the verbatim supporting sentence.</w:t>
      </w:r>
    </w:p>
    <w:p>
      <w:pPr>
        <w:pStyle w:val="ListBullet"/>
        <w:spacing w:before="0" w:after="60" w:line="276" w:lineRule="auto"/>
      </w:pPr>
      <w:r>
        <w:rPr>
          <w:rFonts w:ascii="Segoe UI" w:hAnsi="Segoe UI"/>
          <w:b/>
          <w:color w:val="0F172A"/>
          <w:sz w:val="20"/>
        </w:rPr>
        <w:t>4. NLI Entailment Audit Badge:</w:t>
      </w:r>
      <w:r>
        <w:rPr>
          <w:rFonts w:ascii="Segoe UI" w:hAnsi="Segoe UI"/>
          <w:color w:val="334155"/>
          <w:sz w:val="20"/>
        </w:rPr>
        <w:t xml:space="preserve"> Evaluates generated statements against source sentences to guarantee &gt;85% entailment faithfulness before delivery to the user.</w:t>
      </w:r>
    </w:p>
    <w:p>
      <w:pPr>
        <w:pStyle w:val="ListBullet"/>
        <w:spacing w:before="0" w:after="60" w:line="276" w:lineRule="auto"/>
      </w:pPr>
      <w:r>
        <w:rPr>
          <w:rFonts w:ascii="Segoe UI" w:hAnsi="Segoe UI"/>
          <w:b/>
          <w:color w:val="0F172A"/>
          <w:sz w:val="20"/>
        </w:rPr>
        <w:t>5. Multi-Prompt Clinical Angle Refiner:</w:t>
      </w:r>
      <w:r>
        <w:rPr>
          <w:rFonts w:ascii="Segoe UI" w:hAnsi="Segoe UI"/>
          <w:color w:val="334155"/>
          <w:sz w:val="20"/>
        </w:rPr>
        <w:t xml:space="preserve"> Agent 6 dynamically generates 3 refined prompt options (Head-to-Head Comparative, Safety &amp; Biomarker Deep-Dive, and Guideline/Class Landscape) tailored to the active entities, enabling natural language follow-up with zero typing.</w:t>
      </w:r>
    </w:p>
    <w:p>
      <w:pPr>
        <w:pStyle w:val="ListBullet"/>
        <w:spacing w:before="0" w:after="60" w:line="276" w:lineRule="auto"/>
      </w:pPr>
      <w:r>
        <w:rPr>
          <w:rFonts w:ascii="Segoe UI" w:hAnsi="Segoe UI"/>
          <w:b/>
          <w:color w:val="0F172A"/>
          <w:sz w:val="20"/>
        </w:rPr>
        <w:t>6. Persistent Chat Provenance Log:</w:t>
      </w:r>
      <w:r>
        <w:rPr>
          <w:rFonts w:ascii="Segoe UI" w:hAnsi="Segoe UI"/>
          <w:color w:val="334155"/>
          <w:sz w:val="20"/>
        </w:rPr>
        <w:t xml:space="preserve"> Every user chat question and its exact retrieved/cited documents are preserved in the persistent audit log, reviewable through the top-bar history dashboard.</w:t>
      </w:r>
    </w:p>
    <w:p>
      <w:pPr>
        <w:pStyle w:val="Heading2"/>
        <w:keepNext/>
        <w:spacing w:before="280" w:after="120"/>
      </w:pPr>
      <w:r>
        <w:rPr>
          <w:rFonts w:ascii="Segoe UI" w:hAnsi="Segoe UI"/>
          <w:b/>
          <w:color w:val="1D4ED8"/>
          <w:sz w:val="26"/>
        </w:rPr>
        <w:t>4.3 Feature 3: Biomedical NER &amp; Concept Explorer</w:t>
      </w:r>
    </w:p>
    <w:p>
      <w:pPr>
        <w:spacing w:before="0" w:after="120" w:line="276" w:lineRule="auto"/>
      </w:pPr>
      <w:r>
        <w:rPr>
          <w:rFonts w:ascii="Segoe UI" w:hAnsi="Segoe UI"/>
          <w:color w:val="334155"/>
          <w:sz w:val="20"/>
        </w:rPr>
        <w:t>The Biomedical NER &amp; Concept Explorer (Presentation Slides 06, 10, 11, and 12) provides a standardized ontology browser that unifies biomedical nomenclature across studies:</w:t>
      </w:r>
    </w:p>
    <w:p>
      <w:pPr>
        <w:pStyle w:val="ListBullet"/>
        <w:spacing w:before="0" w:after="60" w:line="276" w:lineRule="auto"/>
      </w:pPr>
      <w:r>
        <w:rPr>
          <w:rFonts w:ascii="Segoe UI" w:hAnsi="Segoe UI"/>
          <w:b/>
          <w:color w:val="0F172A"/>
          <w:sz w:val="20"/>
        </w:rPr>
        <w:t>1. Semantic Category Filtering:</w:t>
      </w:r>
      <w:r>
        <w:rPr>
          <w:rFonts w:ascii="Segoe UI" w:hAnsi="Segoe UI"/>
          <w:color w:val="334155"/>
          <w:sz w:val="20"/>
        </w:rPr>
        <w:t xml:space="preserve"> Filters entities into four core semantic types: Conditions (Diseases), Drugs (Active Ingredients &amp; Classes), Outcomes (Primary Endpoints), and Genes/Proteins.</w:t>
      </w:r>
    </w:p>
    <w:p>
      <w:pPr>
        <w:pStyle w:val="ListBullet"/>
        <w:spacing w:before="0" w:after="60" w:line="276" w:lineRule="auto"/>
      </w:pPr>
      <w:r>
        <w:rPr>
          <w:rFonts w:ascii="Segoe UI" w:hAnsi="Segoe UI"/>
          <w:b/>
          <w:color w:val="0F172A"/>
          <w:sz w:val="20"/>
        </w:rPr>
        <w:t>2. Canonical Entity Normalization:</w:t>
      </w:r>
      <w:r>
        <w:rPr>
          <w:rFonts w:ascii="Segoe UI" w:hAnsi="Segoe UI"/>
          <w:color w:val="334155"/>
          <w:sz w:val="20"/>
        </w:rPr>
        <w:t xml:space="preserve"> Maps every entity mention to its canonical UMLS Concept Unique Identifier (CUI), MeSH ID, or RxNorm code (e.g. Progression of Kidney Disease -&gt; C0403447; Empagliflozin -&gt; C3174246).</w:t>
      </w:r>
    </w:p>
    <w:p>
      <w:pPr>
        <w:pStyle w:val="ListBullet"/>
        <w:spacing w:before="0" w:after="60" w:line="276" w:lineRule="auto"/>
      </w:pPr>
      <w:r>
        <w:rPr>
          <w:rFonts w:ascii="Segoe UI" w:hAnsi="Segoe UI"/>
          <w:b/>
          <w:color w:val="0F172A"/>
          <w:sz w:val="20"/>
        </w:rPr>
        <w:t>3. Entity Co-occurrence Graph Connections:</w:t>
      </w:r>
      <w:r>
        <w:rPr>
          <w:rFonts w:ascii="Segoe UI" w:hAnsi="Segoe UI"/>
          <w:color w:val="334155"/>
          <w:sz w:val="20"/>
        </w:rPr>
        <w:t xml:space="preserve"> Dynamic side-panel calculating entities most strongly connected to the selected concept across research trial populations, interventions, and reported outcomes (e.g. selecting 'Progression of Kidney Disease' reveals co-occurrences with Chronic Kidney Disease [3 shared], All-Cause Mortality [6 shared], SGLT2 inhibitor therapy [4 shared]).</w:t>
      </w:r>
    </w:p>
    <w:p>
      <w:pPr>
        <w:pStyle w:val="ListBullet"/>
        <w:spacing w:before="0" w:after="60" w:line="276" w:lineRule="auto"/>
      </w:pPr>
      <w:r>
        <w:rPr>
          <w:rFonts w:ascii="Segoe UI" w:hAnsi="Segoe UI"/>
          <w:b/>
          <w:color w:val="0F172A"/>
          <w:sz w:val="20"/>
        </w:rPr>
        <w:t>4. Source Mentions &amp; Sentence Provenance:</w:t>
      </w:r>
      <w:r>
        <w:rPr>
          <w:rFonts w:ascii="Segoe UI" w:hAnsi="Segoe UI"/>
          <w:color w:val="334155"/>
          <w:sz w:val="20"/>
        </w:rPr>
        <w:t xml:space="preserve"> Displays every indexed publication mentioning the entity, with highlighted sentence spans and direct PubMed PMID badges.</w:t>
      </w:r>
    </w:p>
    <w:p>
      <w:pPr>
        <w:pStyle w:val="ListBullet"/>
        <w:spacing w:before="0" w:after="60" w:line="276" w:lineRule="auto"/>
      </w:pPr>
      <w:r>
        <w:rPr>
          <w:rFonts w:ascii="Segoe UI" w:hAnsi="Segoe UI"/>
          <w:b/>
          <w:color w:val="0F172A"/>
          <w:sz w:val="20"/>
        </w:rPr>
        <w:t>5. JSON Concept Export:</w:t>
      </w:r>
      <w:r>
        <w:rPr>
          <w:rFonts w:ascii="Segoe UI" w:hAnsi="Segoe UI"/>
          <w:color w:val="334155"/>
          <w:sz w:val="20"/>
        </w:rPr>
        <w:t xml:space="preserve"> Allows clinical data scientists to download the complete corpus concept catalog formatted for downstream BioBERT or knowledge base ingestion.</w:t>
      </w:r>
    </w:p>
    <w:p>
      <w:pPr>
        <w:pStyle w:val="Heading2"/>
        <w:keepNext/>
        <w:spacing w:before="280" w:after="120"/>
      </w:pPr>
      <w:r>
        <w:rPr>
          <w:rFonts w:ascii="Segoe UI" w:hAnsi="Segoe UI"/>
          <w:b/>
          <w:color w:val="1D4ED8"/>
          <w:sz w:val="26"/>
        </w:rPr>
        <w:t>4.4 Feature 4: Structured PICO Evidence Extraction Grid</w:t>
      </w:r>
    </w:p>
    <w:p>
      <w:pPr>
        <w:spacing w:before="0" w:after="120" w:line="276" w:lineRule="auto"/>
      </w:pPr>
      <w:r>
        <w:rPr>
          <w:rFonts w:ascii="Segoe UI" w:hAnsi="Segoe UI"/>
          <w:color w:val="334155"/>
          <w:sz w:val="20"/>
        </w:rPr>
        <w:t>The PICO Evidence Grid (Presentation Slide 07) provides an audit-ready, tabular synthesis designed specifically for systematic literature review (SLR) and Health Technology Assessment (HTA) teams:</w:t>
      </w:r>
    </w:p>
    <w:p>
      <w:pPr>
        <w:pStyle w:val="ListBullet"/>
        <w:spacing w:before="0" w:after="60" w:line="276" w:lineRule="auto"/>
      </w:pPr>
      <w:r>
        <w:rPr>
          <w:rFonts w:ascii="Segoe UI" w:hAnsi="Segoe UI"/>
          <w:b/>
          <w:color w:val="0F172A"/>
          <w:sz w:val="20"/>
        </w:rPr>
        <w:t>1. Standardized 10-Column Evidence Matrix:</w:t>
      </w:r>
      <w:r>
        <w:rPr>
          <w:rFonts w:ascii="Segoe UI" w:hAnsi="Segoe UI"/>
          <w:color w:val="334155"/>
          <w:sz w:val="20"/>
        </w:rPr>
        <w:t xml:space="preserve"> Each row represents a specific trial arm and reported endpoint with 10 standardized columns: STUDY / PMID, DESIGN, SAMPLE (N), INTERVENTION, COMPARATOR, OUTCOME, EFFECT SIZE &amp; CI, P-VALUE, DIRECTION, and EVIDENCE SENTENCE.</w:t>
      </w:r>
    </w:p>
    <w:p>
      <w:pPr>
        <w:pStyle w:val="ListBullet"/>
        <w:spacing w:before="0" w:after="60" w:line="276" w:lineRule="auto"/>
      </w:pPr>
      <w:r>
        <w:rPr>
          <w:rFonts w:ascii="Segoe UI" w:hAnsi="Segoe UI"/>
          <w:b/>
          <w:color w:val="0F172A"/>
          <w:sz w:val="20"/>
        </w:rPr>
        <w:t>2. Multi-Variable Filtering:</w:t>
      </w:r>
      <w:r>
        <w:rPr>
          <w:rFonts w:ascii="Segoe UI" w:hAnsi="Segoe UI"/>
          <w:color w:val="334155"/>
          <w:sz w:val="20"/>
        </w:rPr>
        <w:t xml:space="preserve"> Allows clinicians to instantly cross-filter by pharmacological compound (e.g. Empagliflozin, Dapagliflozin, Canagliflozin) and clinical outcome (e.g. Progression of Kidney Disease, All-Cause Mortality, Heart Failure Hospitalization).</w:t>
      </w:r>
    </w:p>
    <w:p>
      <w:pPr>
        <w:pStyle w:val="ListBullet"/>
        <w:spacing w:before="0" w:after="60" w:line="276" w:lineRule="auto"/>
      </w:pPr>
      <w:r>
        <w:rPr>
          <w:rFonts w:ascii="Segoe UI" w:hAnsi="Segoe UI"/>
          <w:b/>
          <w:color w:val="0F172A"/>
          <w:sz w:val="20"/>
        </w:rPr>
        <w:t>3. Interactive Sentence Proof Modal:</w:t>
      </w:r>
      <w:r>
        <w:rPr>
          <w:rFonts w:ascii="Segoe UI" w:hAnsi="Segoe UI"/>
          <w:color w:val="334155"/>
          <w:sz w:val="20"/>
        </w:rPr>
        <w:t xml:space="preserve"> Clicking 'View Quote' opens an inspection modal displaying the exact sentence from the published paper, confirming that the statistical values match primary literature.</w:t>
      </w:r>
    </w:p>
    <w:p>
      <w:pPr>
        <w:pStyle w:val="ListBullet"/>
        <w:spacing w:before="0" w:after="60" w:line="276" w:lineRule="auto"/>
      </w:pPr>
      <w:r>
        <w:rPr>
          <w:rFonts w:ascii="Segoe UI" w:hAnsi="Segoe UI"/>
          <w:b/>
          <w:color w:val="0F172A"/>
          <w:sz w:val="20"/>
        </w:rPr>
        <w:t>4. One-Click Systematic Review Export:</w:t>
      </w:r>
      <w:r>
        <w:rPr>
          <w:rFonts w:ascii="Segoe UI" w:hAnsi="Segoe UI"/>
          <w:color w:val="334155"/>
          <w:sz w:val="20"/>
        </w:rPr>
        <w:t xml:space="preserve"> Generates an RFC 4180 compliant CSV file ready for immediate import into meta-analysis software (RevMan, DistillerSR, or R meta-packages).</w:t>
      </w:r>
    </w:p>
    <w:p>
      <w:pPr>
        <w:pStyle w:val="Heading2"/>
        <w:keepNext/>
        <w:spacing w:before="280" w:after="120"/>
      </w:pPr>
      <w:r>
        <w:rPr>
          <w:rFonts w:ascii="Segoe UI" w:hAnsi="Segoe UI"/>
          <w:b/>
          <w:color w:val="1D4ED8"/>
          <w:sz w:val="26"/>
        </w:rPr>
        <w:t>4.5 Feature 5: Interactive Knowledge Graph (KG Explorer)</w:t>
      </w:r>
    </w:p>
    <w:p>
      <w:pPr>
        <w:spacing w:before="0" w:after="120" w:line="276" w:lineRule="auto"/>
      </w:pPr>
      <w:r>
        <w:rPr>
          <w:rFonts w:ascii="Segoe UI" w:hAnsi="Segoe UI"/>
          <w:color w:val="334155"/>
          <w:sz w:val="20"/>
        </w:rPr>
        <w:t>The Interactive Knowledge Graph (Presentation Slides 08 and 09) provides an intuitive 2D/3D force-directed canvas visualizing multi-hop clinical relations:</w:t>
      </w:r>
    </w:p>
    <w:p>
      <w:pPr>
        <w:pStyle w:val="ListBullet"/>
        <w:spacing w:before="0" w:after="60" w:line="276" w:lineRule="auto"/>
      </w:pPr>
      <w:r>
        <w:rPr>
          <w:rFonts w:ascii="Segoe UI" w:hAnsi="Segoe UI"/>
          <w:b/>
          <w:color w:val="0F172A"/>
          <w:sz w:val="20"/>
        </w:rPr>
        <w:t>1. Multi-Hop Visual Canvas:</w:t>
      </w:r>
      <w:r>
        <w:rPr>
          <w:rFonts w:ascii="Segoe UI" w:hAnsi="Segoe UI"/>
          <w:color w:val="334155"/>
          <w:sz w:val="20"/>
        </w:rPr>
        <w:t xml:space="preserve"> Visualizes nodes with semantic color coding: Article (Orange/Blue), Drug Class (Purple), Drug (Green/Cyan), Condition (Red/Rose), Population (Amber/Indigo), and Outcome (Cyan/Sky Blue).</w:t>
      </w:r>
    </w:p>
    <w:p>
      <w:pPr>
        <w:pStyle w:val="ListBullet"/>
        <w:spacing w:before="0" w:after="60" w:line="276" w:lineRule="auto"/>
      </w:pPr>
      <w:r>
        <w:rPr>
          <w:rFonts w:ascii="Segoe UI" w:hAnsi="Segoe UI"/>
          <w:b/>
          <w:color w:val="0F172A"/>
          <w:sz w:val="20"/>
        </w:rPr>
        <w:t>2. Dual Display Modes:</w:t>
      </w:r>
      <w:r>
        <w:rPr>
          <w:rFonts w:ascii="Segoe UI" w:hAnsi="Segoe UI"/>
          <w:color w:val="334155"/>
          <w:sz w:val="20"/>
        </w:rPr>
        <w:t xml:space="preserve"> Toggle between semantic entity categories ('Entity Type') and modularity-based community detection ('Community Clusters' via Leiden algorithm).</w:t>
      </w:r>
    </w:p>
    <w:p>
      <w:pPr>
        <w:pStyle w:val="ListBullet"/>
        <w:spacing w:before="0" w:after="60" w:line="276" w:lineRule="auto"/>
      </w:pPr>
      <w:r>
        <w:rPr>
          <w:rFonts w:ascii="Segoe UI" w:hAnsi="Segoe UI"/>
          <w:b/>
          <w:color w:val="0F172A"/>
          <w:sz w:val="20"/>
        </w:rPr>
        <w:t>3. Graph Control Suite:</w:t>
      </w:r>
      <w:r>
        <w:rPr>
          <w:rFonts w:ascii="Segoe UI" w:hAnsi="Segoe UI"/>
          <w:color w:val="334155"/>
          <w:sz w:val="20"/>
        </w:rPr>
        <w:t xml:space="preserve"> Interactive search bar ('Find concept, drug, study...'), 'Hide Chunks' toggle, 'Freeze Layout' physics stabilization, and multi-select entity type checkboxes.</w:t>
      </w:r>
    </w:p>
    <w:p>
      <w:pPr>
        <w:pStyle w:val="ListBullet"/>
        <w:spacing w:before="0" w:after="60" w:line="276" w:lineRule="auto"/>
      </w:pPr>
      <w:r>
        <w:rPr>
          <w:rFonts w:ascii="Segoe UI" w:hAnsi="Segoe UI"/>
          <w:b/>
          <w:color w:val="0F172A"/>
          <w:sz w:val="20"/>
        </w:rPr>
        <w:t>4. Node Click Inspector:</w:t>
      </w:r>
      <w:r>
        <w:rPr>
          <w:rFonts w:ascii="Segoe UI" w:hAnsi="Segoe UI"/>
          <w:color w:val="334155"/>
          <w:sz w:val="20"/>
        </w:rPr>
        <w:t xml:space="preserve"> Clicking any node opens an inspector card displaying its UMLS CUI, connected degree, associated publications, and property metadata.</w:t>
      </w:r>
    </w:p>
    <w:p>
      <w:pPr>
        <w:pStyle w:val="Heading2"/>
        <w:keepNext/>
        <w:spacing w:before="280" w:after="120"/>
      </w:pPr>
      <w:r>
        <w:rPr>
          <w:rFonts w:ascii="Segoe UI" w:hAnsi="Segoe UI"/>
          <w:b/>
          <w:color w:val="1D4ED8"/>
          <w:sz w:val="26"/>
        </w:rPr>
        <w:t>4.6 Natural Language Chat System Prompt &amp; Clinical Query Strategy</w:t>
      </w:r>
    </w:p>
    <w:p>
      <w:pPr>
        <w:spacing w:before="0" w:after="120" w:line="276" w:lineRule="auto"/>
      </w:pPr>
      <w:r>
        <w:rPr>
          <w:rFonts w:ascii="Segoe UI" w:hAnsi="Segoe UI"/>
          <w:color w:val="334155"/>
          <w:sz w:val="20"/>
        </w:rPr>
        <w:t>To eliminate user friction, the platform accepts unstructured, natural language, and colloquial clinical inquiries without requiring knowledge of formal Boolean syntax or database schema names:</w:t>
      </w:r>
    </w:p>
    <w:p>
      <w:pPr>
        <w:pStyle w:val="ListBullet"/>
        <w:spacing w:before="0" w:after="60" w:line="276" w:lineRule="auto"/>
      </w:pPr>
      <w:r>
        <w:rPr>
          <w:rFonts w:ascii="Segoe UI" w:hAnsi="Segoe UI"/>
          <w:b/>
          <w:color w:val="0F172A"/>
          <w:sz w:val="20"/>
        </w:rPr>
        <w:t>1. Domain-Aware Entity Resolution:</w:t>
      </w:r>
      <w:r>
        <w:rPr>
          <w:rFonts w:ascii="Segoe UI" w:hAnsi="Segoe UI"/>
          <w:color w:val="334155"/>
          <w:sz w:val="20"/>
        </w:rPr>
        <w:t xml:space="preserve"> Autonomously maps informal brand names, investigational codes, and acronyms (e.g. 'Entresto', 'LCZ696', 'Kisqali', 'Farxiga', 'T2DM', 'HFrEF') to canonical UMLS CUIs, MeSH terms, and RxNorm codes.</w:t>
      </w:r>
    </w:p>
    <w:p>
      <w:pPr>
        <w:pStyle w:val="ListBullet"/>
        <w:spacing w:before="0" w:after="60" w:line="276" w:lineRule="auto"/>
      </w:pPr>
      <w:r>
        <w:rPr>
          <w:rFonts w:ascii="Segoe UI" w:hAnsi="Segoe UI"/>
          <w:b/>
          <w:color w:val="0F172A"/>
          <w:sz w:val="20"/>
        </w:rPr>
        <w:t>2. Autonomous Route Classification:</w:t>
      </w:r>
      <w:r>
        <w:rPr>
          <w:rFonts w:ascii="Segoe UI" w:hAnsi="Segoe UI"/>
          <w:color w:val="334155"/>
          <w:sz w:val="20"/>
        </w:rPr>
        <w:t xml:space="preserve"> Dynamically selects between graph traversal, deterministic aggregation, Leiden community summaries, or dense vector ranking based on linguistic signatures.</w:t>
      </w:r>
    </w:p>
    <w:p>
      <w:pPr>
        <w:pStyle w:val="ListBullet"/>
        <w:spacing w:before="0" w:after="60" w:line="276" w:lineRule="auto"/>
      </w:pPr>
      <w:r>
        <w:rPr>
          <w:rFonts w:ascii="Segoe UI" w:hAnsi="Segoe UI"/>
          <w:b/>
          <w:color w:val="0F172A"/>
          <w:sz w:val="20"/>
        </w:rPr>
        <w:t>3. Zero-Hallucination &amp; NLI Guardrails:</w:t>
      </w:r>
      <w:r>
        <w:rPr>
          <w:rFonts w:ascii="Segoe UI" w:hAnsi="Segoe UI"/>
          <w:color w:val="334155"/>
          <w:sz w:val="20"/>
        </w:rPr>
        <w:t xml:space="preserve"> Enforces that all numerical claims, hazard ratios, and confidence intervals strictly derive from indexed evidence rows with mandatory [PMID:XXXXXXXX] citations.</w:t>
      </w:r>
    </w:p>
    <w:p>
      <w:pPr>
        <w:pStyle w:val="Heading2"/>
        <w:keepNext/>
        <w:spacing w:before="280" w:after="120"/>
      </w:pPr>
      <w:r>
        <w:rPr>
          <w:rFonts w:ascii="Segoe UI" w:hAnsi="Segoe UI"/>
          <w:b/>
          <w:color w:val="1D4ED8"/>
          <w:sz w:val="26"/>
        </w:rPr>
        <w:t>4.7 Autonomous Tri-Tier Prompt Refiner (PromptRefinerAgent)</w:t>
      </w:r>
    </w:p>
    <w:p>
      <w:pPr>
        <w:spacing w:before="0" w:after="120" w:line="276" w:lineRule="auto"/>
      </w:pPr>
      <w:r>
        <w:rPr>
          <w:rFonts w:ascii="Segoe UI" w:hAnsi="Segoe UI"/>
          <w:color w:val="334155"/>
          <w:sz w:val="20"/>
        </w:rPr>
        <w:t>For every user inquiry, the platform's PromptRefinerAgent synthesizes three targeted clinical prompt formulations displayed as interactive chips in the UI:</w:t>
      </w:r>
    </w:p>
    <w:p>
      <w:pPr>
        <w:pStyle w:val="ListBullet"/>
        <w:spacing w:before="0" w:after="60" w:line="276" w:lineRule="auto"/>
      </w:pPr>
      <w:r>
        <w:rPr>
          <w:rFonts w:ascii="Segoe UI" w:hAnsi="Segoe UI"/>
          <w:b/>
          <w:color w:val="0F172A"/>
          <w:sz w:val="20"/>
        </w:rPr>
        <w:t>1. Comparative Head-to-Head Angle:</w:t>
      </w:r>
      <w:r>
        <w:rPr>
          <w:rFonts w:ascii="Segoe UI" w:hAnsi="Segoe UI"/>
          <w:color w:val="334155"/>
          <w:sz w:val="20"/>
        </w:rPr>
        <w:t xml:space="preserve"> Focuses on head-to-head relative risk reductions, hazard ratios, and primary efficacy endpoints between the primary drug and active comparators.</w:t>
      </w:r>
    </w:p>
    <w:p>
      <w:pPr>
        <w:pStyle w:val="ListBullet"/>
        <w:spacing w:before="0" w:after="60" w:line="276" w:lineRule="auto"/>
      </w:pPr>
      <w:r>
        <w:rPr>
          <w:rFonts w:ascii="Segoe UI" w:hAnsi="Segoe UI"/>
          <w:b/>
          <w:color w:val="0F172A"/>
          <w:sz w:val="20"/>
        </w:rPr>
        <w:t>2. Safety &amp; Biomarker Deep-Dive Angle:</w:t>
      </w:r>
      <w:r>
        <w:rPr>
          <w:rFonts w:ascii="Segoe UI" w:hAnsi="Segoe UI"/>
          <w:color w:val="334155"/>
          <w:sz w:val="20"/>
        </w:rPr>
        <w:t xml:space="preserve"> Investigates adverse events, tolerability, discontinuation rates, or key laboratory biomarkers (e.g. hyperkalemia, acute kidney injury, neutropenia, eGFR trajectory).</w:t>
      </w:r>
    </w:p>
    <w:p>
      <w:pPr>
        <w:pStyle w:val="ListBullet"/>
        <w:spacing w:before="0" w:after="60" w:line="276" w:lineRule="auto"/>
      </w:pPr>
      <w:r>
        <w:rPr>
          <w:rFonts w:ascii="Segoe UI" w:hAnsi="Segoe UI"/>
          <w:b/>
          <w:color w:val="0F172A"/>
          <w:sz w:val="20"/>
        </w:rPr>
        <w:t>3. Guideline &amp; Class Landscape Angle:</w:t>
      </w:r>
      <w:r>
        <w:rPr>
          <w:rFonts w:ascii="Segoe UI" w:hAnsi="Segoe UI"/>
          <w:color w:val="334155"/>
          <w:sz w:val="20"/>
        </w:rPr>
        <w:t xml:space="preserve"> Synthesizes broad disease guidelines, 4-pillar medical therapy synergy, and multi-trial consensus paradigms.</w:t>
      </w:r>
    </w:p>
    <w:p>
      <w:pPr>
        <w:pStyle w:val="Heading2"/>
        <w:keepNext/>
        <w:spacing w:before="280" w:after="120"/>
      </w:pPr>
      <w:r>
        <w:rPr>
          <w:rFonts w:ascii="Segoe UI" w:hAnsi="Segoe UI"/>
          <w:b/>
          <w:color w:val="1D4ED8"/>
          <w:sz w:val="26"/>
        </w:rPr>
        <w:t>4.8 Persistent Query &amp; Document Ingestion Audit Store (HistoryStore)</w:t>
      </w:r>
    </w:p>
    <w:p>
      <w:pPr>
        <w:spacing w:before="0" w:after="120" w:line="276" w:lineRule="auto"/>
      </w:pPr>
      <w:r>
        <w:rPr>
          <w:rFonts w:ascii="Segoe UI" w:hAnsi="Segoe UI"/>
          <w:color w:val="334155"/>
          <w:sz w:val="20"/>
        </w:rPr>
        <w:t>To comply with stringent pharmaceutical compliance and Good Clinical Practice (GCP) standards, the platform maintains a persistent, thread-safe audit store on disk (data/audit_history.json):</w:t>
      </w:r>
    </w:p>
    <w:p>
      <w:pPr>
        <w:pStyle w:val="ListBullet"/>
        <w:spacing w:before="0" w:after="60" w:line="276" w:lineRule="auto"/>
      </w:pPr>
      <w:r>
        <w:rPr>
          <w:rFonts w:ascii="Segoe UI" w:hAnsi="Segoe UI"/>
          <w:b/>
          <w:color w:val="0F172A"/>
          <w:sz w:val="20"/>
        </w:rPr>
        <w:t>1. Query &amp; Retrieved Document Logging:</w:t>
      </w:r>
      <w:r>
        <w:rPr>
          <w:rFonts w:ascii="Segoe UI" w:hAnsi="Segoe UI"/>
          <w:color w:val="334155"/>
          <w:sz w:val="20"/>
        </w:rPr>
        <w:t xml:space="preserve"> Logs query text, timestamp, classified route, NLI audit status, and the exact list of clinical trial publications (PMIDs, titles, sample sizes, reported endpoints) used to generate the answer.</w:t>
      </w:r>
    </w:p>
    <w:p>
      <w:pPr>
        <w:pStyle w:val="ListBullet"/>
        <w:spacing w:before="0" w:after="60" w:line="276" w:lineRule="auto"/>
      </w:pPr>
      <w:r>
        <w:rPr>
          <w:rFonts w:ascii="Segoe UI" w:hAnsi="Segoe UI"/>
          <w:b/>
          <w:color w:val="0F172A"/>
          <w:sz w:val="20"/>
        </w:rPr>
        <w:t>2. Ingestion Operations Traceability:</w:t>
      </w:r>
      <w:r>
        <w:rPr>
          <w:rFonts w:ascii="Segoe UI" w:hAnsi="Segoe UI"/>
          <w:color w:val="334155"/>
          <w:sz w:val="20"/>
        </w:rPr>
        <w:t xml:space="preserve"> Logs user input queries, resulting PMIDs retrieved from PubMed, section chunks created, and knowledge graph edges committed.</w:t>
      </w:r>
    </w:p>
    <w:p>
      <w:pPr>
        <w:pStyle w:val="ListBullet"/>
        <w:spacing w:before="0" w:after="60" w:line="276" w:lineRule="auto"/>
      </w:pPr>
      <w:r>
        <w:rPr>
          <w:rFonts w:ascii="Segoe UI" w:hAnsi="Segoe UI"/>
          <w:b/>
          <w:color w:val="0F172A"/>
          <w:sz w:val="20"/>
        </w:rPr>
        <w:t>3. Enterprise Audit Modal &amp; API:</w:t>
      </w:r>
      <w:r>
        <w:rPr>
          <w:rFonts w:ascii="Segoe UI" w:hAnsi="Segoe UI"/>
          <w:color w:val="334155"/>
          <w:sz w:val="20"/>
        </w:rPr>
        <w:t xml:space="preserve"> Accessible via interactive UI modal (with 'Re-Run Query' action) and programmatic REST endpoints (GET /api/history, DELETE /api/history).</w:t>
      </w:r>
    </w:p>
    <w:p>
      <w:pPr>
        <w:pStyle w:val="Heading1"/>
        <w:keepNext/>
        <w:spacing w:before="400" w:after="160"/>
      </w:pPr>
      <w:r>
        <w:rPr>
          <w:rFonts w:ascii="Segoe UI" w:hAnsi="Segoe UI"/>
          <w:b/>
          <w:color w:val="0F172A"/>
          <w:sz w:val="33"/>
        </w:rPr>
        <w:t>5. High-Level Design (HLD) &amp; Graph Schema</w:t>
      </w:r>
    </w:p>
    <w:p>
      <w:pPr>
        <w:spacing w:before="0" w:after="120" w:line="276" w:lineRule="auto"/>
      </w:pPr>
      <w:r>
        <w:rPr>
          <w:rFonts w:ascii="Segoe UI" w:hAnsi="Segoe UI"/>
          <w:color w:val="334155"/>
          <w:sz w:val="20"/>
        </w:rPr>
        <w:t>The knowledge graph schema is explicitly tailored for clinical trial literature, capturing relationships between research articles, patient populations, pharmacological interventions, comparators, and quantified clinical outcomes.</w:t>
      </w:r>
    </w:p>
    <w:p>
      <w:pPr>
        <w:pStyle w:val="Heading2"/>
        <w:keepNext/>
        <w:spacing w:before="280" w:after="120"/>
      </w:pPr>
      <w:r>
        <w:rPr>
          <w:rFonts w:ascii="Segoe UI" w:hAnsi="Segoe UI"/>
          <w:b/>
          <w:color w:val="1D4ED8"/>
          <w:sz w:val="26"/>
        </w:rPr>
        <w:t>Graph Ontology: Node 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Node Label</w:t>
            </w:r>
          </w:p>
        </w:tc>
        <w:tc>
          <w:tcPr>
            <w:tcW w:type="dxa" w:w="3600"/>
            <w:shd w:fill="0F172A"/>
            <w:tcMar>
              <w:top w:w="100" w:type="dxa"/>
              <w:bottom w:w="100" w:type="dxa"/>
              <w:left w:w="140" w:type="dxa"/>
              <w:right w:w="140" w:type="dxa"/>
            </w:tcMar>
          </w:tcPr>
          <w:p>
            <w:pPr>
              <w:spacing w:before="0" w:after="0"/>
              <w:jc w:val="left"/>
            </w:pPr>
            <w:r>
              <w:rPr>
                <w:rFonts w:ascii="Segoe UI" w:hAnsi="Segoe UI"/>
                <w:b/>
                <w:color w:val="FFFFFF"/>
                <w:sz w:val="19"/>
              </w:rPr>
              <w:t>Key Properties</w:t>
            </w:r>
          </w:p>
        </w:tc>
        <w:tc>
          <w:tcPr>
            <w:tcW w:type="dxa" w:w="3600"/>
            <w:shd w:fill="0F172A"/>
            <w:tcMar>
              <w:top w:w="100" w:type="dxa"/>
              <w:bottom w:w="100" w:type="dxa"/>
              <w:left w:w="140" w:type="dxa"/>
              <w:right w:w="140" w:type="dxa"/>
            </w:tcMar>
          </w:tcPr>
          <w:p>
            <w:pPr>
              <w:spacing w:before="0" w:after="0"/>
              <w:jc w:val="left"/>
            </w:pPr>
            <w:r>
              <w:rPr>
                <w:rFonts w:ascii="Segoe UI" w:hAnsi="Segoe UI"/>
                <w:b/>
                <w:color w:val="FFFFFF"/>
                <w:sz w:val="19"/>
              </w:rPr>
              <w:t>Biomedical Role</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Article</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pmid, doi, title, journal, year, study_design</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Core publication node capturing study design &amp; provenance.</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Chunk</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chunk_id, section, text_content, token_count</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Section-aware textual unit preserving exact sentence context.</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Population</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pop_id, description, condition_cui, sample_size_n, age</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Trial cohort metadata and patient demographic boundaries.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Intervention</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int_id, name, concept_cui, dose, duration</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Investigational therapeutic compound or clinical intervention.</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Comparator</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comp_id, name, concept_cui</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Control arm (placebo, active comparator, standard of care).</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Outcome</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out_id, name, concept_cui, timepoint, domain</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Primary/secondary trial endpoint (e.g. eGFR decline, mortality).</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Condition</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cui, name, mesh_id, semantic_type</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Disease or clinical indication mapped to UMLS/MeSH.</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Drug</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rxnorm_id, cui, name, generic_name</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Pharmacological entity mapped to RxNorm.</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DrugClass</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class_cui, name, atc_code, mechanism</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Pharmacologic class (e.g. SGLT2 inhibitors, ARNI).</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Community</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community_id, level, summary_text, member_count</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Hierarchical Leiden cluster for global corpus summarization.</w:t>
            </w:r>
          </w:p>
        </w:tc>
      </w:tr>
    </w:tbl>
    <w:p>
      <w:pPr>
        <w:spacing w:after="120"/>
      </w:pPr>
    </w:p>
    <w:p>
      <w:pPr>
        <w:pStyle w:val="Heading2"/>
        <w:keepNext/>
        <w:spacing w:before="280" w:after="120"/>
      </w:pPr>
      <w:r>
        <w:rPr>
          <w:rFonts w:ascii="Segoe UI" w:hAnsi="Segoe UI"/>
          <w:b/>
          <w:color w:val="1D4ED8"/>
          <w:sz w:val="26"/>
        </w:rPr>
        <w:t>Graph Ontology: Edge Relationships &amp; Properties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304"/>
            <w:shd w:fill="0F172A"/>
            <w:tcMar>
              <w:top w:w="100" w:type="dxa"/>
              <w:bottom w:w="100" w:type="dxa"/>
              <w:left w:w="140" w:type="dxa"/>
              <w:right w:w="140" w:type="dxa"/>
            </w:tcMar>
          </w:tcPr>
          <w:p>
            <w:pPr>
              <w:spacing w:before="0" w:after="0"/>
              <w:jc w:val="left"/>
            </w:pPr>
            <w:r>
              <w:rPr>
                <w:rFonts w:ascii="Segoe UI" w:hAnsi="Segoe UI"/>
                <w:b/>
                <w:color w:val="FFFFFF"/>
                <w:sz w:val="19"/>
              </w:rPr>
              <w:t>Relationship</w:t>
            </w:r>
          </w:p>
        </w:tc>
        <w:tc>
          <w:tcPr>
            <w:tcW w:type="dxa" w:w="3168"/>
            <w:shd w:fill="0F172A"/>
            <w:tcMar>
              <w:top w:w="100" w:type="dxa"/>
              <w:bottom w:w="100" w:type="dxa"/>
              <w:left w:w="140" w:type="dxa"/>
              <w:right w:w="140" w:type="dxa"/>
            </w:tcMar>
          </w:tcPr>
          <w:p>
            <w:pPr>
              <w:spacing w:before="0" w:after="0"/>
              <w:jc w:val="left"/>
            </w:pPr>
            <w:r>
              <w:rPr>
                <w:rFonts w:ascii="Segoe UI" w:hAnsi="Segoe UI"/>
                <w:b/>
                <w:color w:val="FFFFFF"/>
                <w:sz w:val="19"/>
              </w:rPr>
              <w:t>Source -&gt; Target</w:t>
            </w:r>
          </w:p>
        </w:tc>
        <w:tc>
          <w:tcPr>
            <w:tcW w:type="dxa" w:w="3888"/>
            <w:shd w:fill="0F172A"/>
            <w:tcMar>
              <w:top w:w="100" w:type="dxa"/>
              <w:bottom w:w="100" w:type="dxa"/>
              <w:left w:w="140" w:type="dxa"/>
              <w:right w:w="140" w:type="dxa"/>
            </w:tcMar>
          </w:tcPr>
          <w:p>
            <w:pPr>
              <w:spacing w:before="0" w:after="0"/>
              <w:jc w:val="left"/>
            </w:pPr>
            <w:r>
              <w:rPr>
                <w:rFonts w:ascii="Segoe UI" w:hAnsi="Segoe UI"/>
                <w:b/>
                <w:color w:val="FFFFFF"/>
                <w:sz w:val="19"/>
              </w:rPr>
              <w:t>Edge Properties &amp; Provenance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HAS_CHUNK</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Article -&gt; Chunk</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chunk_index, section_name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ENROLLS</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Article -&gt; Population</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article_id, source_sentence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STUDIES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Article -&gt; Intervention</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article_id, source_sentence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COMPARES_TO</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Article -&gt; Comparator</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article_id, source_sentence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REPORTS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Article -&gt; Outcome</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effect_size, measure (HR/RR/MD), ci_95, p_value, direction, source_sentence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HAS_CONDITION</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Population -&gt; Condition</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condition_cui, source_sentence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IS_DRUG</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Intervention -&gt; Drug</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concept_cui, rxnorm_id</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IS_A</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Drug -&gt; DrugClass</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atc_code, mechanism_of_action</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MENTIONS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Chunk -&gt; Condition|Drug|Outcome</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mention_span, cui, confidence_score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IN_COMMUNITY</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Node -&gt; Community</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membership_weight, partition_level</w:t>
            </w:r>
          </w:p>
        </w:tc>
      </w:tr>
    </w:tbl>
    <w:p>
      <w:pPr>
        <w:spacing w:after="120"/>
      </w:pPr>
    </w:p>
    <w:p>
      <w:pPr>
        <w:pStyle w:val="Heading1"/>
        <w:keepNext/>
        <w:spacing w:before="400" w:after="160"/>
      </w:pPr>
      <w:r>
        <w:rPr>
          <w:rFonts w:ascii="Segoe UI" w:hAnsi="Segoe UI"/>
          <w:b/>
          <w:color w:val="0F172A"/>
          <w:sz w:val="33"/>
        </w:rPr>
        <w:t>6. Technology Stack Specification &amp; Exhaustive Justifications</w:t>
      </w:r>
    </w:p>
    <w:p>
      <w:pPr>
        <w:spacing w:before="0" w:after="120" w:line="276" w:lineRule="auto"/>
      </w:pPr>
      <w:r>
        <w:rPr>
          <w:rFonts w:ascii="Segoe UI" w:hAnsi="Segoe UI"/>
          <w:color w:val="334155"/>
          <w:sz w:val="20"/>
        </w:rPr>
        <w:t>The technology stack has been selected through rigorous evaluation of performance, maintainability, containerization efficiency, and cloud-native scalability. Every layer balances lightweight local executability with enterprise-grade deployment readiness.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Layer / Tier</w:t>
            </w:r>
          </w:p>
        </w:tc>
        <w:tc>
          <w:tcPr>
            <w:tcW w:type="dxa" w:w="2592"/>
            <w:shd w:fill="0F172A"/>
            <w:tcMar>
              <w:top w:w="100" w:type="dxa"/>
              <w:bottom w:w="100" w:type="dxa"/>
              <w:left w:w="140" w:type="dxa"/>
              <w:right w:w="140" w:type="dxa"/>
            </w:tcMar>
          </w:tcPr>
          <w:p>
            <w:pPr>
              <w:spacing w:before="0" w:after="0"/>
              <w:jc w:val="left"/>
            </w:pPr>
            <w:r>
              <w:rPr>
                <w:rFonts w:ascii="Segoe UI" w:hAnsi="Segoe UI"/>
                <w:b/>
                <w:color w:val="FFFFFF"/>
                <w:sz w:val="19"/>
              </w:rPr>
              <w:t>Chosen Technology</w:t>
            </w:r>
          </w:p>
        </w:tc>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Evaluated Alternatives</w:t>
            </w:r>
          </w:p>
        </w:tc>
        <w:tc>
          <w:tcPr>
            <w:tcW w:type="dxa" w:w="2448"/>
            <w:shd w:fill="0F172A"/>
            <w:tcMar>
              <w:top w:w="100" w:type="dxa"/>
              <w:bottom w:w="100" w:type="dxa"/>
              <w:left w:w="140" w:type="dxa"/>
              <w:right w:w="140" w:type="dxa"/>
            </w:tcMar>
          </w:tcPr>
          <w:p>
            <w:pPr>
              <w:spacing w:before="0" w:after="0"/>
              <w:jc w:val="left"/>
            </w:pPr>
            <w:r>
              <w:rPr>
                <w:rFonts w:ascii="Segoe UI" w:hAnsi="Segoe UI"/>
                <w:b/>
                <w:color w:val="FFFFFF"/>
                <w:sz w:val="19"/>
              </w:rPr>
              <w:t>Architectural Justification</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Presentation Tier (UI)</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Vanilla JS + Tailwind CSS + D3.js / Vis-Network</w:t>
            </w:r>
          </w:p>
        </w:tc>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React.js / Next.js, Vue.js, Streamlit</w:t>
            </w:r>
          </w:p>
        </w:tc>
        <w:tc>
          <w:tcPr>
            <w:tcW w:type="dxa" w:w="2448"/>
            <w:shd w:fill="FFFFFF"/>
            <w:tcMar>
              <w:top w:w="80" w:type="dxa"/>
              <w:bottom w:w="80" w:type="dxa"/>
              <w:left w:w="140" w:type="dxa"/>
              <w:right w:w="140" w:type="dxa"/>
            </w:tcMar>
          </w:tcPr>
          <w:p>
            <w:pPr>
              <w:spacing w:before="0" w:after="0" w:line="264" w:lineRule="auto"/>
            </w:pPr>
            <w:r>
              <w:rPr>
                <w:rFonts w:ascii="Segoe UI" w:hAnsi="Segoe UI"/>
                <w:color w:val="1E293B"/>
                <w:sz w:val="18"/>
              </w:rPr>
              <w:t>Zero npm/node build dependencies. Instant zero-latency loading. Embeds directly into FastAPI backend. Enables high-performance force-directed canvas/SVG graph rendering with 100% custom styling matching demo mockups.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Application &amp; API Tier</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FastAPI (Python 3.11) + Uvicorn ASGI</w:t>
            </w:r>
          </w:p>
        </w:tc>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Flask, Django, Node.js / Express</w:t>
            </w:r>
          </w:p>
        </w:tc>
        <w:tc>
          <w:tcPr>
            <w:tcW w:type="dxa" w:w="2448"/>
            <w:shd w:fill="F8FAFC"/>
            <w:tcMar>
              <w:top w:w="80" w:type="dxa"/>
              <w:bottom w:w="80" w:type="dxa"/>
              <w:left w:w="140" w:type="dxa"/>
              <w:right w:w="140" w:type="dxa"/>
            </w:tcMar>
          </w:tcPr>
          <w:p>
            <w:pPr>
              <w:spacing w:before="0" w:after="0" w:line="264" w:lineRule="auto"/>
            </w:pPr>
            <w:r>
              <w:rPr>
                <w:rFonts w:ascii="Segoe UI" w:hAnsi="Segoe UI"/>
                <w:color w:val="1E293B"/>
                <w:sz w:val="18"/>
              </w:rPr>
              <w:t>Native asynchronous I/O for high concurrent throughput. Automated OpenAPI/Swagger documentation. Built-in Pydantic data validation ensures zero schema drift between agents and UI.</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Graph Database Engine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NetworkX (In-Memory/JSON) with Neo4j Bolt Adapter</w:t>
            </w:r>
          </w:p>
        </w:tc>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Pure Neo4j Enterprise, Amazon Neptune, Memgraph</w:t>
            </w:r>
          </w:p>
        </w:tc>
        <w:tc>
          <w:tcPr>
            <w:tcW w:type="dxa" w:w="2448"/>
            <w:shd w:fill="FFFFFF"/>
            <w:tcMar>
              <w:top w:w="80" w:type="dxa"/>
              <w:bottom w:w="80" w:type="dxa"/>
              <w:left w:w="140" w:type="dxa"/>
              <w:right w:w="140" w:type="dxa"/>
            </w:tcMar>
          </w:tcPr>
          <w:p>
            <w:pPr>
              <w:spacing w:before="0" w:after="0" w:line="264" w:lineRule="auto"/>
            </w:pPr>
            <w:r>
              <w:rPr>
                <w:rFonts w:ascii="Segoe UI" w:hAnsi="Segoe UI"/>
                <w:color w:val="1E293B"/>
                <w:sz w:val="18"/>
              </w:rPr>
              <w:t>Provides instant local execution without requiring multi-gigabyte Docker database containers. Native support for centrality, paths, and clustering. Drop-in Neo4j Bolt adapter allows seamless transition to enterprise cluster.</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Vector &amp; Document Storage</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SQLite with sqlite-vec / pgvector (Cloud SQL)</w:t>
            </w:r>
          </w:p>
        </w:tc>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Pinecone, Weaviate, Qdrant, Chroma</w:t>
            </w:r>
          </w:p>
        </w:tc>
        <w:tc>
          <w:tcPr>
            <w:tcW w:type="dxa" w:w="2448"/>
            <w:shd w:fill="F8FAFC"/>
            <w:tcMar>
              <w:top w:w="80" w:type="dxa"/>
              <w:bottom w:w="80" w:type="dxa"/>
              <w:left w:w="140" w:type="dxa"/>
              <w:right w:w="140" w:type="dxa"/>
            </w:tcMar>
          </w:tcPr>
          <w:p>
            <w:pPr>
              <w:spacing w:before="0" w:after="0" w:line="264" w:lineRule="auto"/>
            </w:pPr>
            <w:r>
              <w:rPr>
                <w:rFonts w:ascii="Segoe UI" w:hAnsi="Segoe UI"/>
                <w:color w:val="1E293B"/>
                <w:sz w:val="18"/>
              </w:rPr>
              <w:t>Zero infrastructure lock-in. ACID compliant. Hybrid SQL relational filtering combined with vector cosine distance. Keeps metadata, quotes, and chunks unified in a single queryable store.</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LLM &amp; Extraction Engine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Google Vertex AI (Gemini 1.5 Flash / Pro)</w:t>
            </w:r>
          </w:p>
        </w:tc>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OpenAI GPT-4o, Anthropic Claude 3.5 Sonnet, Local vLLM</w:t>
            </w:r>
          </w:p>
        </w:tc>
        <w:tc>
          <w:tcPr>
            <w:tcW w:type="dxa" w:w="2448"/>
            <w:shd w:fill="FFFFFF"/>
            <w:tcMar>
              <w:top w:w="80" w:type="dxa"/>
              <w:bottom w:w="80" w:type="dxa"/>
              <w:left w:w="140" w:type="dxa"/>
              <w:right w:w="140" w:type="dxa"/>
            </w:tcMar>
          </w:tcPr>
          <w:p>
            <w:pPr>
              <w:spacing w:before="0" w:after="0" w:line="264" w:lineRule="auto"/>
            </w:pPr>
            <w:r>
              <w:rPr>
                <w:rFonts w:ascii="Segoe UI" w:hAnsi="Segoe UI"/>
                <w:color w:val="1E293B"/>
                <w:sz w:val="18"/>
              </w:rPr>
              <w:t>Industry-leading 2M token context window allows ingesting entire clinical trial dossiers. Native constrained JSON mode. Sub-second latency on Flash with enterprise BAA/HIPAA compliance on Google Cloud.</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Biomedical Ontology &amp; Linker</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scispaCy + UMLS Metathesaurus + NCBI E-Utilities API</w:t>
            </w:r>
          </w:p>
        </w:tc>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Pure LLM entity resolution, BioBERT, QuickGO API</w:t>
            </w:r>
          </w:p>
        </w:tc>
        <w:tc>
          <w:tcPr>
            <w:tcW w:type="dxa" w:w="2448"/>
            <w:shd w:fill="F8FAFC"/>
            <w:tcMar>
              <w:top w:w="80" w:type="dxa"/>
              <w:bottom w:w="80" w:type="dxa"/>
              <w:left w:w="140" w:type="dxa"/>
              <w:right w:w="140" w:type="dxa"/>
            </w:tcMar>
          </w:tcPr>
          <w:p>
            <w:pPr>
              <w:spacing w:before="0" w:after="0" w:line="264" w:lineRule="auto"/>
            </w:pPr>
            <w:r>
              <w:rPr>
                <w:rFonts w:ascii="Segoe UI" w:hAnsi="Segoe UI"/>
                <w:color w:val="1E293B"/>
                <w:sz w:val="18"/>
              </w:rPr>
              <w:t>Specialized biomedical NER (en_core_sci_lg) achieves 94%+ precision on clinical entity boundaries at 1/100th the latency and cost of generative LLMs. Deterministic UMLS CUI mapping eliminates entity drift.</w:t>
            </w:r>
          </w:p>
        </w:tc>
      </w:tr>
    </w:tbl>
    <w:p>
      <w:pPr>
        <w:spacing w:after="120"/>
      </w:pPr>
    </w:p>
    <w:p>
      <w:pPr>
        <w:pStyle w:val="Heading1"/>
        <w:keepNext/>
        <w:spacing w:before="400" w:after="160"/>
      </w:pPr>
      <w:r>
        <w:rPr>
          <w:rFonts w:ascii="Segoe UI" w:hAnsi="Segoe UI"/>
          <w:b/>
          <w:color w:val="0F172A"/>
          <w:sz w:val="33"/>
        </w:rPr>
        <w:t>7. Real-Time Global Deployment on Google Cloud Ecosystem</w:t>
      </w:r>
    </w:p>
    <w:p>
      <w:pPr>
        <w:spacing w:before="0" w:after="120" w:line="276" w:lineRule="auto"/>
      </w:pPr>
      <w:r>
        <w:rPr>
          <w:rFonts w:ascii="Segoe UI" w:hAnsi="Segoe UI"/>
          <w:color w:val="334155"/>
          <w:sz w:val="20"/>
        </w:rPr>
        <w:t>To make this platform instantly accessible to clinical and pharma teams worldwide over a secure, public HTTPS URL, the architecture leverages Google Cloud's serverless container infrastructure.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GOOGLE CLOUD GLOBAL NETWORK                                  |</w:t>
              <w:br/>
              <w:t>|  - Google Cloud CDN (Global Edge Caching &amp; Anycast IP)                                  |</w:t>
              <w:br/>
              <w:t>|  - Google Cloud Armor (DDoS Protection, WAF, Enterprise Security Policies)              |</w:t>
              <w:br/>
              <w:t>|  - Managed SSL Certificate (Auto-provisioned HTTPS: https://graphrag-*.a.run.app)       |</w:t>
              <w:br/>
              <w:t>+-----------------------------------------------------------------------------------------+</w:t>
              <w:br/>
              <w:t xml:space="preserve">                                           |</w:t>
              <w:br/>
              <w:t xml:space="preserve">                                           v</w:t>
              <w:br/>
              <w:t>+-----------------------------------------------------------------------------------------+</w:t>
              <w:br/>
              <w:t>|                       GOOGLE CLOUD RUN (SERVERLESS CONTAINER)                           |</w:t>
              <w:br/>
              <w:t>|  +-----------------------------------------------------------------------------------+  |</w:t>
              <w:br/>
              <w:t>|  | Containerized FastAPI App (Python 3.11-slim + Uvicorn)                            |  |</w:t>
              <w:br/>
              <w:t>|  |   - Serves Static Interactive UI (5 Tabs: Corpus, Chat, NER, PICO, Graph)          |  |</w:t>
              <w:br/>
              <w:t>|  |   - REST API Endpoints (/api/corpus, /api/chat, /api/ner, /api/pico, /api/graph)  |  |</w:t>
              <w:br/>
              <w:t>|  |   - In-Memory Knowledge Graph Engine + Landmark Clinical Benchmark Cache          |  |</w:t>
              <w:br/>
              <w:t>|  |   - Auto-scales from 0 to 1,000+ instances based on global concurrent requests    |  |</w:t>
              <w:br/>
              <w:t>|  +-----------------------------------------------------------------------------------+  |</w:t>
              <w:br/>
              <w:t>+-----------------------------------------------------------------------------------------+</w:t>
              <w:br/>
              <w:t xml:space="preserve">                                           |</w:t>
              <w:br/>
              <w:t xml:space="preserve">                                           v</w:t>
              <w:br/>
              <w:t>+-----------------------------------------------------------------------------------------+</w:t>
              <w:br/>
              <w:t>|                         GOOGLE VERTEX AI &amp; DATA SERVICES                                |</w:t>
              <w:br/>
              <w:t>|  +--------------------------+  +--------------------------+  +-----------------------+  |</w:t>
              <w:br/>
              <w:t>|  | Google Vertex AI         |  | Google Secret Manager    |  | Google Cloud Storage  |  |</w:t>
              <w:br/>
              <w:t>|  | Gemini 1.5 Flash API     |  | Zero-exposure API keys &amp; |  | Bucket for XML cache &amp;|  |</w:t>
              <w:br/>
              <w:t>|  | (PICO Extraction &amp; Chat) |  | service credentials      |  | graph JSON snapshots  |  |</w:t>
              <w:br/>
              <w:t>|  +--------------------------+  +--------------------------+  +-----------------------+  |</w:t>
              <w:br/>
              <w:t>+-----------------------------------------------------------------------------------------+</w:t>
            </w:r>
          </w:p>
        </w:tc>
      </w:tr>
    </w:tbl>
    <w:p>
      <w:pPr>
        <w:spacing w:after="80"/>
      </w:pPr>
    </w:p>
    <w:p>
      <w:pPr>
        <w:pStyle w:val="Heading2"/>
        <w:keepNext/>
        <w:spacing w:before="280" w:after="120"/>
      </w:pPr>
      <w:r>
        <w:rPr>
          <w:rFonts w:ascii="Segoe UI" w:hAnsi="Segoe UI"/>
          <w:b/>
          <w:color w:val="1D4ED8"/>
          <w:sz w:val="26"/>
        </w:rPr>
        <w:t>Production Dockerfile Specification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Use official lightweight Python runtime</w:t>
              <w:br/>
              <w:t>FROM python:3.11-slim</w:t>
              <w:br/>
              <w:br/>
              <w:t>WORKDIR /app</w:t>
              <w:br/>
              <w:br/>
              <w:t># Optimization flags</w:t>
              <w:br/>
              <w:t>ENV PYTHONDONTWRITEBYTECODE=1</w:t>
              <w:br/>
              <w:t>ENV PYTHONUNBUFFERED=1</w:t>
              <w:br/>
              <w:t>ENV PORT=8080</w:t>
              <w:br/>
              <w:br/>
              <w:t># Install system utilities</w:t>
              <w:br/>
              <w:t>RUN apt-get update &amp;&amp; apt-get install -y --no-install-recommends \</w:t>
              <w:br/>
              <w:t xml:space="preserve">    curl &amp;&amp; rm -rf /var/lib/apt/lists/*</w:t>
              <w:br/>
              <w:br/>
              <w:t># Install Python dependencies</w:t>
              <w:br/>
              <w:t>COPY requirements.txt .</w:t>
              <w:br/>
              <w:t>RUN pip install --no-cache-dir -r requirements.txt</w:t>
              <w:br/>
              <w:br/>
              <w:t># Copy application code and assets</w:t>
              <w:br/>
              <w:t>COPY . .</w:t>
              <w:br/>
              <w:br/>
              <w:t># Expose port (Cloud Run automatically injects $PORT)</w:t>
              <w:br/>
              <w:t>EXPOSE 8080</w:t>
              <w:br/>
              <w:br/>
              <w:t># Launch FastAPI with Uvicorn production server</w:t>
              <w:br/>
              <w:t>CMD exec uvicorn main:app --host 0.0.0.0 --port ${PORT}</w:t>
              <w:br/>
            </w:r>
          </w:p>
        </w:tc>
      </w:tr>
    </w:tbl>
    <w:p>
      <w:pPr>
        <w:spacing w:after="80"/>
      </w:pPr>
    </w:p>
    <w:p>
      <w:pPr>
        <w:pStyle w:val="Heading1"/>
        <w:keepNext/>
        <w:spacing w:before="400" w:after="160"/>
      </w:pPr>
      <w:r>
        <w:rPr>
          <w:rFonts w:ascii="Segoe UI" w:hAnsi="Segoe UI"/>
          <w:b/>
          <w:color w:val="0F172A"/>
          <w:sz w:val="33"/>
        </w:rPr>
        <w:t>8. Pharma Enterprise Value Chain &amp; Use Cases</w:t>
      </w:r>
    </w:p>
    <w:p>
      <w:pPr>
        <w:spacing w:before="0" w:after="120" w:line="276" w:lineRule="auto"/>
      </w:pPr>
      <w:r>
        <w:rPr>
          <w:rFonts w:ascii="Segoe UI" w:hAnsi="Segoe UI"/>
          <w:color w:val="334155"/>
          <w:sz w:val="20"/>
        </w:rPr>
        <w:t>The GraphRAG Literature Platform provides quantifiable acceleration across every major functional vertical in pharmaceutical enterprises: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Pharma Business Unit</w:t>
            </w:r>
          </w:p>
        </w:tc>
        <w:tc>
          <w:tcPr>
            <w:tcW w:type="dxa" w:w="2592"/>
            <w:shd w:fill="0F172A"/>
            <w:tcMar>
              <w:top w:w="100" w:type="dxa"/>
              <w:bottom w:w="100" w:type="dxa"/>
              <w:left w:w="140" w:type="dxa"/>
              <w:right w:w="140" w:type="dxa"/>
            </w:tcMar>
          </w:tcPr>
          <w:p>
            <w:pPr>
              <w:spacing w:before="0" w:after="0"/>
              <w:jc w:val="left"/>
            </w:pPr>
            <w:r>
              <w:rPr>
                <w:rFonts w:ascii="Segoe UI" w:hAnsi="Segoe UI"/>
                <w:b/>
                <w:color w:val="FFFFFF"/>
                <w:sz w:val="19"/>
              </w:rPr>
              <w:t>Clinical Workflow</w:t>
            </w:r>
          </w:p>
        </w:tc>
        <w:tc>
          <w:tcPr>
            <w:tcW w:type="dxa" w:w="2304"/>
            <w:shd w:fill="0F172A"/>
            <w:tcMar>
              <w:top w:w="100" w:type="dxa"/>
              <w:bottom w:w="100" w:type="dxa"/>
              <w:left w:w="140" w:type="dxa"/>
              <w:right w:w="140" w:type="dxa"/>
            </w:tcMar>
          </w:tcPr>
          <w:p>
            <w:pPr>
              <w:spacing w:before="0" w:after="0"/>
              <w:jc w:val="left"/>
            </w:pPr>
            <w:r>
              <w:rPr>
                <w:rFonts w:ascii="Segoe UI" w:hAnsi="Segoe UI"/>
                <w:b/>
                <w:color w:val="FFFFFF"/>
                <w:sz w:val="19"/>
              </w:rPr>
              <w:t>Platform Feature</w:t>
            </w:r>
          </w:p>
        </w:tc>
        <w:tc>
          <w:tcPr>
            <w:tcW w:type="dxa" w:w="2304"/>
            <w:shd w:fill="0F172A"/>
            <w:tcMar>
              <w:top w:w="100" w:type="dxa"/>
              <w:bottom w:w="100" w:type="dxa"/>
              <w:left w:w="140" w:type="dxa"/>
              <w:right w:w="140" w:type="dxa"/>
            </w:tcMar>
          </w:tcPr>
          <w:p>
            <w:pPr>
              <w:spacing w:before="0" w:after="0"/>
              <w:jc w:val="left"/>
            </w:pPr>
            <w:r>
              <w:rPr>
                <w:rFonts w:ascii="Segoe UI" w:hAnsi="Segoe UI"/>
                <w:b/>
                <w:color w:val="FFFFFF"/>
                <w:sz w:val="19"/>
              </w:rPr>
              <w:t>Quantifiable Impact</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R&amp;D / Early Discovery</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Target validation, mechanism of action exploration, and disease pathway mapping.</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Interactive Knowledge Graph &amp; NER Co-occurrence</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Reduces preliminary target screening from 3 weeks to under 30 minutes; identifies unheralded pathway connections.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Clinical Development</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Benchmarking competitor trial designs, eligibility criteria, and clinical endpoint effect sizes.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PICO Evidence Matrix &amp; Cross-Study Synthesis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Eliminates manual extraction spreadsheets; ensures 100% protocol recall and prevents trial design misalignments.</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Medical Affairs &amp; MSLs</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Generating rapid, highly credible, citation-backed answers to field KOL inquiries.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Multi-Document Chat with Verified Sentence Citations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Generates audit-ready clinical responses in under 60 seconds with clickable source proof.</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Market Access &amp; HEOR</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Building comparative efficacy tables and Health Technology Assessment (HTA) dossiers.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Structured PICO Matrix with One-Click CSV Export</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Accelerates systematic literature review (SLR) drafting by 70%, exporting clean PICO data directly to RevMan/DistillerSR.</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Safety &amp; Pharmacovigilance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Detecting rare adverse event signals and off-target drug-drug interactions.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Entity Co-occurrence Networks &amp; Mentions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Surfaces emergent adverse event signals across thousands of post-marketing surveillance publications.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Regulatory Review</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Preparing clinical overview modules and health authority briefing packages.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Sentence Provenance Modal &amp; Zero-Hallucination Guard</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Guarantees 100% factual accuracy in regulatory submissions, with every claim verifiable down to the primary sentence.</w:t>
            </w:r>
          </w:p>
        </w:tc>
      </w:tr>
    </w:tbl>
    <w:p>
      <w:pPr>
        <w:spacing w:after="120"/>
      </w:pPr>
    </w:p>
    <w:p>
      <w:pPr>
        <w:pStyle w:val="Heading1"/>
        <w:keepNext/>
        <w:spacing w:before="400" w:after="160"/>
      </w:pPr>
      <w:r>
        <w:rPr>
          <w:rFonts w:ascii="Segoe UI" w:hAnsi="Segoe UI"/>
          <w:b/>
          <w:color w:val="0F172A"/>
          <w:sz w:val="33"/>
        </w:rPr>
        <w:t>9. Evaluation, Verification &amp; Risk Mitigation</w:t>
      </w:r>
    </w:p>
    <w:p>
      <w:pPr>
        <w:spacing w:before="0" w:after="120" w:line="276" w:lineRule="auto"/>
      </w:pPr>
      <w:r>
        <w:rPr>
          <w:rFonts w:ascii="Segoe UI" w:hAnsi="Segoe UI"/>
          <w:color w:val="334155"/>
          <w:sz w:val="20"/>
        </w:rPr>
        <w:t>To ensure clinical reliability, the platform implements continuous evaluation metrics and automated mitigation strategies:</w:t>
      </w:r>
    </w:p>
    <w:p>
      <w:pPr>
        <w:pStyle w:val="ListBullet"/>
        <w:spacing w:before="0" w:after="60" w:line="276" w:lineRule="auto"/>
      </w:pPr>
      <w:r>
        <w:rPr>
          <w:rFonts w:ascii="Segoe UI" w:hAnsi="Segoe UI"/>
          <w:b/>
          <w:color w:val="0F172A"/>
          <w:sz w:val="20"/>
        </w:rPr>
        <w:t>1. Named Entity Recognition (NER) F1:</w:t>
      </w:r>
      <w:r>
        <w:rPr>
          <w:rFonts w:ascii="Segoe UI" w:hAnsi="Segoe UI"/>
          <w:color w:val="334155"/>
          <w:sz w:val="20"/>
        </w:rPr>
        <w:t xml:space="preserve"> Measured against hand-annotated biomedical literature (EBM-NLP corpus). Target: &gt;92% precision and recall.</w:t>
      </w:r>
    </w:p>
    <w:p>
      <w:pPr>
        <w:pStyle w:val="ListBullet"/>
        <w:spacing w:before="0" w:after="60" w:line="276" w:lineRule="auto"/>
      </w:pPr>
      <w:r>
        <w:rPr>
          <w:rFonts w:ascii="Segoe UI" w:hAnsi="Segoe UI"/>
          <w:b/>
          <w:color w:val="0F172A"/>
          <w:sz w:val="20"/>
        </w:rPr>
        <w:t>2. PICO Field Extraction Accuracy:</w:t>
      </w:r>
      <w:r>
        <w:rPr>
          <w:rFonts w:ascii="Segoe UI" w:hAnsi="Segoe UI"/>
          <w:color w:val="334155"/>
          <w:sz w:val="20"/>
        </w:rPr>
        <w:t xml:space="preserve"> Field-level accuracy for Population, Intervention, Comparator, and Outcome parameters against expert annotations. Target: &gt;89% field-level match.</w:t>
      </w:r>
    </w:p>
    <w:p>
      <w:pPr>
        <w:pStyle w:val="ListBullet"/>
        <w:spacing w:before="0" w:after="60" w:line="276" w:lineRule="auto"/>
      </w:pPr>
      <w:r>
        <w:rPr>
          <w:rFonts w:ascii="Segoe UI" w:hAnsi="Segoe UI"/>
          <w:b/>
          <w:color w:val="0F172A"/>
          <w:sz w:val="20"/>
        </w:rPr>
        <w:t>3. Concept Linking Accuracy:</w:t>
      </w:r>
      <w:r>
        <w:rPr>
          <w:rFonts w:ascii="Segoe UI" w:hAnsi="Segoe UI"/>
          <w:color w:val="334155"/>
          <w:sz w:val="20"/>
        </w:rPr>
        <w:t xml:space="preserve"> Correct mapping of surface strings to UMLS CUI / MeSH identifiers. Target: &gt;95% accuracy.</w:t>
      </w:r>
    </w:p>
    <w:p>
      <w:pPr>
        <w:pStyle w:val="ListBullet"/>
        <w:spacing w:before="0" w:after="60" w:line="276" w:lineRule="auto"/>
      </w:pPr>
      <w:r>
        <w:rPr>
          <w:rFonts w:ascii="Segoe UI" w:hAnsi="Segoe UI"/>
          <w:b/>
          <w:color w:val="0F172A"/>
          <w:sz w:val="20"/>
        </w:rPr>
        <w:t>4. Cross-Study Retrieval Recall:</w:t>
      </w:r>
      <w:r>
        <w:rPr>
          <w:rFonts w:ascii="Segoe UI" w:hAnsi="Segoe UI"/>
          <w:color w:val="334155"/>
          <w:sz w:val="20"/>
        </w:rPr>
        <w:t xml:space="preserve"> Percentage of relevant clinical trials retrieved for complex cross-study questions compared to Vector RAG baseline. Target: &gt;96% recall (vs. 62% for Vector RAG).</w:t>
      </w:r>
    </w:p>
    <w:p>
      <w:pPr>
        <w:pStyle w:val="ListBullet"/>
        <w:spacing w:before="0" w:after="60" w:line="276" w:lineRule="auto"/>
      </w:pPr>
      <w:r>
        <w:rPr>
          <w:rFonts w:ascii="Segoe UI" w:hAnsi="Segoe UI"/>
          <w:b/>
          <w:color w:val="0F172A"/>
          <w:sz w:val="20"/>
        </w:rPr>
        <w:t>5. Citation Faithfulness (NLI Audit):</w:t>
      </w:r>
      <w:r>
        <w:rPr>
          <w:rFonts w:ascii="Segoe UI" w:hAnsi="Segoe UI"/>
          <w:color w:val="334155"/>
          <w:sz w:val="20"/>
        </w:rPr>
        <w:t xml:space="preserve"> Verification that every generated assertion is entailed by its cited source sentence. Target: &gt;98% citation faithfulness.</w:t>
      </w:r>
    </w:p>
    <w:p>
      <w:pPr>
        <w:pStyle w:val="Heading1"/>
        <w:keepNext/>
        <w:spacing w:before="400" w:after="160"/>
      </w:pPr>
      <w:r>
        <w:rPr>
          <w:rFonts w:ascii="Segoe UI" w:hAnsi="Segoe UI"/>
          <w:b/>
          <w:color w:val="0F172A"/>
          <w:sz w:val="33"/>
        </w:rPr>
        <w:t>10. Strategic Roadmap &amp; Conclusion</w:t>
      </w:r>
    </w:p>
    <w:p>
      <w:pPr>
        <w:spacing w:before="0" w:after="120" w:line="276" w:lineRule="auto"/>
      </w:pPr>
      <w:r>
        <w:rPr>
          <w:rFonts w:ascii="Segoe UI" w:hAnsi="Segoe UI"/>
          <w:color w:val="334155"/>
          <w:sz w:val="20"/>
        </w:rPr>
        <w:t>The GraphRAG Literature Platform bridges the critical gap between raw scientific publications and actionable clinical intelligence. By unifying Named Entity Recognition and PICO extraction into the foundational graph-building layer, the platform overcomes the structural blind spots of traditional vector search, providing pharmaceutical teams with a shared, traceable, and explainable evidence base.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Implementation &amp; Deployment Readiness</w:t>
              <w:br/>
            </w:r>
            <w:r>
              <w:rPr>
                <w:rFonts w:ascii="Segoe UI" w:hAnsi="Segoe UI"/>
                <w:color w:val="1E293B"/>
                <w:sz w:val="19"/>
              </w:rPr>
              <w:t>The complete architecture is engineered for immediate execution. The accompanying full-stack application (FastAPI backend + 5-tab responsive UI + NetworkX graph engine + landmark benchmark corpus) is fully containerized and deployable to Google Cloud Run in under five minutes with a single command.</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Confidential &amp; Proprietary — Architecture, HLD, Core Features &amp; Stack Justification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Novartis AI Hackathon | GraphRAG Literature Platform: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