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pPr>
      <w:r>
        <w:rPr>
          <w:rFonts w:ascii="Segoe UI" w:hAnsi="Segoe UI"/>
          <w:b/>
          <w:color w:val="0F172A"/>
          <w:sz w:val="52"/>
        </w:rPr>
        <w:t>GraphRAG Literature Platform</w:t>
      </w:r>
    </w:p>
    <w:p>
      <w:pPr>
        <w:spacing w:before="0" w:after="320"/>
      </w:pPr>
      <w:r>
        <w:rPr>
          <w:rFonts w:ascii="Segoe UI" w:hAnsi="Segoe UI"/>
          <w:color w:val="1D4ED8"/>
          <w:sz w:val="26"/>
        </w:rPr>
        <w:t>Enterprise Agentic Architecture, High-Level Design (HLD), Core Application Features &amp; Global Cloud Deployment Blueprint</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680"/>
        <w:gridCol w:w="4680"/>
      </w:tblGrid>
      <w:tr>
        <w:tc>
          <w:tcPr>
            <w:tcW w:type="dxa" w:w="3168"/>
            <w:shd w:fill="0F172A"/>
            <w:tcMar>
              <w:top w:w="100" w:type="dxa"/>
              <w:bottom w:w="100" w:type="dxa"/>
              <w:left w:w="140" w:type="dxa"/>
              <w:right w:w="140" w:type="dxa"/>
            </w:tcMar>
          </w:tcPr>
          <w:p>
            <w:pPr>
              <w:spacing w:before="0" w:after="0"/>
              <w:jc w:val="left"/>
            </w:pPr>
            <w:r>
              <w:rPr>
                <w:rFonts w:ascii="Segoe UI" w:hAnsi="Segoe UI"/>
                <w:b/>
                <w:color w:val="FFFFFF"/>
                <w:sz w:val="19"/>
              </w:rPr>
              <w:t>Attribute</w:t>
            </w:r>
          </w:p>
        </w:tc>
        <w:tc>
          <w:tcPr>
            <w:tcW w:type="dxa" w:w="6192"/>
            <w:shd w:fill="0F172A"/>
            <w:tcMar>
              <w:top w:w="100" w:type="dxa"/>
              <w:bottom w:w="100" w:type="dxa"/>
              <w:left w:w="140" w:type="dxa"/>
              <w:right w:w="140" w:type="dxa"/>
            </w:tcMar>
          </w:tcPr>
          <w:p>
            <w:pPr>
              <w:spacing w:before="0" w:after="0"/>
              <w:jc w:val="left"/>
            </w:pPr>
            <w:r>
              <w:rPr>
                <w:rFonts w:ascii="Segoe UI" w:hAnsi="Segoe UI"/>
                <w:b/>
                <w:color w:val="FFFFFF"/>
                <w:sz w:val="19"/>
              </w:rPr>
              <w:t>Specification Details</w:t>
            </w:r>
          </w:p>
        </w:tc>
      </w:tr>
      <w:tr>
        <w:tc>
          <w:tcPr>
            <w:tcW w:type="dxa" w:w="3168"/>
            <w:shd w:fill="FFFFFF"/>
            <w:tcMar>
              <w:top w:w="80" w:type="dxa"/>
              <w:bottom w:w="80" w:type="dxa"/>
              <w:left w:w="140" w:type="dxa"/>
              <w:right w:w="140" w:type="dxa"/>
            </w:tcMar>
          </w:tcPr>
          <w:p>
            <w:pPr>
              <w:spacing w:before="0" w:after="0" w:line="264" w:lineRule="auto"/>
            </w:pPr>
            <w:r>
              <w:rPr>
                <w:rFonts w:ascii="Segoe UI" w:hAnsi="Segoe UI"/>
                <w:color w:val="1E293B"/>
                <w:sz w:val="18"/>
              </w:rPr>
              <w:t>Project Name</w:t>
            </w:r>
          </w:p>
        </w:tc>
        <w:tc>
          <w:tcPr>
            <w:tcW w:type="dxa" w:w="6192"/>
            <w:shd w:fill="FFFFFF"/>
            <w:tcMar>
              <w:top w:w="80" w:type="dxa"/>
              <w:bottom w:w="80" w:type="dxa"/>
              <w:left w:w="140" w:type="dxa"/>
              <w:right w:w="140" w:type="dxa"/>
            </w:tcMar>
          </w:tcPr>
          <w:p>
            <w:pPr>
              <w:spacing w:before="0" w:after="0" w:line="264" w:lineRule="auto"/>
            </w:pPr>
            <w:r>
              <w:rPr>
                <w:rFonts w:ascii="Segoe UI" w:hAnsi="Segoe UI"/>
                <w:color w:val="1E293B"/>
                <w:sz w:val="18"/>
              </w:rPr>
              <w:t>GraphRAG Literature Platform (Multi-Doc Chat, Biomedical NER &amp; Structured PICO Evidence)</w:t>
            </w:r>
          </w:p>
        </w:tc>
      </w:tr>
      <w:tr>
        <w:tc>
          <w:tcPr>
            <w:tcW w:type="dxa" w:w="3168"/>
            <w:shd w:fill="F8FAFC"/>
            <w:tcMar>
              <w:top w:w="80" w:type="dxa"/>
              <w:bottom w:w="80" w:type="dxa"/>
              <w:left w:w="140" w:type="dxa"/>
              <w:right w:w="140" w:type="dxa"/>
            </w:tcMar>
          </w:tcPr>
          <w:p>
            <w:pPr>
              <w:spacing w:before="0" w:after="0" w:line="264" w:lineRule="auto"/>
            </w:pPr>
            <w:r>
              <w:rPr>
                <w:rFonts w:ascii="Segoe UI" w:hAnsi="Segoe UI"/>
                <w:color w:val="1E293B"/>
                <w:sz w:val="18"/>
              </w:rPr>
              <w:t>Target Domain</w:t>
            </w:r>
          </w:p>
        </w:tc>
        <w:tc>
          <w:tcPr>
            <w:tcW w:type="dxa" w:w="6192"/>
            <w:shd w:fill="F8FAFC"/>
            <w:tcMar>
              <w:top w:w="80" w:type="dxa"/>
              <w:bottom w:w="80" w:type="dxa"/>
              <w:left w:w="140" w:type="dxa"/>
              <w:right w:w="140" w:type="dxa"/>
            </w:tcMar>
          </w:tcPr>
          <w:p>
            <w:pPr>
              <w:spacing w:before="0" w:after="0" w:line="264" w:lineRule="auto"/>
            </w:pPr>
            <w:r>
              <w:rPr>
                <w:rFonts w:ascii="Segoe UI" w:hAnsi="Segoe UI"/>
                <w:color w:val="1E293B"/>
                <w:sz w:val="18"/>
              </w:rPr>
              <w:t>Pharmaceutical R&amp;D, Clinical Development, Medical Affairs &amp; Health Economics</w:t>
            </w:r>
          </w:p>
        </w:tc>
      </w:tr>
      <w:tr>
        <w:tc>
          <w:tcPr>
            <w:tcW w:type="dxa" w:w="3168"/>
            <w:shd w:fill="FFFFFF"/>
            <w:tcMar>
              <w:top w:w="80" w:type="dxa"/>
              <w:bottom w:w="80" w:type="dxa"/>
              <w:left w:w="140" w:type="dxa"/>
              <w:right w:w="140" w:type="dxa"/>
            </w:tcMar>
          </w:tcPr>
          <w:p>
            <w:pPr>
              <w:spacing w:before="0" w:after="0" w:line="264" w:lineRule="auto"/>
            </w:pPr>
            <w:r>
              <w:rPr>
                <w:rFonts w:ascii="Segoe UI" w:hAnsi="Segoe UI"/>
                <w:color w:val="1E293B"/>
                <w:sz w:val="18"/>
              </w:rPr>
              <w:t>Architecture Pattern</w:t>
            </w:r>
          </w:p>
        </w:tc>
        <w:tc>
          <w:tcPr>
            <w:tcW w:type="dxa" w:w="6192"/>
            <w:shd w:fill="FFFFFF"/>
            <w:tcMar>
              <w:top w:w="80" w:type="dxa"/>
              <w:bottom w:w="80" w:type="dxa"/>
              <w:left w:w="140" w:type="dxa"/>
              <w:right w:w="140" w:type="dxa"/>
            </w:tcMar>
          </w:tcPr>
          <w:p>
            <w:pPr>
              <w:spacing w:before="0" w:after="0" w:line="264" w:lineRule="auto"/>
            </w:pPr>
            <w:r>
              <w:rPr>
                <w:rFonts w:ascii="Segoe UI" w:hAnsi="Segoe UI"/>
                <w:color w:val="1E293B"/>
                <w:sz w:val="18"/>
              </w:rPr>
              <w:t>Agentic Knowledge Graph Retrieval-Augmented Generation (GraphRAG) with Verification Guards</w:t>
            </w:r>
          </w:p>
        </w:tc>
      </w:tr>
      <w:tr>
        <w:tc>
          <w:tcPr>
            <w:tcW w:type="dxa" w:w="3168"/>
            <w:shd w:fill="F8FAFC"/>
            <w:tcMar>
              <w:top w:w="80" w:type="dxa"/>
              <w:bottom w:w="80" w:type="dxa"/>
              <w:left w:w="140" w:type="dxa"/>
              <w:right w:w="140" w:type="dxa"/>
            </w:tcMar>
          </w:tcPr>
          <w:p>
            <w:pPr>
              <w:spacing w:before="0" w:after="0" w:line="264" w:lineRule="auto"/>
            </w:pPr>
            <w:r>
              <w:rPr>
                <w:rFonts w:ascii="Segoe UI" w:hAnsi="Segoe UI"/>
                <w:color w:val="1E293B"/>
                <w:sz w:val="18"/>
              </w:rPr>
              <w:t>Key Features Covered</w:t>
            </w:r>
          </w:p>
        </w:tc>
        <w:tc>
          <w:tcPr>
            <w:tcW w:type="dxa" w:w="6192"/>
            <w:shd w:fill="F8FAFC"/>
            <w:tcMar>
              <w:top w:w="80" w:type="dxa"/>
              <w:bottom w:w="80" w:type="dxa"/>
              <w:left w:w="140" w:type="dxa"/>
              <w:right w:w="140" w:type="dxa"/>
            </w:tcMar>
          </w:tcPr>
          <w:p>
            <w:pPr>
              <w:spacing w:before="0" w:after="0" w:line="264" w:lineRule="auto"/>
            </w:pPr>
            <w:r>
              <w:rPr>
                <w:rFonts w:ascii="Segoe UI" w:hAnsi="Segoe UI"/>
                <w:color w:val="1E293B"/>
                <w:sz w:val="18"/>
              </w:rPr>
              <w:t>Ingest to Graph, Multi-Doc Chat &amp; Synthesis, Biomedical NER &amp; Concept Explorer, PICO Grid, KG Explorer</w:t>
            </w:r>
          </w:p>
        </w:tc>
      </w:tr>
      <w:tr>
        <w:tc>
          <w:tcPr>
            <w:tcW w:type="dxa" w:w="3168"/>
            <w:shd w:fill="FFFFFF"/>
            <w:tcMar>
              <w:top w:w="80" w:type="dxa"/>
              <w:bottom w:w="80" w:type="dxa"/>
              <w:left w:w="140" w:type="dxa"/>
              <w:right w:w="140" w:type="dxa"/>
            </w:tcMar>
          </w:tcPr>
          <w:p>
            <w:pPr>
              <w:spacing w:before="0" w:after="0" w:line="264" w:lineRule="auto"/>
            </w:pPr>
            <w:r>
              <w:rPr>
                <w:rFonts w:ascii="Segoe UI" w:hAnsi="Segoe UI"/>
                <w:color w:val="1E293B"/>
                <w:sz w:val="18"/>
              </w:rPr>
              <w:t>Deployment Target</w:t>
            </w:r>
          </w:p>
        </w:tc>
        <w:tc>
          <w:tcPr>
            <w:tcW w:type="dxa" w:w="6192"/>
            <w:shd w:fill="FFFFFF"/>
            <w:tcMar>
              <w:top w:w="80" w:type="dxa"/>
              <w:bottom w:w="80" w:type="dxa"/>
              <w:left w:w="140" w:type="dxa"/>
              <w:right w:w="140" w:type="dxa"/>
            </w:tcMar>
          </w:tcPr>
          <w:p>
            <w:pPr>
              <w:spacing w:before="0" w:after="0" w:line="264" w:lineRule="auto"/>
            </w:pPr>
            <w:r>
              <w:rPr>
                <w:rFonts w:ascii="Segoe UI" w:hAnsi="Segoe UI"/>
                <w:color w:val="1E293B"/>
                <w:sz w:val="18"/>
              </w:rPr>
              <w:t>Google Cloud Ecosystem (Google Cloud Run + Google Vertex AI / Gemini 1.5 Flash)</w:t>
            </w:r>
          </w:p>
        </w:tc>
      </w:tr>
      <w:tr>
        <w:tc>
          <w:tcPr>
            <w:tcW w:type="dxa" w:w="3168"/>
            <w:shd w:fill="F8FAFC"/>
            <w:tcMar>
              <w:top w:w="80" w:type="dxa"/>
              <w:bottom w:w="80" w:type="dxa"/>
              <w:left w:w="140" w:type="dxa"/>
              <w:right w:w="140" w:type="dxa"/>
            </w:tcMar>
          </w:tcPr>
          <w:p>
            <w:pPr>
              <w:spacing w:before="0" w:after="0" w:line="264" w:lineRule="auto"/>
            </w:pPr>
            <w:r>
              <w:rPr>
                <w:rFonts w:ascii="Segoe UI" w:hAnsi="Segoe UI"/>
                <w:color w:val="1E293B"/>
                <w:sz w:val="18"/>
              </w:rPr>
              <w:t>Document Status</w:t>
            </w:r>
          </w:p>
        </w:tc>
        <w:tc>
          <w:tcPr>
            <w:tcW w:type="dxa" w:w="6192"/>
            <w:shd w:fill="F8FAFC"/>
            <w:tcMar>
              <w:top w:w="80" w:type="dxa"/>
              <w:bottom w:w="80" w:type="dxa"/>
              <w:left w:w="140" w:type="dxa"/>
              <w:right w:w="140" w:type="dxa"/>
            </w:tcMar>
          </w:tcPr>
          <w:p>
            <w:pPr>
              <w:spacing w:before="0" w:after="0" w:line="264" w:lineRule="auto"/>
            </w:pPr>
            <w:r>
              <w:rPr>
                <w:rFonts w:ascii="Segoe UI" w:hAnsi="Segoe UI"/>
                <w:color w:val="1E293B"/>
                <w:sz w:val="18"/>
              </w:rPr>
              <w:t>Production-Ready High-Level Design (HLD) &amp; Architectural Specification</w:t>
            </w:r>
          </w:p>
        </w:tc>
      </w:tr>
      <w:tr>
        <w:tc>
          <w:tcPr>
            <w:tcW w:type="dxa" w:w="3168"/>
            <w:shd w:fill="FFFFFF"/>
            <w:tcMar>
              <w:top w:w="80" w:type="dxa"/>
              <w:bottom w:w="80" w:type="dxa"/>
              <w:left w:w="140" w:type="dxa"/>
              <w:right w:w="140" w:type="dxa"/>
            </w:tcMar>
          </w:tcPr>
          <w:p>
            <w:pPr>
              <w:spacing w:before="0" w:after="0" w:line="264" w:lineRule="auto"/>
            </w:pPr>
            <w:r>
              <w:rPr>
                <w:rFonts w:ascii="Segoe UI" w:hAnsi="Segoe UI"/>
                <w:color w:val="1E293B"/>
                <w:sz w:val="18"/>
              </w:rPr>
              <w:t>Classification</w:t>
            </w:r>
          </w:p>
        </w:tc>
        <w:tc>
          <w:tcPr>
            <w:tcW w:type="dxa" w:w="6192"/>
            <w:shd w:fill="FFFFFF"/>
            <w:tcMar>
              <w:top w:w="80" w:type="dxa"/>
              <w:bottom w:w="80" w:type="dxa"/>
              <w:left w:w="140" w:type="dxa"/>
              <w:right w:w="140" w:type="dxa"/>
            </w:tcMar>
          </w:tcPr>
          <w:p>
            <w:pPr>
              <w:spacing w:before="0" w:after="0" w:line="264" w:lineRule="auto"/>
            </w:pPr>
            <w:r>
              <w:rPr>
                <w:rFonts w:ascii="Segoe UI" w:hAnsi="Segoe UI"/>
                <w:color w:val="1E293B"/>
                <w:sz w:val="18"/>
              </w:rPr>
              <w:t>Novartis AI Hackathon Technical Reference Architecture</w:t>
            </w:r>
          </w:p>
        </w:tc>
      </w:tr>
    </w:tbl>
    <w:p>
      <w:pPr>
        <w:spacing w:after="120"/>
      </w:pPr>
    </w:p>
    <w:p>
      <w:r>
        <w:br w:type="page"/>
      </w:r>
    </w:p>
    <w:p>
      <w:pPr>
        <w:pStyle w:val="Heading1"/>
        <w:keepNext/>
        <w:spacing w:before="400" w:after="160"/>
      </w:pPr>
      <w:r>
        <w:rPr>
          <w:rFonts w:ascii="Segoe UI" w:hAnsi="Segoe UI"/>
          <w:b/>
          <w:color w:val="0F172A"/>
          <w:sz w:val="33"/>
        </w:rPr>
        <w:t>1. Executive Summary &amp; Project Overview</w:t>
      </w:r>
    </w:p>
    <w:p>
      <w:pPr>
        <w:spacing w:before="0" w:after="120" w:line="276" w:lineRule="auto"/>
      </w:pPr>
      <w:r>
        <w:rPr>
          <w:rFonts w:ascii="Segoe UI" w:hAnsi="Segoe UI"/>
          <w:color w:val="334155"/>
          <w:sz w:val="20"/>
        </w:rPr>
        <w:t>Biomedical researchers, clinical trialists, and pharmaceutical teams face an unprecedented literature explosion. With more than 35 million research publications indexed on PubMed and over 1.5 million newly published papers annually, scientific synthesis has become the critical bottleneck in drug discovery, clinical protocol benchmarking, and regulatory review.</w:t>
      </w:r>
    </w:p>
    <w:p>
      <w:pPr>
        <w:spacing w:before="0" w:after="120" w:line="276" w:lineRule="auto"/>
      </w:pPr>
      <w:r>
        <w:rPr>
          <w:rFonts w:ascii="Segoe UI" w:hAnsi="Segoe UI"/>
          <w:color w:val="334155"/>
          <w:sz w:val="20"/>
        </w:rPr>
        <w:t>Current automated literature search engines rely almost exclusively on naive keyword queries or traditional vector-only Retrieval-Augmented Generation (Vector RAG). While vector search excels at retrieving passages conceptually similar to a query, it fundamentally fails at enterprise biomedical evidence synthesis. Vector search silently drops relevant clinical trials due to arbitrary top-k limits, cannot resolve synonymous biomedical nomenclature, fails at multi-hop drug-class hierarchies, and lacks the structural rigor required to produce verifiable, audit-ready clinical evidence tables.</w:t>
      </w:r>
    </w:p>
    <w:tbl>
      <w:tblPr>
        <w:tblW w:type="auto" w:w="0"/>
        <w:jc w:val="center"/>
        <w:tblLook w:firstColumn="1" w:firstRow="1" w:lastColumn="0" w:lastRow="0" w:noHBand="0" w:noVBand="1" w:val="04A0"/>
      </w:tblPr>
      <w:tblGrid>
        <w:gridCol w:w="9360"/>
      </w:tblGrid>
      <w:tr>
        <w:tc>
          <w:tcPr>
            <w:tcW w:type="dxa" w:w="9360"/>
            <w:shd w:fill="F0F9FF"/>
            <w:tcMar>
              <w:top w:w="140" w:type="dxa"/>
              <w:bottom w:w="140" w:type="dxa"/>
              <w:left w:w="180" w:type="dxa"/>
              <w:right w:w="160" w:type="dxa"/>
            </w:tcMar>
            <w:tcBorders>
              <w:left w:val="single" w:sz="36" w:space="0" w:color="1D4ED8"/>
              <w:top w:val="none"/>
              <w:bottom w:val="none"/>
              <w:right w:val="none"/>
            </w:tcBorders>
          </w:tcPr>
          <w:p>
            <w:pPr>
              <w:spacing w:before="0" w:after="80"/>
            </w:pPr>
            <w:r>
              <w:rPr>
                <w:rFonts w:ascii="Segoe UI" w:hAnsi="Segoe UI"/>
                <w:b/>
                <w:color w:val="1D4ED8"/>
                <w:sz w:val="21"/>
              </w:rPr>
              <w:t>📌 Core Architectural Insight</w:t>
              <w:br/>
            </w:r>
            <w:r>
              <w:rPr>
                <w:rFonts w:ascii="Segoe UI" w:hAnsi="Segoe UI"/>
                <w:color w:val="1E293B"/>
                <w:sz w:val="19"/>
              </w:rPr>
              <w:t>In this platform, Named Entity Recognition (NER) and PICO (Population, Intervention, Comparator, Outcome) extraction are NOT standalone post-processing tools. They constitute the primary extraction layer that builds the knowledge graph. A single structured extraction pass over raw PubMed literature constructs a normalized, unified biomedical knowledge graph that simultaneously powers multi-document clinical chat, ontology browsing, structured trial grids, and dynamic graph exploration.</w:t>
            </w:r>
          </w:p>
        </w:tc>
      </w:tr>
    </w:tbl>
    <w:p>
      <w:pPr>
        <w:spacing w:after="80"/>
      </w:pPr>
    </w:p>
    <w:p>
      <w:pPr>
        <w:spacing w:before="0" w:after="120" w:line="276" w:lineRule="auto"/>
      </w:pPr>
      <w:r>
        <w:rPr>
          <w:rFonts w:ascii="Segoe UI" w:hAnsi="Segoe UI"/>
          <w:color w:val="334155"/>
          <w:sz w:val="20"/>
        </w:rPr>
        <w:t>The GraphRAG Literature Platform solves these foundational limitations through an autonomous, multi-agent AI architecture that integrates:</w:t>
      </w:r>
    </w:p>
    <w:p>
      <w:pPr>
        <w:pStyle w:val="ListBullet"/>
        <w:spacing w:before="0" w:after="60" w:line="276" w:lineRule="auto"/>
      </w:pPr>
      <w:r>
        <w:rPr>
          <w:rFonts w:ascii="Segoe UI" w:hAnsi="Segoe UI"/>
          <w:b/>
          <w:color w:val="0F172A"/>
          <w:sz w:val="20"/>
        </w:rPr>
        <w:t>1. 'Ingest to Graph' Pipeline:</w:t>
      </w:r>
      <w:r>
        <w:rPr>
          <w:rFonts w:ascii="Segoe UI" w:hAnsi="Segoe UI"/>
          <w:color w:val="334155"/>
          <w:sz w:val="20"/>
        </w:rPr>
        <w:t xml:space="preserve"> automated retrieval of clinical trials, open-access full text, and structured section parsing.</w:t>
      </w:r>
    </w:p>
    <w:p>
      <w:pPr>
        <w:pStyle w:val="ListBullet"/>
        <w:spacing w:before="0" w:after="60" w:line="276" w:lineRule="auto"/>
      </w:pPr>
      <w:r>
        <w:rPr>
          <w:rFonts w:ascii="Segoe UI" w:hAnsi="Segoe UI"/>
          <w:b/>
          <w:color w:val="0F172A"/>
          <w:sz w:val="20"/>
        </w:rPr>
        <w:t>2. Multi-Document Clinical Chat &amp; Synthesis:</w:t>
      </w:r>
      <w:r>
        <w:rPr>
          <w:rFonts w:ascii="Segoe UI" w:hAnsi="Segoe UI"/>
          <w:color w:val="334155"/>
          <w:sz w:val="20"/>
        </w:rPr>
        <w:t xml:space="preserve"> hybrid routing over graph traversals, aggregation, community summaries, and vector ranking with tri-view output.</w:t>
      </w:r>
    </w:p>
    <w:p>
      <w:pPr>
        <w:pStyle w:val="ListBullet"/>
        <w:spacing w:before="0" w:after="60" w:line="276" w:lineRule="auto"/>
      </w:pPr>
      <w:r>
        <w:rPr>
          <w:rFonts w:ascii="Segoe UI" w:hAnsi="Segoe UI"/>
          <w:b/>
          <w:color w:val="0F172A"/>
          <w:sz w:val="20"/>
        </w:rPr>
        <w:t>3. Biomedical NER &amp; Concept Explorer:</w:t>
      </w:r>
      <w:r>
        <w:rPr>
          <w:rFonts w:ascii="Segoe UI" w:hAnsi="Segoe UI"/>
          <w:color w:val="334155"/>
          <w:sz w:val="20"/>
        </w:rPr>
        <w:t xml:space="preserve"> mapping synonymous medical terms to standard UMLS CUIs, MeSH IDs, and RxNorm codes with co-occurrence networks.</w:t>
      </w:r>
    </w:p>
    <w:p>
      <w:pPr>
        <w:pStyle w:val="ListBullet"/>
        <w:spacing w:before="0" w:after="60" w:line="276" w:lineRule="auto"/>
      </w:pPr>
      <w:r>
        <w:rPr>
          <w:rFonts w:ascii="Segoe UI" w:hAnsi="Segoe UI"/>
          <w:b/>
          <w:color w:val="0F172A"/>
          <w:sz w:val="20"/>
        </w:rPr>
        <w:t>4. Structured PICO Evidence Matrix:</w:t>
      </w:r>
      <w:r>
        <w:rPr>
          <w:rFonts w:ascii="Segoe UI" w:hAnsi="Segoe UI"/>
          <w:color w:val="334155"/>
          <w:sz w:val="20"/>
        </w:rPr>
        <w:t xml:space="preserve"> schema-constrained extraction of Population, Intervention, Comparator, and Outcomes with 100% verbatim sentence provenance.</w:t>
      </w:r>
    </w:p>
    <w:p>
      <w:pPr>
        <w:pStyle w:val="ListBullet"/>
        <w:spacing w:before="0" w:after="60" w:line="276" w:lineRule="auto"/>
      </w:pPr>
      <w:r>
        <w:rPr>
          <w:rFonts w:ascii="Segoe UI" w:hAnsi="Segoe UI"/>
          <w:b/>
          <w:color w:val="0F172A"/>
          <w:sz w:val="20"/>
        </w:rPr>
        <w:t>5. Interactive Knowledge Graph Explorer:</w:t>
      </w:r>
      <w:r>
        <w:rPr>
          <w:rFonts w:ascii="Segoe UI" w:hAnsi="Segoe UI"/>
          <w:color w:val="334155"/>
          <w:sz w:val="20"/>
        </w:rPr>
        <w:t xml:space="preserve"> live force-directed 2D/3D visualization of multi-hop clinical relations across trials, drug classes, and indications.</w:t>
      </w:r>
    </w:p>
    <w:p>
      <w:pPr>
        <w:pStyle w:val="Heading1"/>
        <w:keepNext/>
        <w:spacing w:before="400" w:after="160"/>
      </w:pPr>
      <w:r>
        <w:rPr>
          <w:rFonts w:ascii="Segoe UI" w:hAnsi="Segoe UI"/>
          <w:b/>
          <w:color w:val="0F172A"/>
          <w:sz w:val="33"/>
        </w:rPr>
        <w:t>2. Clinical Problem Statement &amp; Why Vector-Only RAG Fails</w:t>
      </w:r>
    </w:p>
    <w:p>
      <w:pPr>
        <w:spacing w:before="0" w:after="120" w:line="276" w:lineRule="auto"/>
      </w:pPr>
      <w:r>
        <w:rPr>
          <w:rFonts w:ascii="Segoe UI" w:hAnsi="Segoe UI"/>
          <w:color w:val="334155"/>
          <w:sz w:val="20"/>
        </w:rPr>
        <w:t>Traditional Vector RAG operates by chunking documents into arbitrary token windows (e.g. 500 tokens), generating dense vector embeddings, and retrieving the top-k nearest chunks using cosine similarity. In clinical literature synthesis, this paradigm exhibits catastrophic failure modes: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2592"/>
            <w:shd w:fill="0F172A"/>
            <w:tcMar>
              <w:top w:w="100" w:type="dxa"/>
              <w:bottom w:w="100" w:type="dxa"/>
              <w:left w:w="140" w:type="dxa"/>
              <w:right w:w="140" w:type="dxa"/>
            </w:tcMar>
          </w:tcPr>
          <w:p>
            <w:pPr>
              <w:spacing w:before="0" w:after="0"/>
              <w:jc w:val="left"/>
            </w:pPr>
            <w:r>
              <w:rPr>
                <w:rFonts w:ascii="Segoe UI" w:hAnsi="Segoe UI"/>
                <w:b/>
                <w:color w:val="FFFFFF"/>
                <w:sz w:val="19"/>
              </w:rPr>
              <w:t>Vector RAG Limitation</w:t>
            </w:r>
          </w:p>
        </w:tc>
        <w:tc>
          <w:tcPr>
            <w:tcW w:type="dxa" w:w="3456"/>
            <w:shd w:fill="0F172A"/>
            <w:tcMar>
              <w:top w:w="100" w:type="dxa"/>
              <w:bottom w:w="100" w:type="dxa"/>
              <w:left w:w="140" w:type="dxa"/>
              <w:right w:w="140" w:type="dxa"/>
            </w:tcMar>
          </w:tcPr>
          <w:p>
            <w:pPr>
              <w:spacing w:before="0" w:after="0"/>
              <w:jc w:val="left"/>
            </w:pPr>
            <w:r>
              <w:rPr>
                <w:rFonts w:ascii="Segoe UI" w:hAnsi="Segoe UI"/>
                <w:b/>
                <w:color w:val="FFFFFF"/>
                <w:sz w:val="19"/>
              </w:rPr>
              <w:t>Real-World Clinical Impact</w:t>
            </w:r>
          </w:p>
        </w:tc>
        <w:tc>
          <w:tcPr>
            <w:tcW w:type="dxa" w:w="3312"/>
            <w:shd w:fill="0F172A"/>
            <w:tcMar>
              <w:top w:w="100" w:type="dxa"/>
              <w:bottom w:w="100" w:type="dxa"/>
              <w:left w:w="140" w:type="dxa"/>
              <w:right w:w="140" w:type="dxa"/>
            </w:tcMar>
          </w:tcPr>
          <w:p>
            <w:pPr>
              <w:spacing w:before="0" w:after="0"/>
              <w:jc w:val="left"/>
            </w:pPr>
            <w:r>
              <w:rPr>
                <w:rFonts w:ascii="Segoe UI" w:hAnsi="Segoe UI"/>
                <w:b/>
                <w:color w:val="FFFFFF"/>
                <w:sz w:val="19"/>
              </w:rPr>
              <w:t>GraphRAG Solution</w:t>
            </w:r>
          </w:p>
        </w:tc>
      </w:tr>
      <w:tr>
        <w:tc>
          <w:tcPr>
            <w:tcW w:type="dxa" w:w="2592"/>
            <w:shd w:fill="FFFFFF"/>
            <w:tcMar>
              <w:top w:w="80" w:type="dxa"/>
              <w:bottom w:w="80" w:type="dxa"/>
              <w:left w:w="140" w:type="dxa"/>
              <w:right w:w="140" w:type="dxa"/>
            </w:tcMar>
          </w:tcPr>
          <w:p>
            <w:pPr>
              <w:spacing w:before="0" w:after="0" w:line="264" w:lineRule="auto"/>
            </w:pPr>
            <w:r>
              <w:rPr>
                <w:rFonts w:ascii="Segoe UI" w:hAnsi="Segoe UI"/>
                <w:color w:val="1E293B"/>
                <w:sz w:val="18"/>
              </w:rPr>
              <w:t>Top-k Retrieval Truncation</w:t>
            </w:r>
          </w:p>
        </w:tc>
        <w:tc>
          <w:tcPr>
            <w:tcW w:type="dxa" w:w="3456"/>
            <w:shd w:fill="FFFFFF"/>
            <w:tcMar>
              <w:top w:w="80" w:type="dxa"/>
              <w:bottom w:w="80" w:type="dxa"/>
              <w:left w:w="140" w:type="dxa"/>
              <w:right w:w="140" w:type="dxa"/>
            </w:tcMar>
          </w:tcPr>
          <w:p>
            <w:pPr>
              <w:spacing w:before="0" w:after="0" w:line="264" w:lineRule="auto"/>
            </w:pPr>
            <w:r>
              <w:rPr>
                <w:rFonts w:ascii="Segoe UI" w:hAnsi="Segoe UI"/>
                <w:color w:val="1E293B"/>
                <w:sz w:val="18"/>
              </w:rPr>
              <w:t>If 40 clinical trials study a drug class and k=8, 80% of clinical evidence is silently dropped.</w:t>
            </w:r>
          </w:p>
        </w:tc>
        <w:tc>
          <w:tcPr>
            <w:tcW w:type="dxa" w:w="3312"/>
            <w:shd w:fill="FFFFFF"/>
            <w:tcMar>
              <w:top w:w="80" w:type="dxa"/>
              <w:bottom w:w="80" w:type="dxa"/>
              <w:left w:w="140" w:type="dxa"/>
              <w:right w:w="140" w:type="dxa"/>
            </w:tcMar>
          </w:tcPr>
          <w:p>
            <w:pPr>
              <w:spacing w:before="0" w:after="0" w:line="264" w:lineRule="auto"/>
            </w:pPr>
            <w:r>
              <w:rPr>
                <w:rFonts w:ascii="Segoe UI" w:hAnsi="Segoe UI"/>
                <w:color w:val="1E293B"/>
                <w:sz w:val="18"/>
              </w:rPr>
              <w:t>Graph Traversal: Retrieves 100% of studies connected to a drug class node.</w:t>
            </w:r>
          </w:p>
        </w:tc>
      </w:tr>
      <w:tr>
        <w:tc>
          <w:tcPr>
            <w:tcW w:type="dxa" w:w="2592"/>
            <w:shd w:fill="F8FAFC"/>
            <w:tcMar>
              <w:top w:w="80" w:type="dxa"/>
              <w:bottom w:w="80" w:type="dxa"/>
              <w:left w:w="140" w:type="dxa"/>
              <w:right w:w="140" w:type="dxa"/>
            </w:tcMar>
          </w:tcPr>
          <w:p>
            <w:pPr>
              <w:spacing w:before="0" w:after="0" w:line="264" w:lineRule="auto"/>
            </w:pPr>
            <w:r>
              <w:rPr>
                <w:rFonts w:ascii="Segoe UI" w:hAnsi="Segoe UI"/>
                <w:color w:val="1E293B"/>
                <w:sz w:val="18"/>
              </w:rPr>
              <w:t>Similarity != Clinical Relevance</w:t>
            </w:r>
          </w:p>
        </w:tc>
        <w:tc>
          <w:tcPr>
            <w:tcW w:type="dxa" w:w="3456"/>
            <w:shd w:fill="F8FAFC"/>
            <w:tcMar>
              <w:top w:w="80" w:type="dxa"/>
              <w:bottom w:w="80" w:type="dxa"/>
              <w:left w:w="140" w:type="dxa"/>
              <w:right w:w="140" w:type="dxa"/>
            </w:tcMar>
          </w:tcPr>
          <w:p>
            <w:pPr>
              <w:spacing w:before="0" w:after="0" w:line="264" w:lineRule="auto"/>
            </w:pPr>
            <w:r>
              <w:rPr>
                <w:rFonts w:ascii="Segoe UI" w:hAnsi="Segoe UI"/>
                <w:color w:val="1E293B"/>
                <w:sz w:val="18"/>
              </w:rPr>
              <w:t>Passing mentions in 'Discussion' rank higher than primary endpoint statistics in 'Results'.</w:t>
            </w:r>
          </w:p>
        </w:tc>
        <w:tc>
          <w:tcPr>
            <w:tcW w:type="dxa" w:w="3312"/>
            <w:shd w:fill="F8FAFC"/>
            <w:tcMar>
              <w:top w:w="80" w:type="dxa"/>
              <w:bottom w:w="80" w:type="dxa"/>
              <w:left w:w="140" w:type="dxa"/>
              <w:right w:w="140" w:type="dxa"/>
            </w:tcMar>
          </w:tcPr>
          <w:p>
            <w:pPr>
              <w:spacing w:before="0" w:after="0" w:line="264" w:lineRule="auto"/>
            </w:pPr>
            <w:r>
              <w:rPr>
                <w:rFonts w:ascii="Segoe UI" w:hAnsi="Segoe UI"/>
                <w:color w:val="1E293B"/>
                <w:sz w:val="18"/>
              </w:rPr>
              <w:t>Section-Aware Graph: Weights Results tables, primary endpoints, and PICO entities.</w:t>
            </w:r>
          </w:p>
        </w:tc>
      </w:tr>
      <w:tr>
        <w:tc>
          <w:tcPr>
            <w:tcW w:type="dxa" w:w="2592"/>
            <w:shd w:fill="FFFFFF"/>
            <w:tcMar>
              <w:top w:w="80" w:type="dxa"/>
              <w:bottom w:w="80" w:type="dxa"/>
              <w:left w:w="140" w:type="dxa"/>
              <w:right w:w="140" w:type="dxa"/>
            </w:tcMar>
          </w:tcPr>
          <w:p>
            <w:pPr>
              <w:spacing w:before="0" w:after="0" w:line="264" w:lineRule="auto"/>
            </w:pPr>
            <w:r>
              <w:rPr>
                <w:rFonts w:ascii="Segoe UI" w:hAnsi="Segoe UI"/>
                <w:color w:val="1E293B"/>
                <w:sz w:val="18"/>
              </w:rPr>
              <w:t>No Entity Identity (Synonyms)</w:t>
            </w:r>
          </w:p>
        </w:tc>
        <w:tc>
          <w:tcPr>
            <w:tcW w:type="dxa" w:w="3456"/>
            <w:shd w:fill="FFFFFF"/>
            <w:tcMar>
              <w:top w:w="80" w:type="dxa"/>
              <w:bottom w:w="80" w:type="dxa"/>
              <w:left w:w="140" w:type="dxa"/>
              <w:right w:w="140" w:type="dxa"/>
            </w:tcMar>
          </w:tcPr>
          <w:p>
            <w:pPr>
              <w:spacing w:before="0" w:after="0" w:line="264" w:lineRule="auto"/>
            </w:pPr>
            <w:r>
              <w:rPr>
                <w:rFonts w:ascii="Segoe UI" w:hAnsi="Segoe UI"/>
                <w:color w:val="1E293B"/>
                <w:sz w:val="18"/>
              </w:rPr>
              <w:t>'T2DM', 'type 2 diabetes', and 'NIDDM' are embedded as distinct vector points.</w:t>
            </w:r>
          </w:p>
        </w:tc>
        <w:tc>
          <w:tcPr>
            <w:tcW w:type="dxa" w:w="3312"/>
            <w:shd w:fill="FFFFFF"/>
            <w:tcMar>
              <w:top w:w="80" w:type="dxa"/>
              <w:bottom w:w="80" w:type="dxa"/>
              <w:left w:w="140" w:type="dxa"/>
              <w:right w:w="140" w:type="dxa"/>
            </w:tcMar>
          </w:tcPr>
          <w:p>
            <w:pPr>
              <w:spacing w:before="0" w:after="0" w:line="264" w:lineRule="auto"/>
            </w:pPr>
            <w:r>
              <w:rPr>
                <w:rFonts w:ascii="Segoe UI" w:hAnsi="Segoe UI"/>
                <w:color w:val="1E293B"/>
                <w:sz w:val="18"/>
              </w:rPr>
              <w:t>Ontology Normalization: Maps all variants to UMLS CUI C0011860.</w:t>
            </w:r>
          </w:p>
        </w:tc>
      </w:tr>
      <w:tr>
        <w:tc>
          <w:tcPr>
            <w:tcW w:type="dxa" w:w="2592"/>
            <w:shd w:fill="F8FAFC"/>
            <w:tcMar>
              <w:top w:w="80" w:type="dxa"/>
              <w:bottom w:w="80" w:type="dxa"/>
              <w:left w:w="140" w:type="dxa"/>
              <w:right w:w="140" w:type="dxa"/>
            </w:tcMar>
          </w:tcPr>
          <w:p>
            <w:pPr>
              <w:spacing w:before="0" w:after="0" w:line="264" w:lineRule="auto"/>
            </w:pPr>
            <w:r>
              <w:rPr>
                <w:rFonts w:ascii="Segoe UI" w:hAnsi="Segoe UI"/>
                <w:color w:val="1E293B"/>
                <w:sz w:val="18"/>
              </w:rPr>
              <w:t>Absence of Cross-Study Relations</w:t>
            </w:r>
          </w:p>
        </w:tc>
        <w:tc>
          <w:tcPr>
            <w:tcW w:type="dxa" w:w="3456"/>
            <w:shd w:fill="F8FAFC"/>
            <w:tcMar>
              <w:top w:w="80" w:type="dxa"/>
              <w:bottom w:w="80" w:type="dxa"/>
              <w:left w:w="140" w:type="dxa"/>
              <w:right w:w="140" w:type="dxa"/>
            </w:tcMar>
          </w:tcPr>
          <w:p>
            <w:pPr>
              <w:spacing w:before="0" w:after="0" w:line="264" w:lineRule="auto"/>
            </w:pPr>
            <w:r>
              <w:rPr>
                <w:rFonts w:ascii="Segoe UI" w:hAnsi="Segoe UI"/>
                <w:color w:val="1E293B"/>
                <w:sz w:val="18"/>
              </w:rPr>
              <w:t>Cannot identify that two different trials studied the exact same comparator or drug class.</w:t>
            </w:r>
          </w:p>
        </w:tc>
        <w:tc>
          <w:tcPr>
            <w:tcW w:type="dxa" w:w="3312"/>
            <w:shd w:fill="F8FAFC"/>
            <w:tcMar>
              <w:top w:w="80" w:type="dxa"/>
              <w:bottom w:w="80" w:type="dxa"/>
              <w:left w:w="140" w:type="dxa"/>
              <w:right w:w="140" w:type="dxa"/>
            </w:tcMar>
          </w:tcPr>
          <w:p>
            <w:pPr>
              <w:spacing w:before="0" w:after="0" w:line="264" w:lineRule="auto"/>
            </w:pPr>
            <w:r>
              <w:rPr>
                <w:rFonts w:ascii="Segoe UI" w:hAnsi="Segoe UI"/>
                <w:color w:val="1E293B"/>
                <w:sz w:val="18"/>
              </w:rPr>
              <w:t>Graph Edges: Explicit 'IS_A' and 'COMPARES_TO' relationships connect trials.</w:t>
            </w:r>
          </w:p>
        </w:tc>
      </w:tr>
      <w:tr>
        <w:tc>
          <w:tcPr>
            <w:tcW w:type="dxa" w:w="2592"/>
            <w:shd w:fill="FFFFFF"/>
            <w:tcMar>
              <w:top w:w="80" w:type="dxa"/>
              <w:bottom w:w="80" w:type="dxa"/>
              <w:left w:w="140" w:type="dxa"/>
              <w:right w:w="140" w:type="dxa"/>
            </w:tcMar>
          </w:tcPr>
          <w:p>
            <w:pPr>
              <w:spacing w:before="0" w:after="0" w:line="264" w:lineRule="auto"/>
            </w:pPr>
            <w:r>
              <w:rPr>
                <w:rFonts w:ascii="Segoe UI" w:hAnsi="Segoe UI"/>
                <w:color w:val="1E293B"/>
                <w:sz w:val="18"/>
              </w:rPr>
              <w:t>Inability to Aggregate &amp; Count</w:t>
            </w:r>
          </w:p>
        </w:tc>
        <w:tc>
          <w:tcPr>
            <w:tcW w:type="dxa" w:w="3456"/>
            <w:shd w:fill="FFFFFF"/>
            <w:tcMar>
              <w:top w:w="80" w:type="dxa"/>
              <w:bottom w:w="80" w:type="dxa"/>
              <w:left w:w="140" w:type="dxa"/>
              <w:right w:w="140" w:type="dxa"/>
            </w:tcMar>
          </w:tcPr>
          <w:p>
            <w:pPr>
              <w:spacing w:before="0" w:after="0" w:line="264" w:lineRule="auto"/>
            </w:pPr>
            <w:r>
              <w:rPr>
                <w:rFonts w:ascii="Segoe UI" w:hAnsi="Segoe UI"/>
                <w:color w:val="1E293B"/>
                <w:sz w:val="18"/>
              </w:rPr>
              <w:t>Questions like 'How many RCTs reported eGFR decline?' produce fabricated counts.</w:t>
            </w:r>
          </w:p>
        </w:tc>
        <w:tc>
          <w:tcPr>
            <w:tcW w:type="dxa" w:w="3312"/>
            <w:shd w:fill="FFFFFF"/>
            <w:tcMar>
              <w:top w:w="80" w:type="dxa"/>
              <w:bottom w:w="80" w:type="dxa"/>
              <w:left w:w="140" w:type="dxa"/>
              <w:right w:w="140" w:type="dxa"/>
            </w:tcMar>
          </w:tcPr>
          <w:p>
            <w:pPr>
              <w:spacing w:before="0" w:after="0" w:line="264" w:lineRule="auto"/>
            </w:pPr>
            <w:r>
              <w:rPr>
                <w:rFonts w:ascii="Segoe UI" w:hAnsi="Segoe UI"/>
                <w:color w:val="1E293B"/>
                <w:sz w:val="18"/>
              </w:rPr>
              <w:t>Deterministic Cypher/Graph Queries: Native COUNT, GROUP BY, and statistical ranges.</w:t>
            </w:r>
          </w:p>
        </w:tc>
      </w:tr>
      <w:tr>
        <w:tc>
          <w:tcPr>
            <w:tcW w:type="dxa" w:w="2592"/>
            <w:shd w:fill="F8FAFC"/>
            <w:tcMar>
              <w:top w:w="80" w:type="dxa"/>
              <w:bottom w:w="80" w:type="dxa"/>
              <w:left w:w="140" w:type="dxa"/>
              <w:right w:w="140" w:type="dxa"/>
            </w:tcMar>
          </w:tcPr>
          <w:p>
            <w:pPr>
              <w:spacing w:before="0" w:after="0" w:line="264" w:lineRule="auto"/>
            </w:pPr>
            <w:r>
              <w:rPr>
                <w:rFonts w:ascii="Segoe UI" w:hAnsi="Segoe UI"/>
                <w:color w:val="1E293B"/>
                <w:sz w:val="18"/>
              </w:rPr>
              <w:t>Failure on Global Thematic Queries</w:t>
            </w:r>
          </w:p>
        </w:tc>
        <w:tc>
          <w:tcPr>
            <w:tcW w:type="dxa" w:w="3456"/>
            <w:shd w:fill="F8FAFC"/>
            <w:tcMar>
              <w:top w:w="80" w:type="dxa"/>
              <w:bottom w:w="80" w:type="dxa"/>
              <w:left w:w="140" w:type="dxa"/>
              <w:right w:w="140" w:type="dxa"/>
            </w:tcMar>
          </w:tcPr>
          <w:p>
            <w:pPr>
              <w:spacing w:before="0" w:after="0" w:line="264" w:lineRule="auto"/>
            </w:pPr>
            <w:r>
              <w:rPr>
                <w:rFonts w:ascii="Segoe UI" w:hAnsi="Segoe UI"/>
                <w:color w:val="1E293B"/>
                <w:sz w:val="18"/>
              </w:rPr>
              <w:t>Broad questions like 'What are the main therapeutic themes?' fail without single answering chunks.</w:t>
            </w:r>
          </w:p>
        </w:tc>
        <w:tc>
          <w:tcPr>
            <w:tcW w:type="dxa" w:w="3312"/>
            <w:shd w:fill="F8FAFC"/>
            <w:tcMar>
              <w:top w:w="80" w:type="dxa"/>
              <w:bottom w:w="80" w:type="dxa"/>
              <w:left w:w="140" w:type="dxa"/>
              <w:right w:w="140" w:type="dxa"/>
            </w:tcMar>
          </w:tcPr>
          <w:p>
            <w:pPr>
              <w:spacing w:before="0" w:after="0" w:line="264" w:lineRule="auto"/>
            </w:pPr>
            <w:r>
              <w:rPr>
                <w:rFonts w:ascii="Segoe UI" w:hAnsi="Segoe UI"/>
                <w:color w:val="1E293B"/>
                <w:sz w:val="18"/>
              </w:rPr>
              <w:t>Community Summaries: Hierarchical Leiden clustering provides global corpus synthesis.</w:t>
            </w:r>
          </w:p>
        </w:tc>
      </w:tr>
    </w:tbl>
    <w:p>
      <w:pPr>
        <w:spacing w:after="120"/>
      </w:pPr>
    </w:p>
    <w:p>
      <w:pPr>
        <w:pStyle w:val="Heading2"/>
        <w:keepNext/>
        <w:spacing w:before="280" w:after="120"/>
      </w:pPr>
      <w:r>
        <w:rPr>
          <w:rFonts w:ascii="Segoe UI" w:hAnsi="Segoe UI"/>
          <w:b/>
          <w:color w:val="1D4ED8"/>
          <w:sz w:val="26"/>
        </w:rPr>
        <w:t>Real-World Failure Scenario: SGLT2 Inhibitors in Chronic Kidney Disease</w:t>
      </w:r>
    </w:p>
    <w:p>
      <w:pPr>
        <w:spacing w:before="0" w:after="120" w:line="276" w:lineRule="auto"/>
      </w:pPr>
      <w:r>
        <w:rPr>
          <w:rFonts w:ascii="Segoe UI" w:hAnsi="Segoe UI"/>
          <w:color w:val="334155"/>
          <w:sz w:val="20"/>
        </w:rPr>
        <w:t>Consider a clinical scientist asking: 'Which SGLT2 inhibitor trials reported kidney disease progression in CKD patients?'</w:t>
      </w:r>
    </w:p>
    <w:p>
      <w:pPr>
        <w:pStyle w:val="ListBullet"/>
        <w:spacing w:before="0" w:after="60" w:line="276" w:lineRule="auto"/>
      </w:pPr>
      <w:r>
        <w:rPr>
          <w:rFonts w:ascii="Segoe UI" w:hAnsi="Segoe UI"/>
          <w:b/>
          <w:color w:val="0F172A"/>
          <w:sz w:val="20"/>
        </w:rPr>
        <w:t>Vector RAG Execution:</w:t>
      </w:r>
      <w:r>
        <w:rPr>
          <w:rFonts w:ascii="Segoe UI" w:hAnsi="Segoe UI"/>
          <w:color w:val="334155"/>
          <w:sz w:val="20"/>
        </w:rPr>
        <w:t xml:space="preserve"> retrieves 8 chunks mentioning 'SGLT2' and 'kidney disease'. It might capture chunks from the EMPA-KIDNEY trial and a review paper, but completely omits the DAPA-CKD and CREDENCE trials because their abstract phrasing had lower cosine similarity. Furthermore, it cannot discern whether empagliflozin, dapagliflozin, and canagliflozin belong to the same pharmacologic class.</w:t>
      </w:r>
    </w:p>
    <w:p>
      <w:pPr>
        <w:pStyle w:val="ListBullet"/>
        <w:spacing w:before="0" w:after="60" w:line="276" w:lineRule="auto"/>
      </w:pPr>
      <w:r>
        <w:rPr>
          <w:rFonts w:ascii="Segoe UI" w:hAnsi="Segoe UI"/>
          <w:b/>
          <w:color w:val="0F172A"/>
          <w:sz w:val="20"/>
        </w:rPr>
        <w:t>GraphRAG Execution:</w:t>
      </w:r>
      <w:r>
        <w:rPr>
          <w:rFonts w:ascii="Segoe UI" w:hAnsi="Segoe UI"/>
          <w:color w:val="334155"/>
          <w:sz w:val="20"/>
        </w:rPr>
        <w:t xml:space="preserve"> parses the user intent to DrugClass('SGLT2 inhibitors') and Condition('Chronic Kidney Disease'). It traverses the ontology graph: DrugClass &lt;-[:IS_A]- Drug &lt;-[:IS_DRUG]- Intervention &lt;-[:STUDIES]- Article -[:REPORTS]-&gt; Outcome. It extracts every matching trial (EMPA-KIDNEY [PMID 36331190], DAPA-CKD [PMID 32970396], CREDENCE [PMID 30990260]), ranks passages only within this verified subset, and outputs a complete comparative evidence table.</w:t>
      </w:r>
    </w:p>
    <w:p>
      <w:pPr>
        <w:pStyle w:val="Heading1"/>
        <w:keepNext/>
        <w:spacing w:before="400" w:after="160"/>
      </w:pPr>
      <w:r>
        <w:rPr>
          <w:rFonts w:ascii="Segoe UI" w:hAnsi="Segoe UI"/>
          <w:b/>
          <w:color w:val="0F172A"/>
          <w:sz w:val="33"/>
        </w:rPr>
        <w:t>3. Reliable, Explainable &amp; Scalable Agentic AI Architecture</w:t>
      </w:r>
    </w:p>
    <w:p>
      <w:pPr>
        <w:spacing w:before="0" w:after="120" w:line="276" w:lineRule="auto"/>
      </w:pPr>
      <w:r>
        <w:rPr>
          <w:rFonts w:ascii="Segoe UI" w:hAnsi="Segoe UI"/>
          <w:color w:val="334155"/>
          <w:sz w:val="20"/>
        </w:rPr>
        <w:t>Clinical research and pharmaceutical decision-making demand absolute precision. The GraphRAG platform discards monolithic generative pipelines in favor of a modular, multi-agent architecture built upon the Agentic Triad.</w:t>
      </w:r>
    </w:p>
    <w:p>
      <w:pPr>
        <w:pStyle w:val="Heading2"/>
        <w:keepNext/>
        <w:spacing w:before="280" w:after="120"/>
      </w:pPr>
      <w:r>
        <w:rPr>
          <w:rFonts w:ascii="Segoe UI" w:hAnsi="Segoe UI"/>
          <w:b/>
          <w:color w:val="1D4ED8"/>
          <w:sz w:val="26"/>
        </w:rPr>
        <w:t>3.1 The Triadic Foundational Principles</w:t>
      </w:r>
    </w:p>
    <w:tbl>
      <w:tblPr>
        <w:tblW w:type="auto" w:w="0"/>
        <w:jc w:val="center"/>
        <w:tblLook w:firstColumn="1" w:firstRow="1" w:lastColumn="0" w:lastRow="0" w:noHBand="0" w:noVBand="1" w:val="04A0"/>
      </w:tblPr>
      <w:tblGrid>
        <w:gridCol w:w="9360"/>
      </w:tblGrid>
      <w:tr>
        <w:tc>
          <w:tcPr>
            <w:tcW w:type="dxa" w:w="9360"/>
            <w:shd w:fill="F0F9FF"/>
            <w:tcMar>
              <w:top w:w="140" w:type="dxa"/>
              <w:bottom w:w="140" w:type="dxa"/>
              <w:left w:w="180" w:type="dxa"/>
              <w:right w:w="160" w:type="dxa"/>
            </w:tcMar>
            <w:tcBorders>
              <w:left w:val="single" w:sz="36" w:space="0" w:color="1D4ED8"/>
              <w:top w:val="none"/>
              <w:bottom w:val="none"/>
              <w:right w:val="none"/>
            </w:tcBorders>
          </w:tcPr>
          <w:p>
            <w:pPr>
              <w:spacing w:before="0" w:after="80"/>
            </w:pPr>
            <w:r>
              <w:rPr>
                <w:rFonts w:ascii="Segoe UI" w:hAnsi="Segoe UI"/>
                <w:b/>
                <w:color w:val="1D4ED8"/>
                <w:sz w:val="21"/>
              </w:rPr>
              <w:t>📌 The Agentic Triad: Reliability, Explainability, Scalability</w:t>
              <w:br/>
            </w:r>
            <w:r>
              <w:rPr>
                <w:rFonts w:ascii="Segoe UI" w:hAnsi="Segoe UI"/>
                <w:color w:val="1E293B"/>
                <w:sz w:val="19"/>
              </w:rPr>
              <w:t>1. RELIABILITY (Zero-Hallucination Guard): Clinical parameters, statistical hazard ratios, and node relationships cannot rely on LLM memory. Every extracted datum must be accompanied by a verbatim source sentence verified through automated string-containment audits before entering the knowledge graph.</w:t>
              <w:br/>
              <w:t>2. EXPLAINABILITY (Sentence-Level Provenance &amp; Audit Loops): Every cell in the PICO evidence matrix and every claim in multi-document chat answers carries clickable provenance linking directly to its source sentence and PubMed PMID. A downstream Natural Language Inference (NLI) audit verifies that generated claims are strictly entailed by cited passages.</w:t>
              <w:br/>
              <w:t>3. SCALABILITY (Decoupled Micro-Agents &amp; Async Execution): Autonomous micro-agents execute discrete processing stages asynchronously. Compute-heavy ingestion and ontology normalization scale horizontally on background worker pools without blocking interactive sub-second user queries.</w:t>
            </w:r>
          </w:p>
        </w:tc>
      </w:tr>
    </w:tbl>
    <w:p>
      <w:pPr>
        <w:spacing w:after="80"/>
      </w:pPr>
    </w:p>
    <w:p>
      <w:pPr>
        <w:pStyle w:val="Heading2"/>
        <w:keepNext/>
        <w:spacing w:before="280" w:after="120"/>
      </w:pPr>
      <w:r>
        <w:rPr>
          <w:rFonts w:ascii="Segoe UI" w:hAnsi="Segoe UI"/>
          <w:b/>
          <w:color w:val="1D4ED8"/>
          <w:sz w:val="26"/>
        </w:rPr>
        <w:t>3.2 Autonomous Micro-Agent Ecosystem</w:t>
      </w:r>
    </w:p>
    <w:p>
      <w:pPr>
        <w:spacing w:before="0" w:after="120" w:line="276" w:lineRule="auto"/>
      </w:pPr>
      <w:r>
        <w:rPr>
          <w:rFonts w:ascii="Segoe UI" w:hAnsi="Segoe UI"/>
          <w:color w:val="334155"/>
          <w:sz w:val="20"/>
        </w:rPr>
        <w:t>The architecture is orchestrated across five decoupled, specialized micro-agents, each possessing constrained responsibilities, isolated state, and rigorous validation boundaries:</w:t>
      </w:r>
    </w:p>
    <w:p>
      <w:pPr>
        <w:pStyle w:val="Heading3"/>
        <w:keepNext/>
        <w:spacing w:before="200" w:after="80"/>
      </w:pPr>
      <w:r>
        <w:rPr>
          <w:rFonts w:ascii="Segoe UI" w:hAnsi="Segoe UI"/>
          <w:b/>
          <w:color w:val="0284C7"/>
          <w:sz w:val="22"/>
        </w:rPr>
        <w:t>Agent 1: Ingestion &amp; Document Decomposition Agent</w:t>
      </w:r>
    </w:p>
    <w:p>
      <w:pPr>
        <w:pStyle w:val="ListBullet"/>
        <w:spacing w:before="0" w:after="60" w:line="276" w:lineRule="auto"/>
      </w:pPr>
      <w:r>
        <w:rPr>
          <w:rFonts w:ascii="Segoe UI" w:hAnsi="Segoe UI"/>
          <w:b/>
          <w:color w:val="0F172A"/>
          <w:sz w:val="20"/>
        </w:rPr>
        <w:t>Primary Role:</w:t>
      </w:r>
      <w:r>
        <w:rPr>
          <w:rFonts w:ascii="Segoe UI" w:hAnsi="Segoe UI"/>
          <w:color w:val="334155"/>
          <w:sz w:val="20"/>
        </w:rPr>
        <w:t xml:space="preserve"> Interfacing with NCBI PubMed E-Utilities, Europe PMC, and PMC Open Access repositories to ingest clinical trial metadata, structured abstracts, and full-text XML/PDFs.</w:t>
      </w:r>
    </w:p>
    <w:p>
      <w:pPr>
        <w:pStyle w:val="ListBullet"/>
        <w:spacing w:before="0" w:after="60" w:line="276" w:lineRule="auto"/>
      </w:pPr>
      <w:r>
        <w:rPr>
          <w:rFonts w:ascii="Segoe UI" w:hAnsi="Segoe UI"/>
          <w:b/>
          <w:color w:val="0F172A"/>
          <w:sz w:val="20"/>
        </w:rPr>
        <w:t>Inputs:</w:t>
      </w:r>
      <w:r>
        <w:rPr>
          <w:rFonts w:ascii="Segoe UI" w:hAnsi="Segoe UI"/>
          <w:color w:val="334155"/>
          <w:sz w:val="20"/>
        </w:rPr>
        <w:t xml:space="preserve"> Natural language queries, PubMed query strings, or explicit lists of PMIDs/DOIs.</w:t>
      </w:r>
    </w:p>
    <w:p>
      <w:pPr>
        <w:pStyle w:val="ListBullet"/>
        <w:spacing w:before="0" w:after="60" w:line="276" w:lineRule="auto"/>
      </w:pPr>
      <w:r>
        <w:rPr>
          <w:rFonts w:ascii="Segoe UI" w:hAnsi="Segoe UI"/>
          <w:b/>
          <w:color w:val="0F172A"/>
          <w:sz w:val="20"/>
        </w:rPr>
        <w:t>Processing Logic:</w:t>
      </w:r>
      <w:r>
        <w:rPr>
          <w:rFonts w:ascii="Segoe UI" w:hAnsi="Segoe UI"/>
          <w:color w:val="334155"/>
          <w:sz w:val="20"/>
        </w:rPr>
        <w:t xml:space="preserve"> It parses XML documents into discrete semantic sections: Title, Abstract, Background, Methods, Results, Discussion, and Tables. It executes section-aware chunking (300 to 600 tokens) while preserving clinical structural tags. Unlike naive token chunkers that splice text across semantic boundaries, this agent guarantees that primary outcome tables and trial endpoints remain intact.</w:t>
      </w:r>
    </w:p>
    <w:p>
      <w:pPr>
        <w:pStyle w:val="ListBullet"/>
        <w:spacing w:before="0" w:after="60" w:line="276" w:lineRule="auto"/>
      </w:pPr>
      <w:r>
        <w:rPr>
          <w:rFonts w:ascii="Segoe UI" w:hAnsi="Segoe UI"/>
          <w:b/>
          <w:color w:val="0F172A"/>
          <w:sz w:val="20"/>
        </w:rPr>
        <w:t>Outputs:</w:t>
      </w:r>
      <w:r>
        <w:rPr>
          <w:rFonts w:ascii="Segoe UI" w:hAnsi="Segoe UI"/>
          <w:color w:val="334155"/>
          <w:sz w:val="20"/>
        </w:rPr>
        <w:t xml:space="preserve"> Section-tagged passage chunks, publication metadata (journal, publication year, study design), and normalized document manifests.</w:t>
      </w:r>
    </w:p>
    <w:p>
      <w:pPr>
        <w:pStyle w:val="ListBullet"/>
        <w:spacing w:before="0" w:after="60" w:line="276" w:lineRule="auto"/>
      </w:pPr>
      <w:r>
        <w:rPr>
          <w:rFonts w:ascii="Segoe UI" w:hAnsi="Segoe UI"/>
          <w:b/>
          <w:color w:val="0F172A"/>
          <w:sz w:val="20"/>
        </w:rPr>
        <w:t>Failure Recovery:</w:t>
      </w:r>
      <w:r>
        <w:rPr>
          <w:rFonts w:ascii="Segoe UI" w:hAnsi="Segoe UI"/>
          <w:color w:val="334155"/>
          <w:sz w:val="20"/>
        </w:rPr>
        <w:t xml:space="preserve"> If full-text XML is paywalled or unavailable, the agent gracefully degrades to structured abstract parsing, logging the extraction confidence tier.</w:t>
      </w:r>
    </w:p>
    <w:p>
      <w:pPr>
        <w:pStyle w:val="Heading3"/>
        <w:keepNext/>
        <w:spacing w:before="200" w:after="80"/>
      </w:pPr>
      <w:r>
        <w:rPr>
          <w:rFonts w:ascii="Segoe UI" w:hAnsi="Segoe UI"/>
          <w:b/>
          <w:color w:val="0284C7"/>
          <w:sz w:val="22"/>
        </w:rPr>
        <w:t>Agent 2: PICO &amp; Relation Extraction Guard Agent</w:t>
      </w:r>
    </w:p>
    <w:p>
      <w:pPr>
        <w:pStyle w:val="ListBullet"/>
        <w:spacing w:before="0" w:after="60" w:line="276" w:lineRule="auto"/>
      </w:pPr>
      <w:r>
        <w:rPr>
          <w:rFonts w:ascii="Segoe UI" w:hAnsi="Segoe UI"/>
          <w:b/>
          <w:color w:val="0F172A"/>
          <w:sz w:val="20"/>
        </w:rPr>
        <w:t>Primary Role:</w:t>
      </w:r>
      <w:r>
        <w:rPr>
          <w:rFonts w:ascii="Segoe UI" w:hAnsi="Segoe UI"/>
          <w:color w:val="334155"/>
          <w:sz w:val="20"/>
        </w:rPr>
        <w:t xml:space="preserve"> Transforming unstructured clinical narratives into strongly typed, schema-constrained PICO entities and relational edges.</w:t>
      </w:r>
    </w:p>
    <w:p>
      <w:pPr>
        <w:pStyle w:val="ListBullet"/>
        <w:spacing w:before="0" w:after="60" w:line="276" w:lineRule="auto"/>
      </w:pPr>
      <w:r>
        <w:rPr>
          <w:rFonts w:ascii="Segoe UI" w:hAnsi="Segoe UI"/>
          <w:b/>
          <w:color w:val="0F172A"/>
          <w:sz w:val="20"/>
        </w:rPr>
        <w:t>Inputs:</w:t>
      </w:r>
      <w:r>
        <w:rPr>
          <w:rFonts w:ascii="Segoe UI" w:hAnsi="Segoe UI"/>
          <w:color w:val="334155"/>
          <w:sz w:val="20"/>
        </w:rPr>
        <w:t xml:space="preserve"> Section-tagged text chunks, specifically focusing on Methods and Results sections.</w:t>
      </w:r>
    </w:p>
    <w:p>
      <w:pPr>
        <w:pStyle w:val="ListBullet"/>
        <w:spacing w:before="0" w:after="60" w:line="276" w:lineRule="auto"/>
      </w:pPr>
      <w:r>
        <w:rPr>
          <w:rFonts w:ascii="Segoe UI" w:hAnsi="Segoe UI"/>
          <w:b/>
          <w:color w:val="0F172A"/>
          <w:sz w:val="20"/>
        </w:rPr>
        <w:t>Processing Logic:</w:t>
      </w:r>
      <w:r>
        <w:rPr>
          <w:rFonts w:ascii="Segoe UI" w:hAnsi="Segoe UI"/>
          <w:color w:val="334155"/>
          <w:sz w:val="20"/>
        </w:rPr>
        <w:t xml:space="preserve"> The agent executes schema-constrained extraction using LLMs operating under strict Pydantic JSON schemas. For every trial, it extracts study design, population demographics (condition, sample size N, age range), interventions (drug, dose, duration), comparators, and quantified clinical outcomes (hazard ratios, relative risks, 95% confidence intervals, p-values).</w:t>
      </w:r>
    </w:p>
    <w:p>
      <w:pPr>
        <w:pStyle w:val="ListBullet"/>
        <w:spacing w:before="0" w:after="60" w:line="276" w:lineRule="auto"/>
      </w:pPr>
      <w:r>
        <w:rPr>
          <w:rFonts w:ascii="Segoe UI" w:hAnsi="Segoe UI"/>
          <w:b/>
          <w:color w:val="0F172A"/>
          <w:sz w:val="20"/>
        </w:rPr>
        <w:t>Self-Correcting Guard:</w:t>
      </w:r>
      <w:r>
        <w:rPr>
          <w:rFonts w:ascii="Segoe UI" w:hAnsi="Segoe UI"/>
          <w:color w:val="334155"/>
          <w:sz w:val="20"/>
        </w:rPr>
        <w:t xml:space="preserve"> **The Verbatim String Guard (Hallucination Guard)**: The agent mandates an exact supporting sentence quote for every extracted parameter. An automated string-containment function verifies that the quote is an exact substring within the source text. If a quote cannot be verified, the parameter is rejected or sent back for re-extraction.</w:t>
      </w:r>
    </w:p>
    <w:p>
      <w:pPr>
        <w:pStyle w:val="ListBullet"/>
        <w:spacing w:before="0" w:after="60" w:line="276" w:lineRule="auto"/>
      </w:pPr>
      <w:r>
        <w:rPr>
          <w:rFonts w:ascii="Segoe UI" w:hAnsi="Segoe UI"/>
          <w:b/>
          <w:color w:val="0F172A"/>
          <w:sz w:val="20"/>
        </w:rPr>
        <w:t>Outputs:</w:t>
      </w:r>
      <w:r>
        <w:rPr>
          <w:rFonts w:ascii="Segoe UI" w:hAnsi="Segoe UI"/>
          <w:color w:val="334155"/>
          <w:sz w:val="20"/>
        </w:rPr>
        <w:t xml:space="preserve"> Validated PICO JSON records with sentence-level character offsets and verified quotation hashes.</w:t>
      </w:r>
    </w:p>
    <w:p>
      <w:pPr>
        <w:pStyle w:val="Heading3"/>
        <w:keepNext/>
        <w:spacing w:before="200" w:after="80"/>
      </w:pPr>
      <w:r>
        <w:rPr>
          <w:rFonts w:ascii="Segoe UI" w:hAnsi="Segoe UI"/>
          <w:b/>
          <w:color w:val="0284C7"/>
          <w:sz w:val="22"/>
        </w:rPr>
        <w:t>Agent 3: Biomedical Ontology Normalization Agent</w:t>
      </w:r>
    </w:p>
    <w:p>
      <w:pPr>
        <w:pStyle w:val="ListBullet"/>
        <w:spacing w:before="0" w:after="60" w:line="276" w:lineRule="auto"/>
      </w:pPr>
      <w:r>
        <w:rPr>
          <w:rFonts w:ascii="Segoe UI" w:hAnsi="Segoe UI"/>
          <w:b/>
          <w:color w:val="0F172A"/>
          <w:sz w:val="20"/>
        </w:rPr>
        <w:t>Primary Role:</w:t>
      </w:r>
      <w:r>
        <w:rPr>
          <w:rFonts w:ascii="Segoe UI" w:hAnsi="Segoe UI"/>
          <w:color w:val="334155"/>
          <w:sz w:val="20"/>
        </w:rPr>
        <w:t xml:space="preserve"> Resolving free-text clinical mentions to standardized biomedical vocabularies and constructing ontological hierarchies.</w:t>
      </w:r>
    </w:p>
    <w:p>
      <w:pPr>
        <w:pStyle w:val="ListBullet"/>
        <w:spacing w:before="0" w:after="60" w:line="276" w:lineRule="auto"/>
      </w:pPr>
      <w:r>
        <w:rPr>
          <w:rFonts w:ascii="Segoe UI" w:hAnsi="Segoe UI"/>
          <w:b/>
          <w:color w:val="0F172A"/>
          <w:sz w:val="20"/>
        </w:rPr>
        <w:t>Inputs:</w:t>
      </w:r>
      <w:r>
        <w:rPr>
          <w:rFonts w:ascii="Segoe UI" w:hAnsi="Segoe UI"/>
          <w:color w:val="334155"/>
          <w:sz w:val="20"/>
        </w:rPr>
        <w:t xml:space="preserve"> Extracted entity mentions (conditions, drugs, outcomes) from Agent 2.</w:t>
      </w:r>
    </w:p>
    <w:p>
      <w:pPr>
        <w:pStyle w:val="ListBullet"/>
        <w:spacing w:before="0" w:after="60" w:line="276" w:lineRule="auto"/>
      </w:pPr>
      <w:r>
        <w:rPr>
          <w:rFonts w:ascii="Segoe UI" w:hAnsi="Segoe UI"/>
          <w:b/>
          <w:color w:val="0F172A"/>
          <w:sz w:val="20"/>
        </w:rPr>
        <w:t>Processing Logic:</w:t>
      </w:r>
      <w:r>
        <w:rPr>
          <w:rFonts w:ascii="Segoe UI" w:hAnsi="Segoe UI"/>
          <w:color w:val="334155"/>
          <w:sz w:val="20"/>
        </w:rPr>
        <w:t xml:space="preserve"> The agent applies high-precision biomedical NER models (scispaCy en_core_sci_lg) and queries the UMLS Metathesaurus, MeSH, and RxNorm APIs. It maps synonymous disease names (e.g. 'T2DM', 'type 2 diabetes', 'non-insulin dependent diabetes mellitus') to a single Concept Unique Identifier (CUI: C0011860). For pharmacologic entities, it maps active ingredients to RxNorm codes and links them to their parent pharmacological classes via ATC codes (e.g. Empagliflozin -&gt; SGLT2 inhibitor -&gt; Antidiabetic Agent).</w:t>
      </w:r>
    </w:p>
    <w:p>
      <w:pPr>
        <w:pStyle w:val="ListBullet"/>
        <w:spacing w:before="0" w:after="60" w:line="276" w:lineRule="auto"/>
      </w:pPr>
      <w:r>
        <w:rPr>
          <w:rFonts w:ascii="Segoe UI" w:hAnsi="Segoe UI"/>
          <w:b/>
          <w:color w:val="0F172A"/>
          <w:sz w:val="20"/>
        </w:rPr>
        <w:t>Guard Mechanism:</w:t>
      </w:r>
      <w:r>
        <w:rPr>
          <w:rFonts w:ascii="Segoe UI" w:hAnsi="Segoe UI"/>
          <w:color w:val="334155"/>
          <w:sz w:val="20"/>
        </w:rPr>
        <w:t xml:space="preserve"> **Semantic Boundary Enforcement**: The agent inspects UMLS semantic types to prevent concept collisions (e.g. ensuring an acronym is not conflated between a gene symbol and a clinical syndrome).</w:t>
      </w:r>
    </w:p>
    <w:p>
      <w:pPr>
        <w:pStyle w:val="ListBullet"/>
        <w:spacing w:before="0" w:after="60" w:line="276" w:lineRule="auto"/>
      </w:pPr>
      <w:r>
        <w:rPr>
          <w:rFonts w:ascii="Segoe UI" w:hAnsi="Segoe UI"/>
          <w:b/>
          <w:color w:val="0F172A"/>
          <w:sz w:val="20"/>
        </w:rPr>
        <w:t>Outputs:</w:t>
      </w:r>
      <w:r>
        <w:rPr>
          <w:rFonts w:ascii="Segoe UI" w:hAnsi="Segoe UI"/>
          <w:color w:val="334155"/>
          <w:sz w:val="20"/>
        </w:rPr>
        <w:t xml:space="preserve"> Standardized graph nodes and hierarchical edges ('IS_A', 'IS_DRUG', 'HAS_CONDITION') loaded directly into the knowledge graph store.</w:t>
      </w:r>
    </w:p>
    <w:p>
      <w:pPr>
        <w:pStyle w:val="Heading3"/>
        <w:keepNext/>
        <w:spacing w:before="200" w:after="80"/>
      </w:pPr>
      <w:r>
        <w:rPr>
          <w:rFonts w:ascii="Segoe UI" w:hAnsi="Segoe UI"/>
          <w:b/>
          <w:color w:val="0284C7"/>
          <w:sz w:val="22"/>
        </w:rPr>
        <w:t>Agent 4: Hybrid Router &amp; Pathfinding Agent</w:t>
      </w:r>
    </w:p>
    <w:p>
      <w:pPr>
        <w:pStyle w:val="ListBullet"/>
        <w:spacing w:before="0" w:after="60" w:line="276" w:lineRule="auto"/>
      </w:pPr>
      <w:r>
        <w:rPr>
          <w:rFonts w:ascii="Segoe UI" w:hAnsi="Segoe UI"/>
          <w:b/>
          <w:color w:val="0F172A"/>
          <w:sz w:val="20"/>
        </w:rPr>
        <w:t>Primary Role:</w:t>
      </w:r>
      <w:r>
        <w:rPr>
          <w:rFonts w:ascii="Segoe UI" w:hAnsi="Segoe UI"/>
          <w:color w:val="334155"/>
          <w:sz w:val="20"/>
        </w:rPr>
        <w:t xml:space="preserve"> Analyzing incoming user queries, determining retrieval intent, and orchestrating multi-path graph and vector retrieval.</w:t>
      </w:r>
    </w:p>
    <w:p>
      <w:pPr>
        <w:pStyle w:val="ListBullet"/>
        <w:spacing w:before="0" w:after="60" w:line="276" w:lineRule="auto"/>
      </w:pPr>
      <w:r>
        <w:rPr>
          <w:rFonts w:ascii="Segoe UI" w:hAnsi="Segoe UI"/>
          <w:b/>
          <w:color w:val="0F172A"/>
          <w:sz w:val="20"/>
        </w:rPr>
        <w:t>Inputs:</w:t>
      </w:r>
      <w:r>
        <w:rPr>
          <w:rFonts w:ascii="Segoe UI" w:hAnsi="Segoe UI"/>
          <w:color w:val="334155"/>
          <w:sz w:val="20"/>
        </w:rPr>
        <w:t xml:space="preserve"> Natural language user questions, session context, and optional user-selected filters.</w:t>
      </w:r>
    </w:p>
    <w:p>
      <w:pPr>
        <w:pStyle w:val="ListBullet"/>
        <w:spacing w:before="0" w:after="60" w:line="276" w:lineRule="auto"/>
      </w:pPr>
      <w:r>
        <w:rPr>
          <w:rFonts w:ascii="Segoe UI" w:hAnsi="Segoe UI"/>
          <w:b/>
          <w:color w:val="0F172A"/>
          <w:sz w:val="20"/>
        </w:rPr>
        <w:t>Processing Logic:</w:t>
      </w:r>
      <w:r>
        <w:rPr>
          <w:rFonts w:ascii="Segoe UI" w:hAnsi="Segoe UI"/>
          <w:color w:val="334155"/>
          <w:sz w:val="20"/>
        </w:rPr>
        <w:t xml:space="preserve"> The agent classifies query intent across four specialized execution pathways: (1) Cross-Study Entity Queries (`graph_entity`), (2) Deterministic Aggregation Queries (`aggregation`), (3) Global Thematic Summaries (`global_thematic`), and (4) Single-Fact Lookups (`vector_fact`). For entity-centric questions, it expands user terms across the ontology graph (e.g. expanding 'SGLT2 inhibitors' to all child drug nodes), retrieves all connected trials, and then executes dense vector re-ranking only on passages belonging to those verified trials.</w:t>
      </w:r>
    </w:p>
    <w:p>
      <w:pPr>
        <w:pStyle w:val="ListBullet"/>
        <w:spacing w:before="0" w:after="60" w:line="276" w:lineRule="auto"/>
      </w:pPr>
      <w:r>
        <w:rPr>
          <w:rFonts w:ascii="Segoe UI" w:hAnsi="Segoe UI"/>
          <w:b/>
          <w:color w:val="0F172A"/>
          <w:sz w:val="20"/>
        </w:rPr>
        <w:t>Fallback Mechanism:</w:t>
      </w:r>
      <w:r>
        <w:rPr>
          <w:rFonts w:ascii="Segoe UI" w:hAnsi="Segoe UI"/>
          <w:color w:val="334155"/>
          <w:sz w:val="20"/>
        </w:rPr>
        <w:t xml:space="preserve"> Dual-path fallback: if a structured graph traversal returns zero nodes due to an extraction gap, the router instantly falls back to vector similarity search across all chunks, ensuring zero query dead-ends.</w:t>
      </w:r>
    </w:p>
    <w:p>
      <w:pPr>
        <w:pStyle w:val="ListBullet"/>
        <w:spacing w:before="0" w:after="60" w:line="276" w:lineRule="auto"/>
      </w:pPr>
      <w:r>
        <w:rPr>
          <w:rFonts w:ascii="Segoe UI" w:hAnsi="Segoe UI"/>
          <w:b/>
          <w:color w:val="0F172A"/>
          <w:sz w:val="20"/>
        </w:rPr>
        <w:t>Outputs:</w:t>
      </w:r>
      <w:r>
        <w:rPr>
          <w:rFonts w:ascii="Segoe UI" w:hAnsi="Segoe UI"/>
          <w:color w:val="334155"/>
          <w:sz w:val="20"/>
        </w:rPr>
        <w:t xml:space="preserve"> Filtered subgraphs, structured evidence tables, and top-k ranked textual passages.</w:t>
      </w:r>
    </w:p>
    <w:p>
      <w:pPr>
        <w:pStyle w:val="Heading3"/>
        <w:keepNext/>
        <w:spacing w:before="200" w:after="80"/>
      </w:pPr>
      <w:r>
        <w:rPr>
          <w:rFonts w:ascii="Segoe UI" w:hAnsi="Segoe UI"/>
          <w:b/>
          <w:color w:val="0284C7"/>
          <w:sz w:val="22"/>
        </w:rPr>
        <w:t>Agent 5: Evidence Synthesis &amp; Audit Agent</w:t>
      </w:r>
    </w:p>
    <w:p>
      <w:pPr>
        <w:pStyle w:val="ListBullet"/>
        <w:spacing w:before="0" w:after="60" w:line="276" w:lineRule="auto"/>
      </w:pPr>
      <w:r>
        <w:rPr>
          <w:rFonts w:ascii="Segoe UI" w:hAnsi="Segoe UI"/>
          <w:b/>
          <w:color w:val="0F172A"/>
          <w:sz w:val="20"/>
        </w:rPr>
        <w:t>Primary Role:</w:t>
      </w:r>
      <w:r>
        <w:rPr>
          <w:rFonts w:ascii="Segoe UI" w:hAnsi="Segoe UI"/>
          <w:color w:val="334155"/>
          <w:sz w:val="20"/>
        </w:rPr>
        <w:t xml:space="preserve"> Generating audit-ready clinical comparative syntheses with interactive citations and running automated entailment audits.</w:t>
      </w:r>
    </w:p>
    <w:p>
      <w:pPr>
        <w:pStyle w:val="ListBullet"/>
        <w:spacing w:before="0" w:after="60" w:line="276" w:lineRule="auto"/>
      </w:pPr>
      <w:r>
        <w:rPr>
          <w:rFonts w:ascii="Segoe UI" w:hAnsi="Segoe UI"/>
          <w:b/>
          <w:color w:val="0F172A"/>
          <w:sz w:val="20"/>
        </w:rPr>
        <w:t>Inputs:</w:t>
      </w:r>
      <w:r>
        <w:rPr>
          <w:rFonts w:ascii="Segoe UI" w:hAnsi="Segoe UI"/>
          <w:color w:val="334155"/>
          <w:sz w:val="20"/>
        </w:rPr>
        <w:t xml:space="preserve"> Retrieved evidence table, top ranked passage chunks, user question, and intent classification.</w:t>
      </w:r>
    </w:p>
    <w:p>
      <w:pPr>
        <w:pStyle w:val="ListBullet"/>
        <w:spacing w:before="0" w:after="60" w:line="276" w:lineRule="auto"/>
      </w:pPr>
      <w:r>
        <w:rPr>
          <w:rFonts w:ascii="Segoe UI" w:hAnsi="Segoe UI"/>
          <w:b/>
          <w:color w:val="0F172A"/>
          <w:sz w:val="20"/>
        </w:rPr>
        <w:t>Processing Logic:</w:t>
      </w:r>
      <w:r>
        <w:rPr>
          <w:rFonts w:ascii="Segoe UI" w:hAnsi="Segoe UI"/>
          <w:color w:val="334155"/>
          <w:sz w:val="20"/>
        </w:rPr>
        <w:t xml:space="preserve"> The agent synthesizes cross-trial findings, explicitly grouping results by intervention and outcome, noting study designs and sample sizes, and highlighting conflicting evidence. It generates structured markdown evidence matrices and appends interactive citation tags in the format `[PMID:sentence_id]`.</w:t>
      </w:r>
    </w:p>
    <w:p>
      <w:pPr>
        <w:pStyle w:val="ListBullet"/>
        <w:spacing w:before="0" w:after="60" w:line="276" w:lineRule="auto"/>
      </w:pPr>
      <w:r>
        <w:rPr>
          <w:rFonts w:ascii="Segoe UI" w:hAnsi="Segoe UI"/>
          <w:b/>
          <w:color w:val="0F172A"/>
          <w:sz w:val="20"/>
        </w:rPr>
        <w:t>Self-Correcting Guard:</w:t>
      </w:r>
      <w:r>
        <w:rPr>
          <w:rFonts w:ascii="Segoe UI" w:hAnsi="Segoe UI"/>
          <w:color w:val="334155"/>
          <w:sz w:val="20"/>
        </w:rPr>
        <w:t xml:space="preserve"> **Natural Language Inference (NLI) Audit Loop**: Before returning the response to the user, an automated NLI verification pass evaluates every generated claim against its cited source sentence. If a claim is classified as 'neutral' or 'contradiction' relative to the source passage, the synthesis agent automatically rewrites or excises the claim.</w:t>
      </w:r>
    </w:p>
    <w:p>
      <w:pPr>
        <w:pStyle w:val="ListBullet"/>
        <w:spacing w:before="0" w:after="60" w:line="276" w:lineRule="auto"/>
      </w:pPr>
      <w:r>
        <w:rPr>
          <w:rFonts w:ascii="Segoe UI" w:hAnsi="Segoe UI"/>
          <w:b/>
          <w:color w:val="0F172A"/>
          <w:sz w:val="20"/>
        </w:rPr>
        <w:t>Outputs:</w:t>
      </w:r>
      <w:r>
        <w:rPr>
          <w:rFonts w:ascii="Segoe UI" w:hAnsi="Segoe UI"/>
          <w:color w:val="334155"/>
          <w:sz w:val="20"/>
        </w:rPr>
        <w:t xml:space="preserve"> Verified clinical synthesis response, interactive evidence table, and highlighted source quotes.</w:t>
      </w:r>
    </w:p>
    <w:p>
      <w:pPr>
        <w:pStyle w:val="Heading3"/>
        <w:keepNext/>
        <w:spacing w:before="200" w:after="80"/>
      </w:pPr>
      <w:r>
        <w:rPr>
          <w:rFonts w:ascii="Segoe UI" w:hAnsi="Segoe UI"/>
          <w:b/>
          <w:color w:val="0284C7"/>
          <w:sz w:val="22"/>
        </w:rPr>
        <w:t>Agent 6: Autonomous Query Optimizer &amp; Multi-Prompt Strategy Agent</w:t>
      </w:r>
    </w:p>
    <w:p>
      <w:pPr>
        <w:pStyle w:val="ListBullet"/>
        <w:spacing w:before="0" w:after="60" w:line="276" w:lineRule="auto"/>
      </w:pPr>
      <w:r>
        <w:rPr>
          <w:rFonts w:ascii="Segoe UI" w:hAnsi="Segoe UI"/>
          <w:b/>
          <w:color w:val="0F172A"/>
          <w:sz w:val="20"/>
        </w:rPr>
        <w:t>Primary Role:</w:t>
      </w:r>
      <w:r>
        <w:rPr>
          <w:rFonts w:ascii="Segoe UI" w:hAnsi="Segoe UI"/>
          <w:color w:val="334155"/>
          <w:sz w:val="20"/>
        </w:rPr>
        <w:t xml:space="preserve"> Generating optimized, high-yield query formulations for both Literature Ingestion and Multi-Document Clinical Chat.</w:t>
      </w:r>
    </w:p>
    <w:p>
      <w:pPr>
        <w:pStyle w:val="ListBullet"/>
        <w:spacing w:before="0" w:after="60" w:line="276" w:lineRule="auto"/>
      </w:pPr>
      <w:r>
        <w:rPr>
          <w:rFonts w:ascii="Segoe UI" w:hAnsi="Segoe UI"/>
          <w:b/>
          <w:color w:val="0F172A"/>
          <w:sz w:val="20"/>
        </w:rPr>
        <w:t>Inputs:</w:t>
      </w:r>
      <w:r>
        <w:rPr>
          <w:rFonts w:ascii="Segoe UI" w:hAnsi="Segoe UI"/>
          <w:color w:val="334155"/>
          <w:sz w:val="20"/>
        </w:rPr>
        <w:t xml:space="preserve"> User clinical questions, therapeutic concepts, drug names, or rough disease keywords.</w:t>
      </w:r>
    </w:p>
    <w:p>
      <w:pPr>
        <w:pStyle w:val="ListBullet"/>
        <w:spacing w:before="0" w:after="60" w:line="276" w:lineRule="auto"/>
      </w:pPr>
      <w:r>
        <w:rPr>
          <w:rFonts w:ascii="Segoe UI" w:hAnsi="Segoe UI"/>
          <w:b/>
          <w:color w:val="0F172A"/>
          <w:sz w:val="20"/>
        </w:rPr>
        <w:t>Processing Logic:</w:t>
      </w:r>
      <w:r>
        <w:rPr>
          <w:rFonts w:ascii="Segoe UI" w:hAnsi="Segoe UI"/>
          <w:color w:val="334155"/>
          <w:sz w:val="20"/>
        </w:rPr>
        <w:t xml:space="preserve"> Operates in dual specialized modes:</w:t>
        <w:br/>
        <w:t xml:space="preserve">   • Mode A (Data Ingestion Multi-Prompt): Transforms naive keyword queries into 3-4 boolean MeSH-indexed queries incorporating active comparators, explicit publication filters ('Clinical Trial, Phase III'[pt] OR 'randomized controlled trial'[pt]), and excluding noisy review articles. Predicts expected trial yields (e.g., '20-40 Phase 3 RCTs') and generates clinical rationales.</w:t>
        <w:br/>
        <w:t xml:space="preserve">   • Mode B (Clinical Chat Multi-Prompt): Inspects user questions and constructs 3 refined clinical angles: (1) Head-to-Head Comparative Efficacy, (2) Safety, Tolerability &amp; Biomarker Deep-Dive, and (3) Guideline &amp; Class-Level Therapeutic Landscape.</w:t>
      </w:r>
    </w:p>
    <w:p>
      <w:pPr>
        <w:pStyle w:val="ListBullet"/>
        <w:spacing w:before="0" w:after="60" w:line="276" w:lineRule="auto"/>
      </w:pPr>
      <w:r>
        <w:rPr>
          <w:rFonts w:ascii="Segoe UI" w:hAnsi="Segoe UI"/>
          <w:b/>
          <w:color w:val="0F172A"/>
          <w:sz w:val="20"/>
        </w:rPr>
        <w:t>Verification Guard:</w:t>
      </w:r>
      <w:r>
        <w:rPr>
          <w:rFonts w:ascii="Segoe UI" w:hAnsi="Segoe UI"/>
          <w:color w:val="334155"/>
          <w:sz w:val="20"/>
        </w:rPr>
        <w:t xml:space="preserve"> Guarantees zero empty retrieval results by validating generated PubMed syntax against NCBI E-Utilities constraints and ensuring all target drug entities match active ontologies.</w:t>
      </w:r>
    </w:p>
    <w:p>
      <w:pPr>
        <w:pStyle w:val="ListBullet"/>
        <w:spacing w:before="0" w:after="60" w:line="276" w:lineRule="auto"/>
      </w:pPr>
      <w:r>
        <w:rPr>
          <w:rFonts w:ascii="Segoe UI" w:hAnsi="Segoe UI"/>
          <w:b/>
          <w:color w:val="0F172A"/>
          <w:sz w:val="20"/>
        </w:rPr>
        <w:t>Outputs:</w:t>
      </w:r>
      <w:r>
        <w:rPr>
          <w:rFonts w:ascii="Segoe UI" w:hAnsi="Segoe UI"/>
          <w:color w:val="334155"/>
          <w:sz w:val="20"/>
        </w:rPr>
        <w:t xml:space="preserve"> Triplet of refined chat prompts with rationale badges; 3-4 optimized PubMed boolean queries with yield metrics and target drug tags.</w:t>
      </w:r>
    </w:p>
    <w:p>
      <w:pPr>
        <w:pStyle w:val="Heading2"/>
        <w:keepNext/>
        <w:spacing w:before="280" w:after="120"/>
      </w:pPr>
      <w:r>
        <w:rPr>
          <w:rFonts w:ascii="Segoe UI" w:hAnsi="Segoe UI"/>
          <w:b/>
          <w:color w:val="1D4ED8"/>
          <w:sz w:val="26"/>
        </w:rPr>
        <w:t>3.3 Self-Correcting Verification Loops &amp; Gatekeeper Architecture</w:t>
      </w:r>
    </w:p>
    <w:p>
      <w:pPr>
        <w:spacing w:before="0" w:after="120" w:line="276" w:lineRule="auto"/>
      </w:pPr>
      <w:r>
        <w:rPr>
          <w:rFonts w:ascii="Segoe UI" w:hAnsi="Segoe UI"/>
          <w:color w:val="334155"/>
          <w:sz w:val="20"/>
        </w:rPr>
        <w:t>To eliminate hallucinations and guarantee clinical auditability, the architecture implements two automated, closed-loop verification gates:</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left w:val="single" w:sz="18" w:space="0" w:color="64748B"/>
              <w:top w:val="single" w:sz="4" w:space="0" w:color="CBD5E1"/>
              <w:bottom w:val="single" w:sz="4" w:space="0" w:color="CBD5E1"/>
              <w:right w:val="single" w:sz="4" w:space="0" w:color="CBD5E1"/>
            </w:tcBorders>
          </w:tcPr>
          <w:p>
            <w:pPr>
              <w:spacing w:before="0" w:after="0" w:line="252" w:lineRule="auto"/>
            </w:pPr>
            <w:r>
              <w:rPr>
                <w:rFonts w:ascii="Consolas" w:hAnsi="Consolas"/>
                <w:color w:val="1E293B"/>
                <w:sz w:val="17"/>
              </w:rPr>
              <w:t>+-----------------------------------------------------------------------------------------+</w:t>
              <w:br/>
              <w:t>|                    GATEKEEPER LOOP 1: VERBATIM STRING EXTRACTION GUARD                  |</w:t>
              <w:br/>
              <w:t>|                                                                                         |</w:t>
              <w:br/>
              <w:t>|   [Raw Section Text] ---&gt; [Agent 2: PICO Extractor] ---&gt; [Candidate PICO JSON]          |</w:t>
              <w:br/>
              <w:t>|                                                                   |                     |</w:t>
              <w:br/>
              <w:t>|                                                                   v                     |</w:t>
              <w:br/>
              <w:t>|                                                    +----------------------------+       |</w:t>
              <w:br/>
              <w:t>|                                                    | Automated Substring Audit  |       |</w:t>
              <w:br/>
              <w:t>|                                                    | Exact Match in Source Doc? |       |</w:t>
              <w:br/>
              <w:t>|                                                    +----------------------------+       |</w:t>
              <w:br/>
              <w:t>|                                                              /            \             |</w:t>
              <w:br/>
              <w:t>|                                                      YES    /              \   NO       |</w:t>
              <w:br/>
              <w:t>|                                                            v                v           |</w:t>
              <w:br/>
              <w:t>|                                                    [Commit Node/Edge]   [Retry Loop /   |</w:t>
              <w:br/>
              <w:t>|                                                    [to Knowledge Graph] [Drop Field]    |</w:t>
              <w:br/>
              <w:t>+-----------------------------------------------------------------------------------------+</w:t>
            </w:r>
          </w:p>
        </w:tc>
      </w:tr>
    </w:tbl>
    <w:p>
      <w:pPr>
        <w:spacing w:after="80"/>
      </w:pP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left w:val="single" w:sz="18" w:space="0" w:color="64748B"/>
              <w:top w:val="single" w:sz="4" w:space="0" w:color="CBD5E1"/>
              <w:bottom w:val="single" w:sz="4" w:space="0" w:color="CBD5E1"/>
              <w:right w:val="single" w:sz="4" w:space="0" w:color="CBD5E1"/>
            </w:tcBorders>
          </w:tcPr>
          <w:p>
            <w:pPr>
              <w:spacing w:before="0" w:after="0" w:line="252" w:lineRule="auto"/>
            </w:pPr>
            <w:r>
              <w:rPr>
                <w:rFonts w:ascii="Consolas" w:hAnsi="Consolas"/>
                <w:color w:val="1E293B"/>
                <w:sz w:val="17"/>
              </w:rPr>
              <w:t>+-----------------------------------------------------------------------------------------+</w:t>
              <w:br/>
              <w:t>|                    GATEKEEPER LOOP 2: NLI ENTAILMENT FAITHFULNESS AUDIT                 |</w:t>
              <w:br/>
              <w:t>|                                                                                         |</w:t>
              <w:br/>
              <w:t>|   [Retrieved Chunks + Table] ---&gt; [Agent 5: Synthesizer] ---&gt; [Draft Answer Prose]      |</w:t>
              <w:br/>
              <w:t>|                                                                      |                  |</w:t>
              <w:br/>
              <w:t>|                                                                      v                  |</w:t>
              <w:br/>
              <w:t>|                                                       +-----------------------------+   |</w:t>
              <w:br/>
              <w:t>|                                                       | NLI Entailment Classifier   |   |</w:t>
              <w:br/>
              <w:t>|                                                       | Premise: Source Sentences   |   |</w:t>
              <w:br/>
              <w:t>|                                                       | Hypothesis: Generated Claim |   |</w:t>
              <w:br/>
              <w:t>|                                                       +-----------------------------+   |</w:t>
              <w:br/>
              <w:t>|                                                                 /         \             |</w:t>
              <w:br/>
              <w:t>|                                                 ENTAILMENT &gt;0.85/           \ NEUTRAL / |</w:t>
              <w:br/>
              <w:t>|                                                                /             \ CONFLICT |</w:t>
              <w:br/>
              <w:t>|                                                               v               v         |</w:t>
              <w:br/>
              <w:t>|                                                       [Deliver to UI]  [Regenerate Claim|</w:t>
              <w:br/>
              <w:t>|                                                       [with Citations] [with Flag]      |</w:t>
              <w:br/>
              <w:t>+-----------------------------------------------------------------------------------------+</w:t>
            </w:r>
          </w:p>
        </w:tc>
      </w:tr>
    </w:tbl>
    <w:p>
      <w:pPr>
        <w:spacing w:after="80"/>
      </w:pPr>
    </w:p>
    <w:p>
      <w:pPr>
        <w:pStyle w:val="Heading1"/>
        <w:keepNext/>
        <w:spacing w:before="400" w:after="160"/>
      </w:pPr>
      <w:r>
        <w:rPr>
          <w:rFonts w:ascii="Segoe UI" w:hAnsi="Segoe UI"/>
          <w:b/>
          <w:color w:val="0F172A"/>
          <w:sz w:val="33"/>
        </w:rPr>
        <w:t>4. Core Application Feature Specifications (Aligned with Hackathon Presentation)</w:t>
      </w:r>
    </w:p>
    <w:p>
      <w:pPr>
        <w:spacing w:before="0" w:after="120" w:line="276" w:lineRule="auto"/>
      </w:pPr>
      <w:r>
        <w:rPr>
          <w:rFonts w:ascii="Segoe UI" w:hAnsi="Segoe UI"/>
          <w:color w:val="334155"/>
          <w:sz w:val="20"/>
        </w:rPr>
        <w:t>This section provides the exhaustive technical and functional specifications for each of the five core application features demonstrated in the hackathon presentation slides:</w:t>
      </w:r>
    </w:p>
    <w:p>
      <w:pPr>
        <w:pStyle w:val="Heading2"/>
        <w:keepNext/>
        <w:spacing w:before="280" w:after="120"/>
      </w:pPr>
      <w:r>
        <w:rPr>
          <w:rFonts w:ascii="Segoe UI" w:hAnsi="Segoe UI"/>
          <w:b/>
          <w:color w:val="1D4ED8"/>
          <w:sz w:val="26"/>
        </w:rPr>
        <w:t>4.1 Feature 1: 'Ingest to Graph' Pipeline &amp; Literature Corpus Store</w:t>
      </w:r>
    </w:p>
    <w:p>
      <w:pPr>
        <w:spacing w:before="0" w:after="120" w:line="276" w:lineRule="auto"/>
      </w:pPr>
      <w:r>
        <w:rPr>
          <w:rFonts w:ascii="Segoe UI" w:hAnsi="Segoe UI"/>
          <w:color w:val="334155"/>
          <w:sz w:val="20"/>
        </w:rPr>
        <w:t>The 'Ingest to Graph' module serves as the primary literature onboarding portal (Presentation Slides 01, 02, and 03). It connects directly to live biomedical literature repositories and transforms unstructured scientific text into an integrated knowledge graph:</w:t>
      </w:r>
    </w:p>
    <w:p>
      <w:pPr>
        <w:pStyle w:val="ListBullet"/>
        <w:spacing w:before="0" w:after="60" w:line="276" w:lineRule="auto"/>
      </w:pPr>
      <w:r>
        <w:rPr>
          <w:rFonts w:ascii="Segoe UI" w:hAnsi="Segoe UI"/>
          <w:b/>
          <w:color w:val="0F172A"/>
          <w:sz w:val="20"/>
        </w:rPr>
        <w:t>1. PubMed E-Utilities Fetch Engine:</w:t>
      </w:r>
      <w:r>
        <w:rPr>
          <w:rFonts w:ascii="Segoe UI" w:hAnsi="Segoe UI"/>
          <w:color w:val="334155"/>
          <w:sz w:val="20"/>
        </w:rPr>
        <w:t xml:space="preserve"> Live integration with NCBI PubMed E-Utilities (esearch.fcgi, esummary.fcgi, efetch.fcgi) and Europe PMC. Accepts either free-text therapeutic queries (e.g. 'GLP-1 receptor agonists kidney disease trial') or explicit lists of PMIDs.</w:t>
      </w:r>
    </w:p>
    <w:p>
      <w:pPr>
        <w:pStyle w:val="ListBullet"/>
        <w:spacing w:before="0" w:after="60" w:line="276" w:lineRule="auto"/>
      </w:pPr>
      <w:r>
        <w:rPr>
          <w:rFonts w:ascii="Segoe UI" w:hAnsi="Segoe UI"/>
          <w:b/>
          <w:color w:val="0F172A"/>
          <w:sz w:val="20"/>
        </w:rPr>
        <w:t>2. Section-Aware Document Decomposer:</w:t>
      </w:r>
      <w:r>
        <w:rPr>
          <w:rFonts w:ascii="Segoe UI" w:hAnsi="Segoe UI"/>
          <w:color w:val="334155"/>
          <w:sz w:val="20"/>
        </w:rPr>
        <w:t xml:space="preserve"> Decomposes incoming publications into semantic sections (Title, Abstract, Background, Methods, Results, Discussion). Preserves section headers and table structures rather than naive fixed-token chunking.</w:t>
      </w:r>
    </w:p>
    <w:p>
      <w:pPr>
        <w:pStyle w:val="ListBullet"/>
        <w:spacing w:before="0" w:after="60" w:line="276" w:lineRule="auto"/>
      </w:pPr>
      <w:r>
        <w:rPr>
          <w:rFonts w:ascii="Segoe UI" w:hAnsi="Segoe UI"/>
          <w:b/>
          <w:color w:val="0F172A"/>
          <w:sz w:val="20"/>
        </w:rPr>
        <w:t>3. Schema-Constrained PICO Extractor:</w:t>
      </w:r>
      <w:r>
        <w:rPr>
          <w:rFonts w:ascii="Segoe UI" w:hAnsi="Segoe UI"/>
          <w:color w:val="334155"/>
          <w:sz w:val="20"/>
        </w:rPr>
        <w:t xml:space="preserve"> Passes candidate text chunks to Agent 2 (PICO Guard) to extract Population, Intervention, Comparator, and Outcome parameters with mandatory verbatim sentence hashes.</w:t>
      </w:r>
    </w:p>
    <w:p>
      <w:pPr>
        <w:pStyle w:val="ListBullet"/>
        <w:spacing w:before="0" w:after="60" w:line="276" w:lineRule="auto"/>
      </w:pPr>
      <w:r>
        <w:rPr>
          <w:rFonts w:ascii="Segoe UI" w:hAnsi="Segoe UI"/>
          <w:b/>
          <w:color w:val="0F172A"/>
          <w:sz w:val="20"/>
        </w:rPr>
        <w:t>4. Real-Time Graph Construction:</w:t>
      </w:r>
      <w:r>
        <w:rPr>
          <w:rFonts w:ascii="Segoe UI" w:hAnsi="Segoe UI"/>
          <w:color w:val="334155"/>
          <w:sz w:val="20"/>
        </w:rPr>
        <w:t xml:space="preserve"> Normalizes extracted entities to UMLS CUIs, MeSH IDs, and RxNorm codes, generating interconnected graph nodes in real time.</w:t>
      </w:r>
    </w:p>
    <w:p>
      <w:pPr>
        <w:pStyle w:val="ListBullet"/>
        <w:spacing w:before="0" w:after="60" w:line="276" w:lineRule="auto"/>
      </w:pPr>
      <w:r>
        <w:rPr>
          <w:rFonts w:ascii="Segoe UI" w:hAnsi="Segoe UI"/>
          <w:b/>
          <w:color w:val="0F172A"/>
          <w:sz w:val="20"/>
        </w:rPr>
        <w:t>5. Corpus Metrics Dashboard:</w:t>
      </w:r>
      <w:r>
        <w:rPr>
          <w:rFonts w:ascii="Segoe UI" w:hAnsi="Segoe UI"/>
          <w:color w:val="334155"/>
          <w:sz w:val="20"/>
        </w:rPr>
        <w:t xml:space="preserve"> Indexed Articles, Section Chunks, Knowledge Graph Edges, Normalized Entities, and Thematic Communities. Includes a one-click 'Reset to Landmark Benchmark' button.</w:t>
      </w:r>
    </w:p>
    <w:p>
      <w:pPr>
        <w:pStyle w:val="ListBullet"/>
        <w:spacing w:before="0" w:after="60" w:line="276" w:lineRule="auto"/>
      </w:pPr>
      <w:r>
        <w:rPr>
          <w:rFonts w:ascii="Segoe UI" w:hAnsi="Segoe UI"/>
          <w:b/>
          <w:color w:val="0F172A"/>
          <w:sz w:val="20"/>
        </w:rPr>
        <w:t>6. Multi-Prompt Ingestion Optimizer:</w:t>
      </w:r>
      <w:r>
        <w:rPr>
          <w:rFonts w:ascii="Segoe UI" w:hAnsi="Segoe UI"/>
          <w:color w:val="334155"/>
          <w:sz w:val="20"/>
        </w:rPr>
        <w:t xml:space="preserve"> Agent 6 generates 3-4 domain-optimized PubMed boolean queries with MeSH tagging, active comparators, phase 3 publication filters, and expected yield metrics (e.g. '20-40 Phase 3 RCTs'), allowing one-click execution or search editing.</w:t>
      </w:r>
    </w:p>
    <w:p>
      <w:pPr>
        <w:pStyle w:val="ListBullet"/>
        <w:spacing w:before="0" w:after="60" w:line="276" w:lineRule="auto"/>
      </w:pPr>
      <w:r>
        <w:rPr>
          <w:rFonts w:ascii="Segoe UI" w:hAnsi="Segoe UI"/>
          <w:b/>
          <w:color w:val="0F172A"/>
          <w:sz w:val="20"/>
        </w:rPr>
        <w:t>7. Persistent Ingestion Audit Store:</w:t>
      </w:r>
      <w:r>
        <w:rPr>
          <w:rFonts w:ascii="Segoe UI" w:hAnsi="Segoe UI"/>
          <w:color w:val="334155"/>
          <w:sz w:val="20"/>
        </w:rPr>
        <w:t xml:space="preserve"> Logs every ingestion event (query text, fetched PMIDs, section chunks created, KG edges linked, timestamp) into a persistent history audit store for regulatory compliance.</w:t>
      </w:r>
    </w:p>
    <w:tbl>
      <w:tblPr>
        <w:tblW w:type="auto" w:w="0"/>
        <w:jc w:val="center"/>
        <w:tblLook w:firstColumn="1" w:firstRow="1" w:lastColumn="0" w:lastRow="0" w:noHBand="0" w:noVBand="1" w:val="04A0"/>
      </w:tblPr>
      <w:tblGrid>
        <w:gridCol w:w="9360"/>
      </w:tblGrid>
      <w:tr>
        <w:tc>
          <w:tcPr>
            <w:tcW w:type="dxa" w:w="9360"/>
            <w:shd w:fill="F0F9FF"/>
            <w:tcMar>
              <w:top w:w="140" w:type="dxa"/>
              <w:bottom w:w="140" w:type="dxa"/>
              <w:left w:w="180" w:type="dxa"/>
              <w:right w:w="160" w:type="dxa"/>
            </w:tcMar>
            <w:tcBorders>
              <w:left w:val="single" w:sz="36" w:space="0" w:color="1D4ED8"/>
              <w:top w:val="none"/>
              <w:bottom w:val="none"/>
              <w:right w:val="none"/>
            </w:tcBorders>
          </w:tcPr>
          <w:p>
            <w:pPr>
              <w:spacing w:before="0" w:after="80"/>
            </w:pPr>
            <w:r>
              <w:rPr>
                <w:rFonts w:ascii="Segoe UI" w:hAnsi="Segoe UI"/>
                <w:b/>
                <w:color w:val="1D4ED8"/>
                <w:sz w:val="21"/>
              </w:rPr>
              <w:t>📌 Ingest to Graph Operational Flow</w:t>
              <w:br/>
            </w:r>
            <w:r>
              <w:rPr>
                <w:rFonts w:ascii="Segoe UI" w:hAnsi="Segoe UI"/>
                <w:color w:val="1E293B"/>
                <w:sz w:val="19"/>
              </w:rPr>
              <w:t>User enters search query or clicks Multi-Prompt Suggestion -&gt; Agent 1 queries PubMed API -&gt; Receives XML payloads -&gt; Decomposes into section chunks -&gt; Agent 2 executes PICO extraction with Verbatim String Guard -&gt; Agent 3 links to UMLS/MeSH -&gt; Nodes and edges committed to Knowledge Graph &amp; Vector Store -&gt; UI metrics update dynamically with success banner -&gt; Follow-up multi-prompt strategies suggested.</w:t>
            </w:r>
          </w:p>
        </w:tc>
      </w:tr>
    </w:tbl>
    <w:p>
      <w:pPr>
        <w:spacing w:after="80"/>
      </w:pPr>
    </w:p>
    <w:p>
      <w:pPr>
        <w:pStyle w:val="Heading2"/>
        <w:keepNext/>
        <w:spacing w:before="280" w:after="120"/>
      </w:pPr>
      <w:r>
        <w:rPr>
          <w:rFonts w:ascii="Segoe UI" w:hAnsi="Segoe UI"/>
          <w:b/>
          <w:color w:val="1D4ED8"/>
          <w:sz w:val="26"/>
        </w:rPr>
        <w:t>4.2 Feature 2: Multi-Document Literature Chat &amp; Synthesis</w:t>
      </w:r>
    </w:p>
    <w:p>
      <w:pPr>
        <w:spacing w:before="0" w:after="120" w:line="276" w:lineRule="auto"/>
      </w:pPr>
      <w:r>
        <w:rPr>
          <w:rFonts w:ascii="Segoe UI" w:hAnsi="Segoe UI"/>
          <w:color w:val="334155"/>
          <w:sz w:val="20"/>
        </w:rPr>
        <w:t>The Multi-Document Chat module (Presentation Slides 04, 05, 13, 14, and 15) represents the interactive evidence synthesis engine. It eliminates the blind spots of vector search through hybrid query routing, natural language multi-prompt refinement, and structured tri-view answers:</w:t>
      </w:r>
    </w:p>
    <w:p>
      <w:pPr>
        <w:pStyle w:val="ListBullet"/>
        <w:spacing w:before="0" w:after="60" w:line="276" w:lineRule="auto"/>
      </w:pPr>
      <w:r>
        <w:rPr>
          <w:rFonts w:ascii="Segoe UI" w:hAnsi="Segoe UI"/>
          <w:b/>
          <w:color w:val="0F172A"/>
          <w:sz w:val="20"/>
        </w:rPr>
        <w:t>1. Hybrid Routing Engine:</w:t>
      </w:r>
      <w:r>
        <w:rPr>
          <w:rFonts w:ascii="Segoe UI" w:hAnsi="Segoe UI"/>
          <w:color w:val="334155"/>
          <w:sz w:val="20"/>
        </w:rPr>
        <w:t xml:space="preserve"> Inspects query semantics and routes across 4 execution pathways: Graph Traversal (cross-paper entity connections), Aggregation (trial counts &amp; cohort totals), Community Summaries (global corpus themes via Leiden clustering), and Vector Search (isolated single-study lookups).</w:t>
      </w:r>
    </w:p>
    <w:p>
      <w:pPr>
        <w:pStyle w:val="ListBullet"/>
        <w:spacing w:before="0" w:after="60" w:line="276" w:lineRule="auto"/>
      </w:pPr>
      <w:r>
        <w:rPr>
          <w:rFonts w:ascii="Segoe UI" w:hAnsi="Segoe UI"/>
          <w:b/>
          <w:color w:val="0F172A"/>
          <w:sz w:val="20"/>
        </w:rPr>
        <w:t>2. Clinical Prompt Accelerators:</w:t>
      </w:r>
      <w:r>
        <w:rPr>
          <w:rFonts w:ascii="Segoe UI" w:hAnsi="Segoe UI"/>
          <w:color w:val="334155"/>
          <w:sz w:val="20"/>
        </w:rPr>
        <w:t xml:space="preserve"> Quick-select prompt buttons for clinical workflows: 'Cross-Study SGLT2i in CKD', 'Corpus Aggregation (RCT counts)', 'Thematic Summaries (Communities)', and 'Direct Fact Retrieval (Vector)'.</w:t>
      </w:r>
    </w:p>
    <w:p>
      <w:pPr>
        <w:pStyle w:val="ListBullet"/>
        <w:spacing w:before="0" w:after="60" w:line="276" w:lineRule="auto"/>
      </w:pPr>
      <w:r>
        <w:rPr>
          <w:rFonts w:ascii="Segoe UI" w:hAnsi="Segoe UI"/>
          <w:b/>
          <w:color w:val="0F172A"/>
          <w:sz w:val="20"/>
        </w:rPr>
        <w:t>3. Tri-View Response Architecture:</w:t>
      </w:r>
      <w:r>
        <w:rPr>
          <w:rFonts w:ascii="Segoe UI" w:hAnsi="Segoe UI"/>
          <w:color w:val="334155"/>
          <w:sz w:val="20"/>
        </w:rPr>
        <w:t xml:space="preserve"> The output card renders three synchronized views matching presentation slides 05, 14, and 15:</w:t>
        <w:br/>
        <w:t xml:space="preserve">   • View A: 'Synthesis Answer' — Prose synthesis grouping findings by intervention, reporting exact hazard ratios with 95% CIs, and flagging conflicting endpoints.</w:t>
        <w:br/>
        <w:t xml:space="preserve">   • View B: 'Evidence Table' — In-line comparative matrix (Columns: PMID, Design, Sample N, Intervention, Comparator, Outcome, Effect &amp; CI, Source Sentence).</w:t>
        <w:br/>
        <w:t xml:space="preserve">   • View C: 'Citations' — Granular study cards with direct PubMed links and blue quote callouts containing the verbatim supporting sentence.</w:t>
      </w:r>
    </w:p>
    <w:p>
      <w:pPr>
        <w:pStyle w:val="ListBullet"/>
        <w:spacing w:before="0" w:after="60" w:line="276" w:lineRule="auto"/>
      </w:pPr>
      <w:r>
        <w:rPr>
          <w:rFonts w:ascii="Segoe UI" w:hAnsi="Segoe UI"/>
          <w:b/>
          <w:color w:val="0F172A"/>
          <w:sz w:val="20"/>
        </w:rPr>
        <w:t>4. NLI Entailment Audit Badge:</w:t>
      </w:r>
      <w:r>
        <w:rPr>
          <w:rFonts w:ascii="Segoe UI" w:hAnsi="Segoe UI"/>
          <w:color w:val="334155"/>
          <w:sz w:val="20"/>
        </w:rPr>
        <w:t xml:space="preserve"> Evaluates generated statements against source sentences to guarantee &gt;85% entailment faithfulness before delivery to the user.</w:t>
      </w:r>
    </w:p>
    <w:p>
      <w:pPr>
        <w:pStyle w:val="ListBullet"/>
        <w:spacing w:before="0" w:after="60" w:line="276" w:lineRule="auto"/>
      </w:pPr>
      <w:r>
        <w:rPr>
          <w:rFonts w:ascii="Segoe UI" w:hAnsi="Segoe UI"/>
          <w:b/>
          <w:color w:val="0F172A"/>
          <w:sz w:val="20"/>
        </w:rPr>
        <w:t>5. Multi-Prompt Clinical Angle Refiner:</w:t>
      </w:r>
      <w:r>
        <w:rPr>
          <w:rFonts w:ascii="Segoe UI" w:hAnsi="Segoe UI"/>
          <w:color w:val="334155"/>
          <w:sz w:val="20"/>
        </w:rPr>
        <w:t xml:space="preserve"> Agent 6 dynamically generates 3 refined prompt options (Head-to-Head Comparative, Safety &amp; Biomarker Deep-Dive, and Guideline/Class Landscape) tailored to the active entities, enabling natural language follow-up with zero typing.</w:t>
      </w:r>
    </w:p>
    <w:p>
      <w:pPr>
        <w:pStyle w:val="ListBullet"/>
        <w:spacing w:before="0" w:after="60" w:line="276" w:lineRule="auto"/>
      </w:pPr>
      <w:r>
        <w:rPr>
          <w:rFonts w:ascii="Segoe UI" w:hAnsi="Segoe UI"/>
          <w:b/>
          <w:color w:val="0F172A"/>
          <w:sz w:val="20"/>
        </w:rPr>
        <w:t>6. Persistent Chat Provenance Log:</w:t>
      </w:r>
      <w:r>
        <w:rPr>
          <w:rFonts w:ascii="Segoe UI" w:hAnsi="Segoe UI"/>
          <w:color w:val="334155"/>
          <w:sz w:val="20"/>
        </w:rPr>
        <w:t xml:space="preserve"> Every user chat question and its exact retrieved/cited documents are preserved in the persistent audit log, reviewable through the top-bar history dashboard.</w:t>
      </w:r>
    </w:p>
    <w:p>
      <w:pPr>
        <w:pStyle w:val="Heading2"/>
        <w:keepNext/>
        <w:spacing w:before="280" w:after="120"/>
      </w:pPr>
      <w:r>
        <w:rPr>
          <w:rFonts w:ascii="Segoe UI" w:hAnsi="Segoe UI"/>
          <w:b/>
          <w:color w:val="1D4ED8"/>
          <w:sz w:val="26"/>
        </w:rPr>
        <w:t>4.3 Feature 3: Biomedical NER &amp; Concept Explorer</w:t>
      </w:r>
    </w:p>
    <w:p>
      <w:pPr>
        <w:spacing w:before="0" w:after="120" w:line="276" w:lineRule="auto"/>
      </w:pPr>
      <w:r>
        <w:rPr>
          <w:rFonts w:ascii="Segoe UI" w:hAnsi="Segoe UI"/>
          <w:color w:val="334155"/>
          <w:sz w:val="20"/>
        </w:rPr>
        <w:t>The Biomedical NER &amp; Concept Explorer (Presentation Slides 06, 10, 11, and 12) provides a standardized ontology browser that unifies biomedical nomenclature across studies:</w:t>
      </w:r>
    </w:p>
    <w:p>
      <w:pPr>
        <w:pStyle w:val="ListBullet"/>
        <w:spacing w:before="0" w:after="60" w:line="276" w:lineRule="auto"/>
      </w:pPr>
      <w:r>
        <w:rPr>
          <w:rFonts w:ascii="Segoe UI" w:hAnsi="Segoe UI"/>
          <w:b/>
          <w:color w:val="0F172A"/>
          <w:sz w:val="20"/>
        </w:rPr>
        <w:t>1. Semantic Category Filtering:</w:t>
      </w:r>
      <w:r>
        <w:rPr>
          <w:rFonts w:ascii="Segoe UI" w:hAnsi="Segoe UI"/>
          <w:color w:val="334155"/>
          <w:sz w:val="20"/>
        </w:rPr>
        <w:t xml:space="preserve"> Filters entities into four core semantic types: Conditions (Diseases), Drugs (Active Ingredients &amp; Classes), Outcomes (Primary Endpoints), and Genes/Proteins.</w:t>
      </w:r>
    </w:p>
    <w:p>
      <w:pPr>
        <w:pStyle w:val="ListBullet"/>
        <w:spacing w:before="0" w:after="60" w:line="276" w:lineRule="auto"/>
      </w:pPr>
      <w:r>
        <w:rPr>
          <w:rFonts w:ascii="Segoe UI" w:hAnsi="Segoe UI"/>
          <w:b/>
          <w:color w:val="0F172A"/>
          <w:sz w:val="20"/>
        </w:rPr>
        <w:t>2. Canonical Entity Normalization:</w:t>
      </w:r>
      <w:r>
        <w:rPr>
          <w:rFonts w:ascii="Segoe UI" w:hAnsi="Segoe UI"/>
          <w:color w:val="334155"/>
          <w:sz w:val="20"/>
        </w:rPr>
        <w:t xml:space="preserve"> Maps every entity mention to its canonical UMLS Concept Unique Identifier (CUI), MeSH ID, or RxNorm code (e.g. Progression of Kidney Disease -&gt; C0403447; Empagliflozin -&gt; C3174246).</w:t>
      </w:r>
    </w:p>
    <w:p>
      <w:pPr>
        <w:pStyle w:val="ListBullet"/>
        <w:spacing w:before="0" w:after="60" w:line="276" w:lineRule="auto"/>
      </w:pPr>
      <w:r>
        <w:rPr>
          <w:rFonts w:ascii="Segoe UI" w:hAnsi="Segoe UI"/>
          <w:b/>
          <w:color w:val="0F172A"/>
          <w:sz w:val="20"/>
        </w:rPr>
        <w:t>3. Entity Co-occurrence Graph Connections:</w:t>
      </w:r>
      <w:r>
        <w:rPr>
          <w:rFonts w:ascii="Segoe UI" w:hAnsi="Segoe UI"/>
          <w:color w:val="334155"/>
          <w:sz w:val="20"/>
        </w:rPr>
        <w:t xml:space="preserve"> Dynamic side-panel calculating entities most strongly connected to the selected concept across research trial populations, interventions, and reported outcomes (e.g. selecting 'Progression of Kidney Disease' reveals co-occurrences with Chronic Kidney Disease [3 shared], All-Cause Mortality [6 shared], SGLT2 inhibitor therapy [4 shared]).</w:t>
      </w:r>
    </w:p>
    <w:p>
      <w:pPr>
        <w:pStyle w:val="ListBullet"/>
        <w:spacing w:before="0" w:after="60" w:line="276" w:lineRule="auto"/>
      </w:pPr>
      <w:r>
        <w:rPr>
          <w:rFonts w:ascii="Segoe UI" w:hAnsi="Segoe UI"/>
          <w:b/>
          <w:color w:val="0F172A"/>
          <w:sz w:val="20"/>
        </w:rPr>
        <w:t>4. Source Mentions &amp; Sentence Provenance:</w:t>
      </w:r>
      <w:r>
        <w:rPr>
          <w:rFonts w:ascii="Segoe UI" w:hAnsi="Segoe UI"/>
          <w:color w:val="334155"/>
          <w:sz w:val="20"/>
        </w:rPr>
        <w:t xml:space="preserve"> Displays every indexed publication mentioning the entity, with highlighted sentence spans and direct PubMed PMID badges.</w:t>
      </w:r>
    </w:p>
    <w:p>
      <w:pPr>
        <w:pStyle w:val="ListBullet"/>
        <w:spacing w:before="0" w:after="60" w:line="276" w:lineRule="auto"/>
      </w:pPr>
      <w:r>
        <w:rPr>
          <w:rFonts w:ascii="Segoe UI" w:hAnsi="Segoe UI"/>
          <w:b/>
          <w:color w:val="0F172A"/>
          <w:sz w:val="20"/>
        </w:rPr>
        <w:t>5. JSON Concept Export:</w:t>
      </w:r>
      <w:r>
        <w:rPr>
          <w:rFonts w:ascii="Segoe UI" w:hAnsi="Segoe UI"/>
          <w:color w:val="334155"/>
          <w:sz w:val="20"/>
        </w:rPr>
        <w:t xml:space="preserve"> Allows clinical data scientists to download the complete corpus concept catalog formatted for downstream BioBERT or knowledge base ingestion.</w:t>
      </w:r>
    </w:p>
    <w:p>
      <w:pPr>
        <w:pStyle w:val="Heading2"/>
        <w:keepNext/>
        <w:spacing w:before="280" w:after="120"/>
      </w:pPr>
      <w:r>
        <w:rPr>
          <w:rFonts w:ascii="Segoe UI" w:hAnsi="Segoe UI"/>
          <w:b/>
          <w:color w:val="1D4ED8"/>
          <w:sz w:val="26"/>
        </w:rPr>
        <w:t>4.4 Feature 4: Structured PICO Evidence Extraction Grid</w:t>
      </w:r>
    </w:p>
    <w:p>
      <w:pPr>
        <w:spacing w:before="0" w:after="120" w:line="276" w:lineRule="auto"/>
      </w:pPr>
      <w:r>
        <w:rPr>
          <w:rFonts w:ascii="Segoe UI" w:hAnsi="Segoe UI"/>
          <w:color w:val="334155"/>
          <w:sz w:val="20"/>
        </w:rPr>
        <w:t>The PICO Evidence Grid (Presentation Slide 07) provides an audit-ready, tabular synthesis designed specifically for systematic literature review (SLR) and Health Technology Assessment (HTA) teams:</w:t>
      </w:r>
    </w:p>
    <w:p>
      <w:pPr>
        <w:pStyle w:val="ListBullet"/>
        <w:spacing w:before="0" w:after="60" w:line="276" w:lineRule="auto"/>
      </w:pPr>
      <w:r>
        <w:rPr>
          <w:rFonts w:ascii="Segoe UI" w:hAnsi="Segoe UI"/>
          <w:b/>
          <w:color w:val="0F172A"/>
          <w:sz w:val="20"/>
        </w:rPr>
        <w:t>1. Standardized 10-Column Evidence Matrix:</w:t>
      </w:r>
      <w:r>
        <w:rPr>
          <w:rFonts w:ascii="Segoe UI" w:hAnsi="Segoe UI"/>
          <w:color w:val="334155"/>
          <w:sz w:val="20"/>
        </w:rPr>
        <w:t xml:space="preserve"> Each row represents a specific trial arm and reported endpoint with 10 standardized columns: STUDY / PMID, DESIGN, SAMPLE (N), INTERVENTION, COMPARATOR, OUTCOME, EFFECT SIZE &amp; CI, P-VALUE, DIRECTION, and EVIDENCE SENTENCE.</w:t>
      </w:r>
    </w:p>
    <w:p>
      <w:pPr>
        <w:pStyle w:val="ListBullet"/>
        <w:spacing w:before="0" w:after="60" w:line="276" w:lineRule="auto"/>
      </w:pPr>
      <w:r>
        <w:rPr>
          <w:rFonts w:ascii="Segoe UI" w:hAnsi="Segoe UI"/>
          <w:b/>
          <w:color w:val="0F172A"/>
          <w:sz w:val="20"/>
        </w:rPr>
        <w:t>2. Multi-Variable Filtering:</w:t>
      </w:r>
      <w:r>
        <w:rPr>
          <w:rFonts w:ascii="Segoe UI" w:hAnsi="Segoe UI"/>
          <w:color w:val="334155"/>
          <w:sz w:val="20"/>
        </w:rPr>
        <w:t xml:space="preserve"> Allows clinicians to instantly cross-filter by pharmacological compound (e.g. Empagliflozin, Dapagliflozin, Canagliflozin) and clinical outcome (e.g. Progression of Kidney Disease, All-Cause Mortality, Heart Failure Hospitalization).</w:t>
      </w:r>
    </w:p>
    <w:p>
      <w:pPr>
        <w:pStyle w:val="ListBullet"/>
        <w:spacing w:before="0" w:after="60" w:line="276" w:lineRule="auto"/>
      </w:pPr>
      <w:r>
        <w:rPr>
          <w:rFonts w:ascii="Segoe UI" w:hAnsi="Segoe UI"/>
          <w:b/>
          <w:color w:val="0F172A"/>
          <w:sz w:val="20"/>
        </w:rPr>
        <w:t>3. Interactive Sentence Proof Modal:</w:t>
      </w:r>
      <w:r>
        <w:rPr>
          <w:rFonts w:ascii="Segoe UI" w:hAnsi="Segoe UI"/>
          <w:color w:val="334155"/>
          <w:sz w:val="20"/>
        </w:rPr>
        <w:t xml:space="preserve"> Clicking 'View Quote' opens an inspection modal displaying the exact sentence from the published paper, confirming that the statistical values match primary literature.</w:t>
      </w:r>
    </w:p>
    <w:p>
      <w:pPr>
        <w:pStyle w:val="ListBullet"/>
        <w:spacing w:before="0" w:after="60" w:line="276" w:lineRule="auto"/>
      </w:pPr>
      <w:r>
        <w:rPr>
          <w:rFonts w:ascii="Segoe UI" w:hAnsi="Segoe UI"/>
          <w:b/>
          <w:color w:val="0F172A"/>
          <w:sz w:val="20"/>
        </w:rPr>
        <w:t>4. One-Click Systematic Review Export:</w:t>
      </w:r>
      <w:r>
        <w:rPr>
          <w:rFonts w:ascii="Segoe UI" w:hAnsi="Segoe UI"/>
          <w:color w:val="334155"/>
          <w:sz w:val="20"/>
        </w:rPr>
        <w:t xml:space="preserve"> Generates an RFC 4180 compliant CSV file ready for immediate import into meta-analysis software (RevMan, DistillerSR, or R meta-packages).</w:t>
      </w:r>
    </w:p>
    <w:p>
      <w:pPr>
        <w:pStyle w:val="Heading2"/>
        <w:keepNext/>
        <w:spacing w:before="280" w:after="120"/>
      </w:pPr>
      <w:r>
        <w:rPr>
          <w:rFonts w:ascii="Segoe UI" w:hAnsi="Segoe UI"/>
          <w:b/>
          <w:color w:val="1D4ED8"/>
          <w:sz w:val="26"/>
        </w:rPr>
        <w:t>4.5 Feature 5: Interactive Knowledge Graph (KG Explorer)</w:t>
      </w:r>
    </w:p>
    <w:p>
      <w:pPr>
        <w:spacing w:before="0" w:after="120" w:line="276" w:lineRule="auto"/>
      </w:pPr>
      <w:r>
        <w:rPr>
          <w:rFonts w:ascii="Segoe UI" w:hAnsi="Segoe UI"/>
          <w:color w:val="334155"/>
          <w:sz w:val="20"/>
        </w:rPr>
        <w:t>The Interactive Knowledge Graph (Presentation Slides 08 and 09) provides an intuitive 2D/3D force-directed canvas visualizing multi-hop clinical relations:</w:t>
      </w:r>
    </w:p>
    <w:p>
      <w:pPr>
        <w:pStyle w:val="ListBullet"/>
        <w:spacing w:before="0" w:after="60" w:line="276" w:lineRule="auto"/>
      </w:pPr>
      <w:r>
        <w:rPr>
          <w:rFonts w:ascii="Segoe UI" w:hAnsi="Segoe UI"/>
          <w:b/>
          <w:color w:val="0F172A"/>
          <w:sz w:val="20"/>
        </w:rPr>
        <w:t>1. Multi-Hop Visual Canvas:</w:t>
      </w:r>
      <w:r>
        <w:rPr>
          <w:rFonts w:ascii="Segoe UI" w:hAnsi="Segoe UI"/>
          <w:color w:val="334155"/>
          <w:sz w:val="20"/>
        </w:rPr>
        <w:t xml:space="preserve"> Visualizes nodes with semantic color coding: Article (Orange/Blue), Drug Class (Purple), Drug (Green/Cyan), Condition (Red/Rose), Population (Amber/Indigo), and Outcome (Cyan/Sky Blue).</w:t>
      </w:r>
    </w:p>
    <w:p>
      <w:pPr>
        <w:pStyle w:val="ListBullet"/>
        <w:spacing w:before="0" w:after="60" w:line="276" w:lineRule="auto"/>
      </w:pPr>
      <w:r>
        <w:rPr>
          <w:rFonts w:ascii="Segoe UI" w:hAnsi="Segoe UI"/>
          <w:b/>
          <w:color w:val="0F172A"/>
          <w:sz w:val="20"/>
        </w:rPr>
        <w:t>2. Dual Display Modes:</w:t>
      </w:r>
      <w:r>
        <w:rPr>
          <w:rFonts w:ascii="Segoe UI" w:hAnsi="Segoe UI"/>
          <w:color w:val="334155"/>
          <w:sz w:val="20"/>
        </w:rPr>
        <w:t xml:space="preserve"> Toggle between semantic entity categories ('Entity Type') and modularity-based community detection ('Community Clusters' via Leiden algorithm).</w:t>
      </w:r>
    </w:p>
    <w:p>
      <w:pPr>
        <w:pStyle w:val="ListBullet"/>
        <w:spacing w:before="0" w:after="60" w:line="276" w:lineRule="auto"/>
      </w:pPr>
      <w:r>
        <w:rPr>
          <w:rFonts w:ascii="Segoe UI" w:hAnsi="Segoe UI"/>
          <w:b/>
          <w:color w:val="0F172A"/>
          <w:sz w:val="20"/>
        </w:rPr>
        <w:t>3. Graph Control Suite:</w:t>
      </w:r>
      <w:r>
        <w:rPr>
          <w:rFonts w:ascii="Segoe UI" w:hAnsi="Segoe UI"/>
          <w:color w:val="334155"/>
          <w:sz w:val="20"/>
        </w:rPr>
        <w:t xml:space="preserve"> Interactive search bar ('Find concept, drug, study...'), 'Hide Chunks' toggle, 'Freeze Layout' physics stabilization, and multi-select entity type checkboxes.</w:t>
      </w:r>
    </w:p>
    <w:p>
      <w:pPr>
        <w:pStyle w:val="ListBullet"/>
        <w:spacing w:before="0" w:after="60" w:line="276" w:lineRule="auto"/>
      </w:pPr>
      <w:r>
        <w:rPr>
          <w:rFonts w:ascii="Segoe UI" w:hAnsi="Segoe UI"/>
          <w:b/>
          <w:color w:val="0F172A"/>
          <w:sz w:val="20"/>
        </w:rPr>
        <w:t>4. Node Click Inspector:</w:t>
      </w:r>
      <w:r>
        <w:rPr>
          <w:rFonts w:ascii="Segoe UI" w:hAnsi="Segoe UI"/>
          <w:color w:val="334155"/>
          <w:sz w:val="20"/>
        </w:rPr>
        <w:t xml:space="preserve"> Clicking any node opens an inspector card displaying its UMLS CUI, connected degree, associated publications, and property metadata.</w:t>
      </w:r>
    </w:p>
    <w:p>
      <w:pPr>
        <w:pStyle w:val="Heading2"/>
        <w:keepNext/>
        <w:spacing w:before="280" w:after="120"/>
      </w:pPr>
      <w:r>
        <w:rPr>
          <w:rFonts w:ascii="Segoe UI" w:hAnsi="Segoe UI"/>
          <w:b/>
          <w:color w:val="1D4ED8"/>
          <w:sz w:val="26"/>
        </w:rPr>
        <w:t>4.6 Natural Language Chat System Prompt &amp; Clinical Query Strategy</w:t>
      </w:r>
    </w:p>
    <w:p>
      <w:pPr>
        <w:spacing w:before="0" w:after="120" w:line="276" w:lineRule="auto"/>
      </w:pPr>
      <w:r>
        <w:rPr>
          <w:rFonts w:ascii="Segoe UI" w:hAnsi="Segoe UI"/>
          <w:color w:val="334155"/>
          <w:sz w:val="20"/>
        </w:rPr>
        <w:t>To eliminate user friction, the platform accepts unstructured, natural language, and colloquial clinical inquiries without requiring knowledge of formal Boolean syntax or database schema names:</w:t>
      </w:r>
    </w:p>
    <w:p>
      <w:pPr>
        <w:pStyle w:val="ListBullet"/>
        <w:spacing w:before="0" w:after="60" w:line="276" w:lineRule="auto"/>
      </w:pPr>
      <w:r>
        <w:rPr>
          <w:rFonts w:ascii="Segoe UI" w:hAnsi="Segoe UI"/>
          <w:b/>
          <w:color w:val="0F172A"/>
          <w:sz w:val="20"/>
        </w:rPr>
        <w:t>1. Domain-Aware Entity Resolution:</w:t>
      </w:r>
      <w:r>
        <w:rPr>
          <w:rFonts w:ascii="Segoe UI" w:hAnsi="Segoe UI"/>
          <w:color w:val="334155"/>
          <w:sz w:val="20"/>
        </w:rPr>
        <w:t xml:space="preserve"> Autonomously maps informal brand names, investigational codes, and acronyms (e.g. 'Entresto', 'LCZ696', 'Kisqali', 'Farxiga', 'T2DM', 'HFrEF') to canonical UMLS CUIs, MeSH terms, and RxNorm codes.</w:t>
      </w:r>
    </w:p>
    <w:p>
      <w:pPr>
        <w:pStyle w:val="ListBullet"/>
        <w:spacing w:before="0" w:after="60" w:line="276" w:lineRule="auto"/>
      </w:pPr>
      <w:r>
        <w:rPr>
          <w:rFonts w:ascii="Segoe UI" w:hAnsi="Segoe UI"/>
          <w:b/>
          <w:color w:val="0F172A"/>
          <w:sz w:val="20"/>
        </w:rPr>
        <w:t>2. Autonomous Route Classification:</w:t>
      </w:r>
      <w:r>
        <w:rPr>
          <w:rFonts w:ascii="Segoe UI" w:hAnsi="Segoe UI"/>
          <w:color w:val="334155"/>
          <w:sz w:val="20"/>
        </w:rPr>
        <w:t xml:space="preserve"> Dynamically selects between graph traversal, deterministic aggregation, Leiden community summaries, or dense vector ranking based on linguistic signatures.</w:t>
      </w:r>
    </w:p>
    <w:p>
      <w:pPr>
        <w:pStyle w:val="ListBullet"/>
        <w:spacing w:before="0" w:after="60" w:line="276" w:lineRule="auto"/>
      </w:pPr>
      <w:r>
        <w:rPr>
          <w:rFonts w:ascii="Segoe UI" w:hAnsi="Segoe UI"/>
          <w:b/>
          <w:color w:val="0F172A"/>
          <w:sz w:val="20"/>
        </w:rPr>
        <w:t>3. Zero-Hallucination &amp; NLI Guardrails:</w:t>
      </w:r>
      <w:r>
        <w:rPr>
          <w:rFonts w:ascii="Segoe UI" w:hAnsi="Segoe UI"/>
          <w:color w:val="334155"/>
          <w:sz w:val="20"/>
        </w:rPr>
        <w:t xml:space="preserve"> Enforces that all numerical claims, hazard ratios, and confidence intervals strictly derive from indexed evidence rows with mandatory [PMID:XXXXXXXX] citations.</w:t>
      </w:r>
    </w:p>
    <w:p>
      <w:pPr>
        <w:pStyle w:val="Heading2"/>
        <w:keepNext/>
        <w:spacing w:before="280" w:after="120"/>
      </w:pPr>
      <w:r>
        <w:rPr>
          <w:rFonts w:ascii="Segoe UI" w:hAnsi="Segoe UI"/>
          <w:b/>
          <w:color w:val="1D4ED8"/>
          <w:sz w:val="26"/>
        </w:rPr>
        <w:t>4.7 Autonomous Tri-Tier Prompt Refiner (PromptRefinerAgent)</w:t>
      </w:r>
    </w:p>
    <w:p>
      <w:pPr>
        <w:spacing w:before="0" w:after="120" w:line="276" w:lineRule="auto"/>
      </w:pPr>
      <w:r>
        <w:rPr>
          <w:rFonts w:ascii="Segoe UI" w:hAnsi="Segoe UI"/>
          <w:color w:val="334155"/>
          <w:sz w:val="20"/>
        </w:rPr>
        <w:t>For every user inquiry, the platform's PromptRefinerAgent synthesizes three targeted clinical prompt formulations displayed as interactive chips in the UI:</w:t>
      </w:r>
    </w:p>
    <w:p>
      <w:pPr>
        <w:pStyle w:val="ListBullet"/>
        <w:spacing w:before="0" w:after="60" w:line="276" w:lineRule="auto"/>
      </w:pPr>
      <w:r>
        <w:rPr>
          <w:rFonts w:ascii="Segoe UI" w:hAnsi="Segoe UI"/>
          <w:b/>
          <w:color w:val="0F172A"/>
          <w:sz w:val="20"/>
        </w:rPr>
        <w:t>1. Comparative Head-to-Head Angle:</w:t>
      </w:r>
      <w:r>
        <w:rPr>
          <w:rFonts w:ascii="Segoe UI" w:hAnsi="Segoe UI"/>
          <w:color w:val="334155"/>
          <w:sz w:val="20"/>
        </w:rPr>
        <w:t xml:space="preserve"> Focuses on head-to-head relative risk reductions, hazard ratios, and primary efficacy endpoints between the primary drug and active comparators.</w:t>
      </w:r>
    </w:p>
    <w:p>
      <w:pPr>
        <w:pStyle w:val="ListBullet"/>
        <w:spacing w:before="0" w:after="60" w:line="276" w:lineRule="auto"/>
      </w:pPr>
      <w:r>
        <w:rPr>
          <w:rFonts w:ascii="Segoe UI" w:hAnsi="Segoe UI"/>
          <w:b/>
          <w:color w:val="0F172A"/>
          <w:sz w:val="20"/>
        </w:rPr>
        <w:t>2. Safety &amp; Biomarker Deep-Dive Angle:</w:t>
      </w:r>
      <w:r>
        <w:rPr>
          <w:rFonts w:ascii="Segoe UI" w:hAnsi="Segoe UI"/>
          <w:color w:val="334155"/>
          <w:sz w:val="20"/>
        </w:rPr>
        <w:t xml:space="preserve"> Investigates adverse events, tolerability, discontinuation rates, or key laboratory biomarkers (e.g. hyperkalemia, acute kidney injury, neutropenia, eGFR trajectory).</w:t>
      </w:r>
    </w:p>
    <w:p>
      <w:pPr>
        <w:pStyle w:val="ListBullet"/>
        <w:spacing w:before="0" w:after="60" w:line="276" w:lineRule="auto"/>
      </w:pPr>
      <w:r>
        <w:rPr>
          <w:rFonts w:ascii="Segoe UI" w:hAnsi="Segoe UI"/>
          <w:b/>
          <w:color w:val="0F172A"/>
          <w:sz w:val="20"/>
        </w:rPr>
        <w:t>3. Guideline &amp; Class Landscape Angle:</w:t>
      </w:r>
      <w:r>
        <w:rPr>
          <w:rFonts w:ascii="Segoe UI" w:hAnsi="Segoe UI"/>
          <w:color w:val="334155"/>
          <w:sz w:val="20"/>
        </w:rPr>
        <w:t xml:space="preserve"> Synthesizes broad disease guidelines, 4-pillar medical therapy synergy, and multi-trial consensus paradigms.</w:t>
      </w:r>
    </w:p>
    <w:p>
      <w:pPr>
        <w:pStyle w:val="Heading2"/>
        <w:keepNext/>
        <w:spacing w:before="280" w:after="120"/>
      </w:pPr>
      <w:r>
        <w:rPr>
          <w:rFonts w:ascii="Segoe UI" w:hAnsi="Segoe UI"/>
          <w:b/>
          <w:color w:val="1D4ED8"/>
          <w:sz w:val="26"/>
        </w:rPr>
        <w:t>4.8 Persistent Query &amp; Document Ingestion Audit Store (HistoryStore)</w:t>
      </w:r>
    </w:p>
    <w:p>
      <w:pPr>
        <w:spacing w:before="0" w:after="120" w:line="276" w:lineRule="auto"/>
      </w:pPr>
      <w:r>
        <w:rPr>
          <w:rFonts w:ascii="Segoe UI" w:hAnsi="Segoe UI"/>
          <w:color w:val="334155"/>
          <w:sz w:val="20"/>
        </w:rPr>
        <w:t>To comply with stringent pharmaceutical compliance and Good Clinical Practice (GCP) standards, the platform maintains a persistent, thread-safe audit store on disk (data/audit_history.json):</w:t>
      </w:r>
    </w:p>
    <w:p>
      <w:pPr>
        <w:pStyle w:val="ListBullet"/>
        <w:spacing w:before="0" w:after="60" w:line="276" w:lineRule="auto"/>
      </w:pPr>
      <w:r>
        <w:rPr>
          <w:rFonts w:ascii="Segoe UI" w:hAnsi="Segoe UI"/>
          <w:b/>
          <w:color w:val="0F172A"/>
          <w:sz w:val="20"/>
        </w:rPr>
        <w:t>1. Query &amp; Retrieved Document Logging:</w:t>
      </w:r>
      <w:r>
        <w:rPr>
          <w:rFonts w:ascii="Segoe UI" w:hAnsi="Segoe UI"/>
          <w:color w:val="334155"/>
          <w:sz w:val="20"/>
        </w:rPr>
        <w:t xml:space="preserve"> Logs query text, timestamp, classified route, NLI audit status, and the exact list of clinical trial publications (PMIDs, titles, sample sizes, reported endpoints) used to generate the answer.</w:t>
      </w:r>
    </w:p>
    <w:p>
      <w:pPr>
        <w:pStyle w:val="ListBullet"/>
        <w:spacing w:before="0" w:after="60" w:line="276" w:lineRule="auto"/>
      </w:pPr>
      <w:r>
        <w:rPr>
          <w:rFonts w:ascii="Segoe UI" w:hAnsi="Segoe UI"/>
          <w:b/>
          <w:color w:val="0F172A"/>
          <w:sz w:val="20"/>
        </w:rPr>
        <w:t>2. Ingestion Operations Traceability:</w:t>
      </w:r>
      <w:r>
        <w:rPr>
          <w:rFonts w:ascii="Segoe UI" w:hAnsi="Segoe UI"/>
          <w:color w:val="334155"/>
          <w:sz w:val="20"/>
        </w:rPr>
        <w:t xml:space="preserve"> Logs user input queries, resulting PMIDs retrieved from PubMed, section chunks created, and knowledge graph edges committed.</w:t>
      </w:r>
    </w:p>
    <w:p>
      <w:pPr>
        <w:pStyle w:val="ListBullet"/>
        <w:spacing w:before="0" w:after="60" w:line="276" w:lineRule="auto"/>
      </w:pPr>
      <w:r>
        <w:rPr>
          <w:rFonts w:ascii="Segoe UI" w:hAnsi="Segoe UI"/>
          <w:b/>
          <w:color w:val="0F172A"/>
          <w:sz w:val="20"/>
        </w:rPr>
        <w:t>3. Enterprise Audit Modal &amp; API:</w:t>
      </w:r>
      <w:r>
        <w:rPr>
          <w:rFonts w:ascii="Segoe UI" w:hAnsi="Segoe UI"/>
          <w:color w:val="334155"/>
          <w:sz w:val="20"/>
        </w:rPr>
        <w:t xml:space="preserve"> Accessible via interactive UI modal (with 'Re-Run Query' action) and programmatic REST endpoints (GET /api/history, DELETE /api/history).</w:t>
      </w:r>
    </w:p>
    <w:p>
      <w:pPr>
        <w:pStyle w:val="Heading1"/>
        <w:keepNext/>
        <w:spacing w:before="400" w:after="160"/>
      </w:pPr>
      <w:r>
        <w:rPr>
          <w:rFonts w:ascii="Segoe UI" w:hAnsi="Segoe UI"/>
          <w:b/>
          <w:color w:val="0F172A"/>
          <w:sz w:val="33"/>
        </w:rPr>
        <w:t>5. High-Level Design (HLD) &amp; Graph Schema</w:t>
      </w:r>
    </w:p>
    <w:p>
      <w:pPr>
        <w:spacing w:before="0" w:after="120" w:line="276" w:lineRule="auto"/>
      </w:pPr>
      <w:r>
        <w:rPr>
          <w:rFonts w:ascii="Segoe UI" w:hAnsi="Segoe UI"/>
          <w:color w:val="334155"/>
          <w:sz w:val="20"/>
        </w:rPr>
        <w:t>The knowledge graph schema is explicitly tailored for clinical trial literature, capturing relationships between research articles, patient populations, pharmacological interventions, comparators, and quantified clinical outcomes.</w:t>
      </w:r>
    </w:p>
    <w:p>
      <w:pPr>
        <w:pStyle w:val="Heading2"/>
        <w:keepNext/>
        <w:spacing w:before="280" w:after="120"/>
      </w:pPr>
      <w:r>
        <w:rPr>
          <w:rFonts w:ascii="Segoe UI" w:hAnsi="Segoe UI"/>
          <w:b/>
          <w:color w:val="1D4ED8"/>
          <w:sz w:val="26"/>
        </w:rPr>
        <w:t>Graph Ontology: Node Types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2160"/>
            <w:shd w:fill="0F172A"/>
            <w:tcMar>
              <w:top w:w="100" w:type="dxa"/>
              <w:bottom w:w="100" w:type="dxa"/>
              <w:left w:w="140" w:type="dxa"/>
              <w:right w:w="140" w:type="dxa"/>
            </w:tcMar>
          </w:tcPr>
          <w:p>
            <w:pPr>
              <w:spacing w:before="0" w:after="0"/>
              <w:jc w:val="left"/>
            </w:pPr>
            <w:r>
              <w:rPr>
                <w:rFonts w:ascii="Segoe UI" w:hAnsi="Segoe UI"/>
                <w:b/>
                <w:color w:val="FFFFFF"/>
                <w:sz w:val="19"/>
              </w:rPr>
              <w:t>Node Label</w:t>
            </w:r>
          </w:p>
        </w:tc>
        <w:tc>
          <w:tcPr>
            <w:tcW w:type="dxa" w:w="3600"/>
            <w:shd w:fill="0F172A"/>
            <w:tcMar>
              <w:top w:w="100" w:type="dxa"/>
              <w:bottom w:w="100" w:type="dxa"/>
              <w:left w:w="140" w:type="dxa"/>
              <w:right w:w="140" w:type="dxa"/>
            </w:tcMar>
          </w:tcPr>
          <w:p>
            <w:pPr>
              <w:spacing w:before="0" w:after="0"/>
              <w:jc w:val="left"/>
            </w:pPr>
            <w:r>
              <w:rPr>
                <w:rFonts w:ascii="Segoe UI" w:hAnsi="Segoe UI"/>
                <w:b/>
                <w:color w:val="FFFFFF"/>
                <w:sz w:val="19"/>
              </w:rPr>
              <w:t>Key Properties</w:t>
            </w:r>
          </w:p>
        </w:tc>
        <w:tc>
          <w:tcPr>
            <w:tcW w:type="dxa" w:w="3600"/>
            <w:shd w:fill="0F172A"/>
            <w:tcMar>
              <w:top w:w="100" w:type="dxa"/>
              <w:bottom w:w="100" w:type="dxa"/>
              <w:left w:w="140" w:type="dxa"/>
              <w:right w:w="140" w:type="dxa"/>
            </w:tcMar>
          </w:tcPr>
          <w:p>
            <w:pPr>
              <w:spacing w:before="0" w:after="0"/>
              <w:jc w:val="left"/>
            </w:pPr>
            <w:r>
              <w:rPr>
                <w:rFonts w:ascii="Segoe UI" w:hAnsi="Segoe UI"/>
                <w:b/>
                <w:color w:val="FFFFFF"/>
                <w:sz w:val="19"/>
              </w:rPr>
              <w:t>Biomedical Role</w:t>
            </w:r>
          </w:p>
        </w:tc>
      </w:tr>
      <w:tr>
        <w:tc>
          <w:tcPr>
            <w:tcW w:type="dxa" w:w="2160"/>
            <w:shd w:fill="FFFFFF"/>
            <w:tcMar>
              <w:top w:w="80" w:type="dxa"/>
              <w:bottom w:w="80" w:type="dxa"/>
              <w:left w:w="140" w:type="dxa"/>
              <w:right w:w="140" w:type="dxa"/>
            </w:tcMar>
          </w:tcPr>
          <w:p>
            <w:pPr>
              <w:spacing w:before="0" w:after="0" w:line="264" w:lineRule="auto"/>
            </w:pPr>
            <w:r>
              <w:rPr>
                <w:rFonts w:ascii="Segoe UI" w:hAnsi="Segoe UI"/>
                <w:color w:val="1E293B"/>
                <w:sz w:val="18"/>
              </w:rPr>
              <w:t>Article</w:t>
            </w:r>
          </w:p>
        </w:tc>
        <w:tc>
          <w:tcPr>
            <w:tcW w:type="dxa" w:w="3600"/>
            <w:shd w:fill="FFFFFF"/>
            <w:tcMar>
              <w:top w:w="80" w:type="dxa"/>
              <w:bottom w:w="80" w:type="dxa"/>
              <w:left w:w="140" w:type="dxa"/>
              <w:right w:w="140" w:type="dxa"/>
            </w:tcMar>
          </w:tcPr>
          <w:p>
            <w:pPr>
              <w:spacing w:before="0" w:after="0" w:line="264" w:lineRule="auto"/>
            </w:pPr>
            <w:r>
              <w:rPr>
                <w:rFonts w:ascii="Segoe UI" w:hAnsi="Segoe UI"/>
                <w:color w:val="1E293B"/>
                <w:sz w:val="18"/>
              </w:rPr>
              <w:t>pmid, doi, title, journal, year, study_design</w:t>
            </w:r>
          </w:p>
        </w:tc>
        <w:tc>
          <w:tcPr>
            <w:tcW w:type="dxa" w:w="3600"/>
            <w:shd w:fill="FFFFFF"/>
            <w:tcMar>
              <w:top w:w="80" w:type="dxa"/>
              <w:bottom w:w="80" w:type="dxa"/>
              <w:left w:w="140" w:type="dxa"/>
              <w:right w:w="140" w:type="dxa"/>
            </w:tcMar>
          </w:tcPr>
          <w:p>
            <w:pPr>
              <w:spacing w:before="0" w:after="0" w:line="264" w:lineRule="auto"/>
            </w:pPr>
            <w:r>
              <w:rPr>
                <w:rFonts w:ascii="Segoe UI" w:hAnsi="Segoe UI"/>
                <w:color w:val="1E293B"/>
                <w:sz w:val="18"/>
              </w:rPr>
              <w:t>Core publication node capturing study design &amp; provenance.</w:t>
            </w:r>
          </w:p>
        </w:tc>
      </w:tr>
      <w:tr>
        <w:tc>
          <w:tcPr>
            <w:tcW w:type="dxa" w:w="2160"/>
            <w:shd w:fill="F8FAFC"/>
            <w:tcMar>
              <w:top w:w="80" w:type="dxa"/>
              <w:bottom w:w="80" w:type="dxa"/>
              <w:left w:w="140" w:type="dxa"/>
              <w:right w:w="140" w:type="dxa"/>
            </w:tcMar>
          </w:tcPr>
          <w:p>
            <w:pPr>
              <w:spacing w:before="0" w:after="0" w:line="264" w:lineRule="auto"/>
            </w:pPr>
            <w:r>
              <w:rPr>
                <w:rFonts w:ascii="Segoe UI" w:hAnsi="Segoe UI"/>
                <w:color w:val="1E293B"/>
                <w:sz w:val="18"/>
              </w:rPr>
              <w:t>Chunk</w:t>
            </w:r>
          </w:p>
        </w:tc>
        <w:tc>
          <w:tcPr>
            <w:tcW w:type="dxa" w:w="3600"/>
            <w:shd w:fill="F8FAFC"/>
            <w:tcMar>
              <w:top w:w="80" w:type="dxa"/>
              <w:bottom w:w="80" w:type="dxa"/>
              <w:left w:w="140" w:type="dxa"/>
              <w:right w:w="140" w:type="dxa"/>
            </w:tcMar>
          </w:tcPr>
          <w:p>
            <w:pPr>
              <w:spacing w:before="0" w:after="0" w:line="264" w:lineRule="auto"/>
            </w:pPr>
            <w:r>
              <w:rPr>
                <w:rFonts w:ascii="Segoe UI" w:hAnsi="Segoe UI"/>
                <w:color w:val="1E293B"/>
                <w:sz w:val="18"/>
              </w:rPr>
              <w:t>chunk_id, section, text_content, token_count</w:t>
            </w:r>
          </w:p>
        </w:tc>
        <w:tc>
          <w:tcPr>
            <w:tcW w:type="dxa" w:w="3600"/>
            <w:shd w:fill="F8FAFC"/>
            <w:tcMar>
              <w:top w:w="80" w:type="dxa"/>
              <w:bottom w:w="80" w:type="dxa"/>
              <w:left w:w="140" w:type="dxa"/>
              <w:right w:w="140" w:type="dxa"/>
            </w:tcMar>
          </w:tcPr>
          <w:p>
            <w:pPr>
              <w:spacing w:before="0" w:after="0" w:line="264" w:lineRule="auto"/>
            </w:pPr>
            <w:r>
              <w:rPr>
                <w:rFonts w:ascii="Segoe UI" w:hAnsi="Segoe UI"/>
                <w:color w:val="1E293B"/>
                <w:sz w:val="18"/>
              </w:rPr>
              <w:t>Section-aware textual unit preserving exact sentence context.</w:t>
            </w:r>
          </w:p>
        </w:tc>
      </w:tr>
      <w:tr>
        <w:tc>
          <w:tcPr>
            <w:tcW w:type="dxa" w:w="2160"/>
            <w:shd w:fill="FFFFFF"/>
            <w:tcMar>
              <w:top w:w="80" w:type="dxa"/>
              <w:bottom w:w="80" w:type="dxa"/>
              <w:left w:w="140" w:type="dxa"/>
              <w:right w:w="140" w:type="dxa"/>
            </w:tcMar>
          </w:tcPr>
          <w:p>
            <w:pPr>
              <w:spacing w:before="0" w:after="0" w:line="264" w:lineRule="auto"/>
            </w:pPr>
            <w:r>
              <w:rPr>
                <w:rFonts w:ascii="Segoe UI" w:hAnsi="Segoe UI"/>
                <w:color w:val="1E293B"/>
                <w:sz w:val="18"/>
              </w:rPr>
              <w:t>Population</w:t>
            </w:r>
          </w:p>
        </w:tc>
        <w:tc>
          <w:tcPr>
            <w:tcW w:type="dxa" w:w="3600"/>
            <w:shd w:fill="FFFFFF"/>
            <w:tcMar>
              <w:top w:w="80" w:type="dxa"/>
              <w:bottom w:w="80" w:type="dxa"/>
              <w:left w:w="140" w:type="dxa"/>
              <w:right w:w="140" w:type="dxa"/>
            </w:tcMar>
          </w:tcPr>
          <w:p>
            <w:pPr>
              <w:spacing w:before="0" w:after="0" w:line="264" w:lineRule="auto"/>
            </w:pPr>
            <w:r>
              <w:rPr>
                <w:rFonts w:ascii="Segoe UI" w:hAnsi="Segoe UI"/>
                <w:color w:val="1E293B"/>
                <w:sz w:val="18"/>
              </w:rPr>
              <w:t>pop_id, description, condition_cui, sample_size_n, age</w:t>
            </w:r>
          </w:p>
        </w:tc>
        <w:tc>
          <w:tcPr>
            <w:tcW w:type="dxa" w:w="3600"/>
            <w:shd w:fill="FFFFFF"/>
            <w:tcMar>
              <w:top w:w="80" w:type="dxa"/>
              <w:bottom w:w="80" w:type="dxa"/>
              <w:left w:w="140" w:type="dxa"/>
              <w:right w:w="140" w:type="dxa"/>
            </w:tcMar>
          </w:tcPr>
          <w:p>
            <w:pPr>
              <w:spacing w:before="0" w:after="0" w:line="264" w:lineRule="auto"/>
            </w:pPr>
            <w:r>
              <w:rPr>
                <w:rFonts w:ascii="Segoe UI" w:hAnsi="Segoe UI"/>
                <w:color w:val="1E293B"/>
                <w:sz w:val="18"/>
              </w:rPr>
              <w:t>Trial cohort metadata and patient demographic boundaries.</w:t>
            </w:r>
          </w:p>
        </w:tc>
      </w:tr>
      <w:tr>
        <w:tc>
          <w:tcPr>
            <w:tcW w:type="dxa" w:w="2160"/>
            <w:shd w:fill="F8FAFC"/>
            <w:tcMar>
              <w:top w:w="80" w:type="dxa"/>
              <w:bottom w:w="80" w:type="dxa"/>
              <w:left w:w="140" w:type="dxa"/>
              <w:right w:w="140" w:type="dxa"/>
            </w:tcMar>
          </w:tcPr>
          <w:p>
            <w:pPr>
              <w:spacing w:before="0" w:after="0" w:line="264" w:lineRule="auto"/>
            </w:pPr>
            <w:r>
              <w:rPr>
                <w:rFonts w:ascii="Segoe UI" w:hAnsi="Segoe UI"/>
                <w:color w:val="1E293B"/>
                <w:sz w:val="18"/>
              </w:rPr>
              <w:t>Intervention</w:t>
            </w:r>
          </w:p>
        </w:tc>
        <w:tc>
          <w:tcPr>
            <w:tcW w:type="dxa" w:w="3600"/>
            <w:shd w:fill="F8FAFC"/>
            <w:tcMar>
              <w:top w:w="80" w:type="dxa"/>
              <w:bottom w:w="80" w:type="dxa"/>
              <w:left w:w="140" w:type="dxa"/>
              <w:right w:w="140" w:type="dxa"/>
            </w:tcMar>
          </w:tcPr>
          <w:p>
            <w:pPr>
              <w:spacing w:before="0" w:after="0" w:line="264" w:lineRule="auto"/>
            </w:pPr>
            <w:r>
              <w:rPr>
                <w:rFonts w:ascii="Segoe UI" w:hAnsi="Segoe UI"/>
                <w:color w:val="1E293B"/>
                <w:sz w:val="18"/>
              </w:rPr>
              <w:t>int_id, name, concept_cui, dose, duration</w:t>
            </w:r>
          </w:p>
        </w:tc>
        <w:tc>
          <w:tcPr>
            <w:tcW w:type="dxa" w:w="3600"/>
            <w:shd w:fill="F8FAFC"/>
            <w:tcMar>
              <w:top w:w="80" w:type="dxa"/>
              <w:bottom w:w="80" w:type="dxa"/>
              <w:left w:w="140" w:type="dxa"/>
              <w:right w:w="140" w:type="dxa"/>
            </w:tcMar>
          </w:tcPr>
          <w:p>
            <w:pPr>
              <w:spacing w:before="0" w:after="0" w:line="264" w:lineRule="auto"/>
            </w:pPr>
            <w:r>
              <w:rPr>
                <w:rFonts w:ascii="Segoe UI" w:hAnsi="Segoe UI"/>
                <w:color w:val="1E293B"/>
                <w:sz w:val="18"/>
              </w:rPr>
              <w:t>Investigational therapeutic compound or clinical intervention.</w:t>
            </w:r>
          </w:p>
        </w:tc>
      </w:tr>
      <w:tr>
        <w:tc>
          <w:tcPr>
            <w:tcW w:type="dxa" w:w="2160"/>
            <w:shd w:fill="FFFFFF"/>
            <w:tcMar>
              <w:top w:w="80" w:type="dxa"/>
              <w:bottom w:w="80" w:type="dxa"/>
              <w:left w:w="140" w:type="dxa"/>
              <w:right w:w="140" w:type="dxa"/>
            </w:tcMar>
          </w:tcPr>
          <w:p>
            <w:pPr>
              <w:spacing w:before="0" w:after="0" w:line="264" w:lineRule="auto"/>
            </w:pPr>
            <w:r>
              <w:rPr>
                <w:rFonts w:ascii="Segoe UI" w:hAnsi="Segoe UI"/>
                <w:color w:val="1E293B"/>
                <w:sz w:val="18"/>
              </w:rPr>
              <w:t>Comparator</w:t>
            </w:r>
          </w:p>
        </w:tc>
        <w:tc>
          <w:tcPr>
            <w:tcW w:type="dxa" w:w="3600"/>
            <w:shd w:fill="FFFFFF"/>
            <w:tcMar>
              <w:top w:w="80" w:type="dxa"/>
              <w:bottom w:w="80" w:type="dxa"/>
              <w:left w:w="140" w:type="dxa"/>
              <w:right w:w="140" w:type="dxa"/>
            </w:tcMar>
          </w:tcPr>
          <w:p>
            <w:pPr>
              <w:spacing w:before="0" w:after="0" w:line="264" w:lineRule="auto"/>
            </w:pPr>
            <w:r>
              <w:rPr>
                <w:rFonts w:ascii="Segoe UI" w:hAnsi="Segoe UI"/>
                <w:color w:val="1E293B"/>
                <w:sz w:val="18"/>
              </w:rPr>
              <w:t>comp_id, name, concept_cui</w:t>
            </w:r>
          </w:p>
        </w:tc>
        <w:tc>
          <w:tcPr>
            <w:tcW w:type="dxa" w:w="3600"/>
            <w:shd w:fill="FFFFFF"/>
            <w:tcMar>
              <w:top w:w="80" w:type="dxa"/>
              <w:bottom w:w="80" w:type="dxa"/>
              <w:left w:w="140" w:type="dxa"/>
              <w:right w:w="140" w:type="dxa"/>
            </w:tcMar>
          </w:tcPr>
          <w:p>
            <w:pPr>
              <w:spacing w:before="0" w:after="0" w:line="264" w:lineRule="auto"/>
            </w:pPr>
            <w:r>
              <w:rPr>
                <w:rFonts w:ascii="Segoe UI" w:hAnsi="Segoe UI"/>
                <w:color w:val="1E293B"/>
                <w:sz w:val="18"/>
              </w:rPr>
              <w:t>Control arm (placebo, active comparator, standard of care).</w:t>
            </w:r>
          </w:p>
        </w:tc>
      </w:tr>
      <w:tr>
        <w:tc>
          <w:tcPr>
            <w:tcW w:type="dxa" w:w="2160"/>
            <w:shd w:fill="F8FAFC"/>
            <w:tcMar>
              <w:top w:w="80" w:type="dxa"/>
              <w:bottom w:w="80" w:type="dxa"/>
              <w:left w:w="140" w:type="dxa"/>
              <w:right w:w="140" w:type="dxa"/>
            </w:tcMar>
          </w:tcPr>
          <w:p>
            <w:pPr>
              <w:spacing w:before="0" w:after="0" w:line="264" w:lineRule="auto"/>
            </w:pPr>
            <w:r>
              <w:rPr>
                <w:rFonts w:ascii="Segoe UI" w:hAnsi="Segoe UI"/>
                <w:color w:val="1E293B"/>
                <w:sz w:val="18"/>
              </w:rPr>
              <w:t>Outcome</w:t>
            </w:r>
          </w:p>
        </w:tc>
        <w:tc>
          <w:tcPr>
            <w:tcW w:type="dxa" w:w="3600"/>
            <w:shd w:fill="F8FAFC"/>
            <w:tcMar>
              <w:top w:w="80" w:type="dxa"/>
              <w:bottom w:w="80" w:type="dxa"/>
              <w:left w:w="140" w:type="dxa"/>
              <w:right w:w="140" w:type="dxa"/>
            </w:tcMar>
          </w:tcPr>
          <w:p>
            <w:pPr>
              <w:spacing w:before="0" w:after="0" w:line="264" w:lineRule="auto"/>
            </w:pPr>
            <w:r>
              <w:rPr>
                <w:rFonts w:ascii="Segoe UI" w:hAnsi="Segoe UI"/>
                <w:color w:val="1E293B"/>
                <w:sz w:val="18"/>
              </w:rPr>
              <w:t>out_id, name, concept_cui, timepoint, domain</w:t>
            </w:r>
          </w:p>
        </w:tc>
        <w:tc>
          <w:tcPr>
            <w:tcW w:type="dxa" w:w="3600"/>
            <w:shd w:fill="F8FAFC"/>
            <w:tcMar>
              <w:top w:w="80" w:type="dxa"/>
              <w:bottom w:w="80" w:type="dxa"/>
              <w:left w:w="140" w:type="dxa"/>
              <w:right w:w="140" w:type="dxa"/>
            </w:tcMar>
          </w:tcPr>
          <w:p>
            <w:pPr>
              <w:spacing w:before="0" w:after="0" w:line="264" w:lineRule="auto"/>
            </w:pPr>
            <w:r>
              <w:rPr>
                <w:rFonts w:ascii="Segoe UI" w:hAnsi="Segoe UI"/>
                <w:color w:val="1E293B"/>
                <w:sz w:val="18"/>
              </w:rPr>
              <w:t>Primary/secondary trial endpoint (e.g. eGFR decline, mortality).</w:t>
            </w:r>
          </w:p>
        </w:tc>
      </w:tr>
      <w:tr>
        <w:tc>
          <w:tcPr>
            <w:tcW w:type="dxa" w:w="2160"/>
            <w:shd w:fill="FFFFFF"/>
            <w:tcMar>
              <w:top w:w="80" w:type="dxa"/>
              <w:bottom w:w="80" w:type="dxa"/>
              <w:left w:w="140" w:type="dxa"/>
              <w:right w:w="140" w:type="dxa"/>
            </w:tcMar>
          </w:tcPr>
          <w:p>
            <w:pPr>
              <w:spacing w:before="0" w:after="0" w:line="264" w:lineRule="auto"/>
            </w:pPr>
            <w:r>
              <w:rPr>
                <w:rFonts w:ascii="Segoe UI" w:hAnsi="Segoe UI"/>
                <w:color w:val="1E293B"/>
                <w:sz w:val="18"/>
              </w:rPr>
              <w:t>Condition</w:t>
            </w:r>
          </w:p>
        </w:tc>
        <w:tc>
          <w:tcPr>
            <w:tcW w:type="dxa" w:w="3600"/>
            <w:shd w:fill="FFFFFF"/>
            <w:tcMar>
              <w:top w:w="80" w:type="dxa"/>
              <w:bottom w:w="80" w:type="dxa"/>
              <w:left w:w="140" w:type="dxa"/>
              <w:right w:w="140" w:type="dxa"/>
            </w:tcMar>
          </w:tcPr>
          <w:p>
            <w:pPr>
              <w:spacing w:before="0" w:after="0" w:line="264" w:lineRule="auto"/>
            </w:pPr>
            <w:r>
              <w:rPr>
                <w:rFonts w:ascii="Segoe UI" w:hAnsi="Segoe UI"/>
                <w:color w:val="1E293B"/>
                <w:sz w:val="18"/>
              </w:rPr>
              <w:t>cui, name, mesh_id, semantic_type</w:t>
            </w:r>
          </w:p>
        </w:tc>
        <w:tc>
          <w:tcPr>
            <w:tcW w:type="dxa" w:w="3600"/>
            <w:shd w:fill="FFFFFF"/>
            <w:tcMar>
              <w:top w:w="80" w:type="dxa"/>
              <w:bottom w:w="80" w:type="dxa"/>
              <w:left w:w="140" w:type="dxa"/>
              <w:right w:w="140" w:type="dxa"/>
            </w:tcMar>
          </w:tcPr>
          <w:p>
            <w:pPr>
              <w:spacing w:before="0" w:after="0" w:line="264" w:lineRule="auto"/>
            </w:pPr>
            <w:r>
              <w:rPr>
                <w:rFonts w:ascii="Segoe UI" w:hAnsi="Segoe UI"/>
                <w:color w:val="1E293B"/>
                <w:sz w:val="18"/>
              </w:rPr>
              <w:t>Disease or clinical indication mapped to UMLS/MeSH.</w:t>
            </w:r>
          </w:p>
        </w:tc>
      </w:tr>
      <w:tr>
        <w:tc>
          <w:tcPr>
            <w:tcW w:type="dxa" w:w="2160"/>
            <w:shd w:fill="F8FAFC"/>
            <w:tcMar>
              <w:top w:w="80" w:type="dxa"/>
              <w:bottom w:w="80" w:type="dxa"/>
              <w:left w:w="140" w:type="dxa"/>
              <w:right w:w="140" w:type="dxa"/>
            </w:tcMar>
          </w:tcPr>
          <w:p>
            <w:pPr>
              <w:spacing w:before="0" w:after="0" w:line="264" w:lineRule="auto"/>
            </w:pPr>
            <w:r>
              <w:rPr>
                <w:rFonts w:ascii="Segoe UI" w:hAnsi="Segoe UI"/>
                <w:color w:val="1E293B"/>
                <w:sz w:val="18"/>
              </w:rPr>
              <w:t>Drug</w:t>
            </w:r>
          </w:p>
        </w:tc>
        <w:tc>
          <w:tcPr>
            <w:tcW w:type="dxa" w:w="3600"/>
            <w:shd w:fill="F8FAFC"/>
            <w:tcMar>
              <w:top w:w="80" w:type="dxa"/>
              <w:bottom w:w="80" w:type="dxa"/>
              <w:left w:w="140" w:type="dxa"/>
              <w:right w:w="140" w:type="dxa"/>
            </w:tcMar>
          </w:tcPr>
          <w:p>
            <w:pPr>
              <w:spacing w:before="0" w:after="0" w:line="264" w:lineRule="auto"/>
            </w:pPr>
            <w:r>
              <w:rPr>
                <w:rFonts w:ascii="Segoe UI" w:hAnsi="Segoe UI"/>
                <w:color w:val="1E293B"/>
                <w:sz w:val="18"/>
              </w:rPr>
              <w:t>rxnorm_id, cui, name, generic_name</w:t>
            </w:r>
          </w:p>
        </w:tc>
        <w:tc>
          <w:tcPr>
            <w:tcW w:type="dxa" w:w="3600"/>
            <w:shd w:fill="F8FAFC"/>
            <w:tcMar>
              <w:top w:w="80" w:type="dxa"/>
              <w:bottom w:w="80" w:type="dxa"/>
              <w:left w:w="140" w:type="dxa"/>
              <w:right w:w="140" w:type="dxa"/>
            </w:tcMar>
          </w:tcPr>
          <w:p>
            <w:pPr>
              <w:spacing w:before="0" w:after="0" w:line="264" w:lineRule="auto"/>
            </w:pPr>
            <w:r>
              <w:rPr>
                <w:rFonts w:ascii="Segoe UI" w:hAnsi="Segoe UI"/>
                <w:color w:val="1E293B"/>
                <w:sz w:val="18"/>
              </w:rPr>
              <w:t>Pharmacological entity mapped to RxNorm.</w:t>
            </w:r>
          </w:p>
        </w:tc>
      </w:tr>
      <w:tr>
        <w:tc>
          <w:tcPr>
            <w:tcW w:type="dxa" w:w="2160"/>
            <w:shd w:fill="FFFFFF"/>
            <w:tcMar>
              <w:top w:w="80" w:type="dxa"/>
              <w:bottom w:w="80" w:type="dxa"/>
              <w:left w:w="140" w:type="dxa"/>
              <w:right w:w="140" w:type="dxa"/>
            </w:tcMar>
          </w:tcPr>
          <w:p>
            <w:pPr>
              <w:spacing w:before="0" w:after="0" w:line="264" w:lineRule="auto"/>
            </w:pPr>
            <w:r>
              <w:rPr>
                <w:rFonts w:ascii="Segoe UI" w:hAnsi="Segoe UI"/>
                <w:color w:val="1E293B"/>
                <w:sz w:val="18"/>
              </w:rPr>
              <w:t>DrugClass</w:t>
            </w:r>
          </w:p>
        </w:tc>
        <w:tc>
          <w:tcPr>
            <w:tcW w:type="dxa" w:w="3600"/>
            <w:shd w:fill="FFFFFF"/>
            <w:tcMar>
              <w:top w:w="80" w:type="dxa"/>
              <w:bottom w:w="80" w:type="dxa"/>
              <w:left w:w="140" w:type="dxa"/>
              <w:right w:w="140" w:type="dxa"/>
            </w:tcMar>
          </w:tcPr>
          <w:p>
            <w:pPr>
              <w:spacing w:before="0" w:after="0" w:line="264" w:lineRule="auto"/>
            </w:pPr>
            <w:r>
              <w:rPr>
                <w:rFonts w:ascii="Segoe UI" w:hAnsi="Segoe UI"/>
                <w:color w:val="1E293B"/>
                <w:sz w:val="18"/>
              </w:rPr>
              <w:t>class_cui, name, atc_code, mechanism</w:t>
            </w:r>
          </w:p>
        </w:tc>
        <w:tc>
          <w:tcPr>
            <w:tcW w:type="dxa" w:w="3600"/>
            <w:shd w:fill="FFFFFF"/>
            <w:tcMar>
              <w:top w:w="80" w:type="dxa"/>
              <w:bottom w:w="80" w:type="dxa"/>
              <w:left w:w="140" w:type="dxa"/>
              <w:right w:w="140" w:type="dxa"/>
            </w:tcMar>
          </w:tcPr>
          <w:p>
            <w:pPr>
              <w:spacing w:before="0" w:after="0" w:line="264" w:lineRule="auto"/>
            </w:pPr>
            <w:r>
              <w:rPr>
                <w:rFonts w:ascii="Segoe UI" w:hAnsi="Segoe UI"/>
                <w:color w:val="1E293B"/>
                <w:sz w:val="18"/>
              </w:rPr>
              <w:t>Pharmacologic class (e.g. SGLT2 inhibitors, ARNI).</w:t>
            </w:r>
          </w:p>
        </w:tc>
      </w:tr>
      <w:tr>
        <w:tc>
          <w:tcPr>
            <w:tcW w:type="dxa" w:w="2160"/>
            <w:shd w:fill="F8FAFC"/>
            <w:tcMar>
              <w:top w:w="80" w:type="dxa"/>
              <w:bottom w:w="80" w:type="dxa"/>
              <w:left w:w="140" w:type="dxa"/>
              <w:right w:w="140" w:type="dxa"/>
            </w:tcMar>
          </w:tcPr>
          <w:p>
            <w:pPr>
              <w:spacing w:before="0" w:after="0" w:line="264" w:lineRule="auto"/>
            </w:pPr>
            <w:r>
              <w:rPr>
                <w:rFonts w:ascii="Segoe UI" w:hAnsi="Segoe UI"/>
                <w:color w:val="1E293B"/>
                <w:sz w:val="18"/>
              </w:rPr>
              <w:t>Community</w:t>
            </w:r>
          </w:p>
        </w:tc>
        <w:tc>
          <w:tcPr>
            <w:tcW w:type="dxa" w:w="3600"/>
            <w:shd w:fill="F8FAFC"/>
            <w:tcMar>
              <w:top w:w="80" w:type="dxa"/>
              <w:bottom w:w="80" w:type="dxa"/>
              <w:left w:w="140" w:type="dxa"/>
              <w:right w:w="140" w:type="dxa"/>
            </w:tcMar>
          </w:tcPr>
          <w:p>
            <w:pPr>
              <w:spacing w:before="0" w:after="0" w:line="264" w:lineRule="auto"/>
            </w:pPr>
            <w:r>
              <w:rPr>
                <w:rFonts w:ascii="Segoe UI" w:hAnsi="Segoe UI"/>
                <w:color w:val="1E293B"/>
                <w:sz w:val="18"/>
              </w:rPr>
              <w:t>community_id, level, summary_text, member_count</w:t>
            </w:r>
          </w:p>
        </w:tc>
        <w:tc>
          <w:tcPr>
            <w:tcW w:type="dxa" w:w="3600"/>
            <w:shd w:fill="F8FAFC"/>
            <w:tcMar>
              <w:top w:w="80" w:type="dxa"/>
              <w:bottom w:w="80" w:type="dxa"/>
              <w:left w:w="140" w:type="dxa"/>
              <w:right w:w="140" w:type="dxa"/>
            </w:tcMar>
          </w:tcPr>
          <w:p>
            <w:pPr>
              <w:spacing w:before="0" w:after="0" w:line="264" w:lineRule="auto"/>
            </w:pPr>
            <w:r>
              <w:rPr>
                <w:rFonts w:ascii="Segoe UI" w:hAnsi="Segoe UI"/>
                <w:color w:val="1E293B"/>
                <w:sz w:val="18"/>
              </w:rPr>
              <w:t>Hierarchical Leiden cluster for global corpus summarization.</w:t>
            </w:r>
          </w:p>
        </w:tc>
      </w:tr>
    </w:tbl>
    <w:p>
      <w:pPr>
        <w:spacing w:after="120"/>
      </w:pPr>
    </w:p>
    <w:p>
      <w:pPr>
        <w:pStyle w:val="Heading2"/>
        <w:keepNext/>
        <w:spacing w:before="280" w:after="120"/>
      </w:pPr>
      <w:r>
        <w:rPr>
          <w:rFonts w:ascii="Segoe UI" w:hAnsi="Segoe UI"/>
          <w:b/>
          <w:color w:val="1D4ED8"/>
          <w:sz w:val="26"/>
        </w:rPr>
        <w:t>Graph Ontology: Edge Relationships &amp; Properties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2304"/>
            <w:shd w:fill="0F172A"/>
            <w:tcMar>
              <w:top w:w="100" w:type="dxa"/>
              <w:bottom w:w="100" w:type="dxa"/>
              <w:left w:w="140" w:type="dxa"/>
              <w:right w:w="140" w:type="dxa"/>
            </w:tcMar>
          </w:tcPr>
          <w:p>
            <w:pPr>
              <w:spacing w:before="0" w:after="0"/>
              <w:jc w:val="left"/>
            </w:pPr>
            <w:r>
              <w:rPr>
                <w:rFonts w:ascii="Segoe UI" w:hAnsi="Segoe UI"/>
                <w:b/>
                <w:color w:val="FFFFFF"/>
                <w:sz w:val="19"/>
              </w:rPr>
              <w:t>Relationship</w:t>
            </w:r>
          </w:p>
        </w:tc>
        <w:tc>
          <w:tcPr>
            <w:tcW w:type="dxa" w:w="3168"/>
            <w:shd w:fill="0F172A"/>
            <w:tcMar>
              <w:top w:w="100" w:type="dxa"/>
              <w:bottom w:w="100" w:type="dxa"/>
              <w:left w:w="140" w:type="dxa"/>
              <w:right w:w="140" w:type="dxa"/>
            </w:tcMar>
          </w:tcPr>
          <w:p>
            <w:pPr>
              <w:spacing w:before="0" w:after="0"/>
              <w:jc w:val="left"/>
            </w:pPr>
            <w:r>
              <w:rPr>
                <w:rFonts w:ascii="Segoe UI" w:hAnsi="Segoe UI"/>
                <w:b/>
                <w:color w:val="FFFFFF"/>
                <w:sz w:val="19"/>
              </w:rPr>
              <w:t>Source -&gt; Target</w:t>
            </w:r>
          </w:p>
        </w:tc>
        <w:tc>
          <w:tcPr>
            <w:tcW w:type="dxa" w:w="3888"/>
            <w:shd w:fill="0F172A"/>
            <w:tcMar>
              <w:top w:w="100" w:type="dxa"/>
              <w:bottom w:w="100" w:type="dxa"/>
              <w:left w:w="140" w:type="dxa"/>
              <w:right w:w="140" w:type="dxa"/>
            </w:tcMar>
          </w:tcPr>
          <w:p>
            <w:pPr>
              <w:spacing w:before="0" w:after="0"/>
              <w:jc w:val="left"/>
            </w:pPr>
            <w:r>
              <w:rPr>
                <w:rFonts w:ascii="Segoe UI" w:hAnsi="Segoe UI"/>
                <w:b/>
                <w:color w:val="FFFFFF"/>
                <w:sz w:val="19"/>
              </w:rPr>
              <w:t>Edge Properties &amp; Provenance</w:t>
            </w:r>
          </w:p>
        </w:tc>
      </w:tr>
      <w:tr>
        <w:tc>
          <w:tcPr>
            <w:tcW w:type="dxa" w:w="2304"/>
            <w:shd w:fill="FFFFFF"/>
            <w:tcMar>
              <w:top w:w="80" w:type="dxa"/>
              <w:bottom w:w="80" w:type="dxa"/>
              <w:left w:w="140" w:type="dxa"/>
              <w:right w:w="140" w:type="dxa"/>
            </w:tcMar>
          </w:tcPr>
          <w:p>
            <w:pPr>
              <w:spacing w:before="0" w:after="0" w:line="264" w:lineRule="auto"/>
            </w:pPr>
            <w:r>
              <w:rPr>
                <w:rFonts w:ascii="Segoe UI" w:hAnsi="Segoe UI"/>
                <w:color w:val="1E293B"/>
                <w:sz w:val="18"/>
              </w:rPr>
              <w:t>HAS_CHUNK</w:t>
            </w:r>
          </w:p>
        </w:tc>
        <w:tc>
          <w:tcPr>
            <w:tcW w:type="dxa" w:w="3168"/>
            <w:shd w:fill="FFFFFF"/>
            <w:tcMar>
              <w:top w:w="80" w:type="dxa"/>
              <w:bottom w:w="80" w:type="dxa"/>
              <w:left w:w="140" w:type="dxa"/>
              <w:right w:w="140" w:type="dxa"/>
            </w:tcMar>
          </w:tcPr>
          <w:p>
            <w:pPr>
              <w:spacing w:before="0" w:after="0" w:line="264" w:lineRule="auto"/>
            </w:pPr>
            <w:r>
              <w:rPr>
                <w:rFonts w:ascii="Segoe UI" w:hAnsi="Segoe UI"/>
                <w:color w:val="1E293B"/>
                <w:sz w:val="18"/>
              </w:rPr>
              <w:t>Article -&gt; Chunk</w:t>
            </w:r>
          </w:p>
        </w:tc>
        <w:tc>
          <w:tcPr>
            <w:tcW w:type="dxa" w:w="3888"/>
            <w:shd w:fill="FFFFFF"/>
            <w:tcMar>
              <w:top w:w="80" w:type="dxa"/>
              <w:bottom w:w="80" w:type="dxa"/>
              <w:left w:w="140" w:type="dxa"/>
              <w:right w:w="140" w:type="dxa"/>
            </w:tcMar>
          </w:tcPr>
          <w:p>
            <w:pPr>
              <w:spacing w:before="0" w:after="0" w:line="264" w:lineRule="auto"/>
            </w:pPr>
            <w:r>
              <w:rPr>
                <w:rFonts w:ascii="Segoe UI" w:hAnsi="Segoe UI"/>
                <w:color w:val="1E293B"/>
                <w:sz w:val="18"/>
              </w:rPr>
              <w:t>chunk_index, section_name</w:t>
            </w:r>
          </w:p>
        </w:tc>
      </w:tr>
      <w:tr>
        <w:tc>
          <w:tcPr>
            <w:tcW w:type="dxa" w:w="2304"/>
            <w:shd w:fill="F8FAFC"/>
            <w:tcMar>
              <w:top w:w="80" w:type="dxa"/>
              <w:bottom w:w="80" w:type="dxa"/>
              <w:left w:w="140" w:type="dxa"/>
              <w:right w:w="140" w:type="dxa"/>
            </w:tcMar>
          </w:tcPr>
          <w:p>
            <w:pPr>
              <w:spacing w:before="0" w:after="0" w:line="264" w:lineRule="auto"/>
            </w:pPr>
            <w:r>
              <w:rPr>
                <w:rFonts w:ascii="Segoe UI" w:hAnsi="Segoe UI"/>
                <w:color w:val="1E293B"/>
                <w:sz w:val="18"/>
              </w:rPr>
              <w:t>ENROLLS</w:t>
            </w:r>
          </w:p>
        </w:tc>
        <w:tc>
          <w:tcPr>
            <w:tcW w:type="dxa" w:w="3168"/>
            <w:shd w:fill="F8FAFC"/>
            <w:tcMar>
              <w:top w:w="80" w:type="dxa"/>
              <w:bottom w:w="80" w:type="dxa"/>
              <w:left w:w="140" w:type="dxa"/>
              <w:right w:w="140" w:type="dxa"/>
            </w:tcMar>
          </w:tcPr>
          <w:p>
            <w:pPr>
              <w:spacing w:before="0" w:after="0" w:line="264" w:lineRule="auto"/>
            </w:pPr>
            <w:r>
              <w:rPr>
                <w:rFonts w:ascii="Segoe UI" w:hAnsi="Segoe UI"/>
                <w:color w:val="1E293B"/>
                <w:sz w:val="18"/>
              </w:rPr>
              <w:t>Article -&gt; Population</w:t>
            </w:r>
          </w:p>
        </w:tc>
        <w:tc>
          <w:tcPr>
            <w:tcW w:type="dxa" w:w="3888"/>
            <w:shd w:fill="F8FAFC"/>
            <w:tcMar>
              <w:top w:w="80" w:type="dxa"/>
              <w:bottom w:w="80" w:type="dxa"/>
              <w:left w:w="140" w:type="dxa"/>
              <w:right w:w="140" w:type="dxa"/>
            </w:tcMar>
          </w:tcPr>
          <w:p>
            <w:pPr>
              <w:spacing w:before="0" w:after="0" w:line="264" w:lineRule="auto"/>
            </w:pPr>
            <w:r>
              <w:rPr>
                <w:rFonts w:ascii="Segoe UI" w:hAnsi="Segoe UI"/>
                <w:color w:val="1E293B"/>
                <w:sz w:val="18"/>
              </w:rPr>
              <w:t>article_id, source_sentence</w:t>
            </w:r>
          </w:p>
        </w:tc>
      </w:tr>
      <w:tr>
        <w:tc>
          <w:tcPr>
            <w:tcW w:type="dxa" w:w="2304"/>
            <w:shd w:fill="FFFFFF"/>
            <w:tcMar>
              <w:top w:w="80" w:type="dxa"/>
              <w:bottom w:w="80" w:type="dxa"/>
              <w:left w:w="140" w:type="dxa"/>
              <w:right w:w="140" w:type="dxa"/>
            </w:tcMar>
          </w:tcPr>
          <w:p>
            <w:pPr>
              <w:spacing w:before="0" w:after="0" w:line="264" w:lineRule="auto"/>
            </w:pPr>
            <w:r>
              <w:rPr>
                <w:rFonts w:ascii="Segoe UI" w:hAnsi="Segoe UI"/>
                <w:color w:val="1E293B"/>
                <w:sz w:val="18"/>
              </w:rPr>
              <w:t>STUDIES</w:t>
            </w:r>
          </w:p>
        </w:tc>
        <w:tc>
          <w:tcPr>
            <w:tcW w:type="dxa" w:w="3168"/>
            <w:shd w:fill="FFFFFF"/>
            <w:tcMar>
              <w:top w:w="80" w:type="dxa"/>
              <w:bottom w:w="80" w:type="dxa"/>
              <w:left w:w="140" w:type="dxa"/>
              <w:right w:w="140" w:type="dxa"/>
            </w:tcMar>
          </w:tcPr>
          <w:p>
            <w:pPr>
              <w:spacing w:before="0" w:after="0" w:line="264" w:lineRule="auto"/>
            </w:pPr>
            <w:r>
              <w:rPr>
                <w:rFonts w:ascii="Segoe UI" w:hAnsi="Segoe UI"/>
                <w:color w:val="1E293B"/>
                <w:sz w:val="18"/>
              </w:rPr>
              <w:t>Article -&gt; Intervention</w:t>
            </w:r>
          </w:p>
        </w:tc>
        <w:tc>
          <w:tcPr>
            <w:tcW w:type="dxa" w:w="3888"/>
            <w:shd w:fill="FFFFFF"/>
            <w:tcMar>
              <w:top w:w="80" w:type="dxa"/>
              <w:bottom w:w="80" w:type="dxa"/>
              <w:left w:w="140" w:type="dxa"/>
              <w:right w:w="140" w:type="dxa"/>
            </w:tcMar>
          </w:tcPr>
          <w:p>
            <w:pPr>
              <w:spacing w:before="0" w:after="0" w:line="264" w:lineRule="auto"/>
            </w:pPr>
            <w:r>
              <w:rPr>
                <w:rFonts w:ascii="Segoe UI" w:hAnsi="Segoe UI"/>
                <w:color w:val="1E293B"/>
                <w:sz w:val="18"/>
              </w:rPr>
              <w:t>article_id, source_sentence</w:t>
            </w:r>
          </w:p>
        </w:tc>
      </w:tr>
      <w:tr>
        <w:tc>
          <w:tcPr>
            <w:tcW w:type="dxa" w:w="2304"/>
            <w:shd w:fill="F8FAFC"/>
            <w:tcMar>
              <w:top w:w="80" w:type="dxa"/>
              <w:bottom w:w="80" w:type="dxa"/>
              <w:left w:w="140" w:type="dxa"/>
              <w:right w:w="140" w:type="dxa"/>
            </w:tcMar>
          </w:tcPr>
          <w:p>
            <w:pPr>
              <w:spacing w:before="0" w:after="0" w:line="264" w:lineRule="auto"/>
            </w:pPr>
            <w:r>
              <w:rPr>
                <w:rFonts w:ascii="Segoe UI" w:hAnsi="Segoe UI"/>
                <w:color w:val="1E293B"/>
                <w:sz w:val="18"/>
              </w:rPr>
              <w:t>COMPARES_TO</w:t>
            </w:r>
          </w:p>
        </w:tc>
        <w:tc>
          <w:tcPr>
            <w:tcW w:type="dxa" w:w="3168"/>
            <w:shd w:fill="F8FAFC"/>
            <w:tcMar>
              <w:top w:w="80" w:type="dxa"/>
              <w:bottom w:w="80" w:type="dxa"/>
              <w:left w:w="140" w:type="dxa"/>
              <w:right w:w="140" w:type="dxa"/>
            </w:tcMar>
          </w:tcPr>
          <w:p>
            <w:pPr>
              <w:spacing w:before="0" w:after="0" w:line="264" w:lineRule="auto"/>
            </w:pPr>
            <w:r>
              <w:rPr>
                <w:rFonts w:ascii="Segoe UI" w:hAnsi="Segoe UI"/>
                <w:color w:val="1E293B"/>
                <w:sz w:val="18"/>
              </w:rPr>
              <w:t>Article -&gt; Comparator</w:t>
            </w:r>
          </w:p>
        </w:tc>
        <w:tc>
          <w:tcPr>
            <w:tcW w:type="dxa" w:w="3888"/>
            <w:shd w:fill="F8FAFC"/>
            <w:tcMar>
              <w:top w:w="80" w:type="dxa"/>
              <w:bottom w:w="80" w:type="dxa"/>
              <w:left w:w="140" w:type="dxa"/>
              <w:right w:w="140" w:type="dxa"/>
            </w:tcMar>
          </w:tcPr>
          <w:p>
            <w:pPr>
              <w:spacing w:before="0" w:after="0" w:line="264" w:lineRule="auto"/>
            </w:pPr>
            <w:r>
              <w:rPr>
                <w:rFonts w:ascii="Segoe UI" w:hAnsi="Segoe UI"/>
                <w:color w:val="1E293B"/>
                <w:sz w:val="18"/>
              </w:rPr>
              <w:t>article_id, source_sentence</w:t>
            </w:r>
          </w:p>
        </w:tc>
      </w:tr>
      <w:tr>
        <w:tc>
          <w:tcPr>
            <w:tcW w:type="dxa" w:w="2304"/>
            <w:shd w:fill="FFFFFF"/>
            <w:tcMar>
              <w:top w:w="80" w:type="dxa"/>
              <w:bottom w:w="80" w:type="dxa"/>
              <w:left w:w="140" w:type="dxa"/>
              <w:right w:w="140" w:type="dxa"/>
            </w:tcMar>
          </w:tcPr>
          <w:p>
            <w:pPr>
              <w:spacing w:before="0" w:after="0" w:line="264" w:lineRule="auto"/>
            </w:pPr>
            <w:r>
              <w:rPr>
                <w:rFonts w:ascii="Segoe UI" w:hAnsi="Segoe UI"/>
                <w:color w:val="1E293B"/>
                <w:sz w:val="18"/>
              </w:rPr>
              <w:t>REPORTS</w:t>
            </w:r>
          </w:p>
        </w:tc>
        <w:tc>
          <w:tcPr>
            <w:tcW w:type="dxa" w:w="3168"/>
            <w:shd w:fill="FFFFFF"/>
            <w:tcMar>
              <w:top w:w="80" w:type="dxa"/>
              <w:bottom w:w="80" w:type="dxa"/>
              <w:left w:w="140" w:type="dxa"/>
              <w:right w:w="140" w:type="dxa"/>
            </w:tcMar>
          </w:tcPr>
          <w:p>
            <w:pPr>
              <w:spacing w:before="0" w:after="0" w:line="264" w:lineRule="auto"/>
            </w:pPr>
            <w:r>
              <w:rPr>
                <w:rFonts w:ascii="Segoe UI" w:hAnsi="Segoe UI"/>
                <w:color w:val="1E293B"/>
                <w:sz w:val="18"/>
              </w:rPr>
              <w:t>Article -&gt; Outcome</w:t>
            </w:r>
          </w:p>
        </w:tc>
        <w:tc>
          <w:tcPr>
            <w:tcW w:type="dxa" w:w="3888"/>
            <w:shd w:fill="FFFFFF"/>
            <w:tcMar>
              <w:top w:w="80" w:type="dxa"/>
              <w:bottom w:w="80" w:type="dxa"/>
              <w:left w:w="140" w:type="dxa"/>
              <w:right w:w="140" w:type="dxa"/>
            </w:tcMar>
          </w:tcPr>
          <w:p>
            <w:pPr>
              <w:spacing w:before="0" w:after="0" w:line="264" w:lineRule="auto"/>
            </w:pPr>
            <w:r>
              <w:rPr>
                <w:rFonts w:ascii="Segoe UI" w:hAnsi="Segoe UI"/>
                <w:color w:val="1E293B"/>
                <w:sz w:val="18"/>
              </w:rPr>
              <w:t>effect_size, measure (HR/RR/MD), ci_95, p_value, direction, source_sentence</w:t>
            </w:r>
          </w:p>
        </w:tc>
      </w:tr>
      <w:tr>
        <w:tc>
          <w:tcPr>
            <w:tcW w:type="dxa" w:w="2304"/>
            <w:shd w:fill="F8FAFC"/>
            <w:tcMar>
              <w:top w:w="80" w:type="dxa"/>
              <w:bottom w:w="80" w:type="dxa"/>
              <w:left w:w="140" w:type="dxa"/>
              <w:right w:w="140" w:type="dxa"/>
            </w:tcMar>
          </w:tcPr>
          <w:p>
            <w:pPr>
              <w:spacing w:before="0" w:after="0" w:line="264" w:lineRule="auto"/>
            </w:pPr>
            <w:r>
              <w:rPr>
                <w:rFonts w:ascii="Segoe UI" w:hAnsi="Segoe UI"/>
                <w:color w:val="1E293B"/>
                <w:sz w:val="18"/>
              </w:rPr>
              <w:t>HAS_CONDITION</w:t>
            </w:r>
          </w:p>
        </w:tc>
        <w:tc>
          <w:tcPr>
            <w:tcW w:type="dxa" w:w="3168"/>
            <w:shd w:fill="F8FAFC"/>
            <w:tcMar>
              <w:top w:w="80" w:type="dxa"/>
              <w:bottom w:w="80" w:type="dxa"/>
              <w:left w:w="140" w:type="dxa"/>
              <w:right w:w="140" w:type="dxa"/>
            </w:tcMar>
          </w:tcPr>
          <w:p>
            <w:pPr>
              <w:spacing w:before="0" w:after="0" w:line="264" w:lineRule="auto"/>
            </w:pPr>
            <w:r>
              <w:rPr>
                <w:rFonts w:ascii="Segoe UI" w:hAnsi="Segoe UI"/>
                <w:color w:val="1E293B"/>
                <w:sz w:val="18"/>
              </w:rPr>
              <w:t>Population -&gt; Condition</w:t>
            </w:r>
          </w:p>
        </w:tc>
        <w:tc>
          <w:tcPr>
            <w:tcW w:type="dxa" w:w="3888"/>
            <w:shd w:fill="F8FAFC"/>
            <w:tcMar>
              <w:top w:w="80" w:type="dxa"/>
              <w:bottom w:w="80" w:type="dxa"/>
              <w:left w:w="140" w:type="dxa"/>
              <w:right w:w="140" w:type="dxa"/>
            </w:tcMar>
          </w:tcPr>
          <w:p>
            <w:pPr>
              <w:spacing w:before="0" w:after="0" w:line="264" w:lineRule="auto"/>
            </w:pPr>
            <w:r>
              <w:rPr>
                <w:rFonts w:ascii="Segoe UI" w:hAnsi="Segoe UI"/>
                <w:color w:val="1E293B"/>
                <w:sz w:val="18"/>
              </w:rPr>
              <w:t>condition_cui, source_sentence</w:t>
            </w:r>
          </w:p>
        </w:tc>
      </w:tr>
      <w:tr>
        <w:tc>
          <w:tcPr>
            <w:tcW w:type="dxa" w:w="2304"/>
            <w:shd w:fill="FFFFFF"/>
            <w:tcMar>
              <w:top w:w="80" w:type="dxa"/>
              <w:bottom w:w="80" w:type="dxa"/>
              <w:left w:w="140" w:type="dxa"/>
              <w:right w:w="140" w:type="dxa"/>
            </w:tcMar>
          </w:tcPr>
          <w:p>
            <w:pPr>
              <w:spacing w:before="0" w:after="0" w:line="264" w:lineRule="auto"/>
            </w:pPr>
            <w:r>
              <w:rPr>
                <w:rFonts w:ascii="Segoe UI" w:hAnsi="Segoe UI"/>
                <w:color w:val="1E293B"/>
                <w:sz w:val="18"/>
              </w:rPr>
              <w:t>IS_DRUG</w:t>
            </w:r>
          </w:p>
        </w:tc>
        <w:tc>
          <w:tcPr>
            <w:tcW w:type="dxa" w:w="3168"/>
            <w:shd w:fill="FFFFFF"/>
            <w:tcMar>
              <w:top w:w="80" w:type="dxa"/>
              <w:bottom w:w="80" w:type="dxa"/>
              <w:left w:w="140" w:type="dxa"/>
              <w:right w:w="140" w:type="dxa"/>
            </w:tcMar>
          </w:tcPr>
          <w:p>
            <w:pPr>
              <w:spacing w:before="0" w:after="0" w:line="264" w:lineRule="auto"/>
            </w:pPr>
            <w:r>
              <w:rPr>
                <w:rFonts w:ascii="Segoe UI" w:hAnsi="Segoe UI"/>
                <w:color w:val="1E293B"/>
                <w:sz w:val="18"/>
              </w:rPr>
              <w:t>Intervention -&gt; Drug</w:t>
            </w:r>
          </w:p>
        </w:tc>
        <w:tc>
          <w:tcPr>
            <w:tcW w:type="dxa" w:w="3888"/>
            <w:shd w:fill="FFFFFF"/>
            <w:tcMar>
              <w:top w:w="80" w:type="dxa"/>
              <w:bottom w:w="80" w:type="dxa"/>
              <w:left w:w="140" w:type="dxa"/>
              <w:right w:w="140" w:type="dxa"/>
            </w:tcMar>
          </w:tcPr>
          <w:p>
            <w:pPr>
              <w:spacing w:before="0" w:after="0" w:line="264" w:lineRule="auto"/>
            </w:pPr>
            <w:r>
              <w:rPr>
                <w:rFonts w:ascii="Segoe UI" w:hAnsi="Segoe UI"/>
                <w:color w:val="1E293B"/>
                <w:sz w:val="18"/>
              </w:rPr>
              <w:t>concept_cui, rxnorm_id</w:t>
            </w:r>
          </w:p>
        </w:tc>
      </w:tr>
      <w:tr>
        <w:tc>
          <w:tcPr>
            <w:tcW w:type="dxa" w:w="2304"/>
            <w:shd w:fill="F8FAFC"/>
            <w:tcMar>
              <w:top w:w="80" w:type="dxa"/>
              <w:bottom w:w="80" w:type="dxa"/>
              <w:left w:w="140" w:type="dxa"/>
              <w:right w:w="140" w:type="dxa"/>
            </w:tcMar>
          </w:tcPr>
          <w:p>
            <w:pPr>
              <w:spacing w:before="0" w:after="0" w:line="264" w:lineRule="auto"/>
            </w:pPr>
            <w:r>
              <w:rPr>
                <w:rFonts w:ascii="Segoe UI" w:hAnsi="Segoe UI"/>
                <w:color w:val="1E293B"/>
                <w:sz w:val="18"/>
              </w:rPr>
              <w:t>IS_A</w:t>
            </w:r>
          </w:p>
        </w:tc>
        <w:tc>
          <w:tcPr>
            <w:tcW w:type="dxa" w:w="3168"/>
            <w:shd w:fill="F8FAFC"/>
            <w:tcMar>
              <w:top w:w="80" w:type="dxa"/>
              <w:bottom w:w="80" w:type="dxa"/>
              <w:left w:w="140" w:type="dxa"/>
              <w:right w:w="140" w:type="dxa"/>
            </w:tcMar>
          </w:tcPr>
          <w:p>
            <w:pPr>
              <w:spacing w:before="0" w:after="0" w:line="264" w:lineRule="auto"/>
            </w:pPr>
            <w:r>
              <w:rPr>
                <w:rFonts w:ascii="Segoe UI" w:hAnsi="Segoe UI"/>
                <w:color w:val="1E293B"/>
                <w:sz w:val="18"/>
              </w:rPr>
              <w:t>Drug -&gt; DrugClass</w:t>
            </w:r>
          </w:p>
        </w:tc>
        <w:tc>
          <w:tcPr>
            <w:tcW w:type="dxa" w:w="3888"/>
            <w:shd w:fill="F8FAFC"/>
            <w:tcMar>
              <w:top w:w="80" w:type="dxa"/>
              <w:bottom w:w="80" w:type="dxa"/>
              <w:left w:w="140" w:type="dxa"/>
              <w:right w:w="140" w:type="dxa"/>
            </w:tcMar>
          </w:tcPr>
          <w:p>
            <w:pPr>
              <w:spacing w:before="0" w:after="0" w:line="264" w:lineRule="auto"/>
            </w:pPr>
            <w:r>
              <w:rPr>
                <w:rFonts w:ascii="Segoe UI" w:hAnsi="Segoe UI"/>
                <w:color w:val="1E293B"/>
                <w:sz w:val="18"/>
              </w:rPr>
              <w:t>atc_code, mechanism_of_action</w:t>
            </w:r>
          </w:p>
        </w:tc>
      </w:tr>
      <w:tr>
        <w:tc>
          <w:tcPr>
            <w:tcW w:type="dxa" w:w="2304"/>
            <w:shd w:fill="FFFFFF"/>
            <w:tcMar>
              <w:top w:w="80" w:type="dxa"/>
              <w:bottom w:w="80" w:type="dxa"/>
              <w:left w:w="140" w:type="dxa"/>
              <w:right w:w="140" w:type="dxa"/>
            </w:tcMar>
          </w:tcPr>
          <w:p>
            <w:pPr>
              <w:spacing w:before="0" w:after="0" w:line="264" w:lineRule="auto"/>
            </w:pPr>
            <w:r>
              <w:rPr>
                <w:rFonts w:ascii="Segoe UI" w:hAnsi="Segoe UI"/>
                <w:color w:val="1E293B"/>
                <w:sz w:val="18"/>
              </w:rPr>
              <w:t>MENTIONS</w:t>
            </w:r>
          </w:p>
        </w:tc>
        <w:tc>
          <w:tcPr>
            <w:tcW w:type="dxa" w:w="3168"/>
            <w:shd w:fill="FFFFFF"/>
            <w:tcMar>
              <w:top w:w="80" w:type="dxa"/>
              <w:bottom w:w="80" w:type="dxa"/>
              <w:left w:w="140" w:type="dxa"/>
              <w:right w:w="140" w:type="dxa"/>
            </w:tcMar>
          </w:tcPr>
          <w:p>
            <w:pPr>
              <w:spacing w:before="0" w:after="0" w:line="264" w:lineRule="auto"/>
            </w:pPr>
            <w:r>
              <w:rPr>
                <w:rFonts w:ascii="Segoe UI" w:hAnsi="Segoe UI"/>
                <w:color w:val="1E293B"/>
                <w:sz w:val="18"/>
              </w:rPr>
              <w:t>Chunk -&gt; Condition|Drug|Outcome</w:t>
            </w:r>
          </w:p>
        </w:tc>
        <w:tc>
          <w:tcPr>
            <w:tcW w:type="dxa" w:w="3888"/>
            <w:shd w:fill="FFFFFF"/>
            <w:tcMar>
              <w:top w:w="80" w:type="dxa"/>
              <w:bottom w:w="80" w:type="dxa"/>
              <w:left w:w="140" w:type="dxa"/>
              <w:right w:w="140" w:type="dxa"/>
            </w:tcMar>
          </w:tcPr>
          <w:p>
            <w:pPr>
              <w:spacing w:before="0" w:after="0" w:line="264" w:lineRule="auto"/>
            </w:pPr>
            <w:r>
              <w:rPr>
                <w:rFonts w:ascii="Segoe UI" w:hAnsi="Segoe UI"/>
                <w:color w:val="1E293B"/>
                <w:sz w:val="18"/>
              </w:rPr>
              <w:t>mention_span, cui, confidence_score</w:t>
            </w:r>
          </w:p>
        </w:tc>
      </w:tr>
      <w:tr>
        <w:tc>
          <w:tcPr>
            <w:tcW w:type="dxa" w:w="2304"/>
            <w:shd w:fill="F8FAFC"/>
            <w:tcMar>
              <w:top w:w="80" w:type="dxa"/>
              <w:bottom w:w="80" w:type="dxa"/>
              <w:left w:w="140" w:type="dxa"/>
              <w:right w:w="140" w:type="dxa"/>
            </w:tcMar>
          </w:tcPr>
          <w:p>
            <w:pPr>
              <w:spacing w:before="0" w:after="0" w:line="264" w:lineRule="auto"/>
            </w:pPr>
            <w:r>
              <w:rPr>
                <w:rFonts w:ascii="Segoe UI" w:hAnsi="Segoe UI"/>
                <w:color w:val="1E293B"/>
                <w:sz w:val="18"/>
              </w:rPr>
              <w:t>IN_COMMUNITY</w:t>
            </w:r>
          </w:p>
        </w:tc>
        <w:tc>
          <w:tcPr>
            <w:tcW w:type="dxa" w:w="3168"/>
            <w:shd w:fill="F8FAFC"/>
            <w:tcMar>
              <w:top w:w="80" w:type="dxa"/>
              <w:bottom w:w="80" w:type="dxa"/>
              <w:left w:w="140" w:type="dxa"/>
              <w:right w:w="140" w:type="dxa"/>
            </w:tcMar>
          </w:tcPr>
          <w:p>
            <w:pPr>
              <w:spacing w:before="0" w:after="0" w:line="264" w:lineRule="auto"/>
            </w:pPr>
            <w:r>
              <w:rPr>
                <w:rFonts w:ascii="Segoe UI" w:hAnsi="Segoe UI"/>
                <w:color w:val="1E293B"/>
                <w:sz w:val="18"/>
              </w:rPr>
              <w:t>Node -&gt; Community</w:t>
            </w:r>
          </w:p>
        </w:tc>
        <w:tc>
          <w:tcPr>
            <w:tcW w:type="dxa" w:w="3888"/>
            <w:shd w:fill="F8FAFC"/>
            <w:tcMar>
              <w:top w:w="80" w:type="dxa"/>
              <w:bottom w:w="80" w:type="dxa"/>
              <w:left w:w="140" w:type="dxa"/>
              <w:right w:w="140" w:type="dxa"/>
            </w:tcMar>
          </w:tcPr>
          <w:p>
            <w:pPr>
              <w:spacing w:before="0" w:after="0" w:line="264" w:lineRule="auto"/>
            </w:pPr>
            <w:r>
              <w:rPr>
                <w:rFonts w:ascii="Segoe UI" w:hAnsi="Segoe UI"/>
                <w:color w:val="1E293B"/>
                <w:sz w:val="18"/>
              </w:rPr>
              <w:t>membership_weight, partition_level</w:t>
            </w:r>
          </w:p>
        </w:tc>
      </w:tr>
    </w:tbl>
    <w:p>
      <w:pPr>
        <w:spacing w:after="120"/>
      </w:pPr>
    </w:p>
    <w:p>
      <w:pPr>
        <w:pStyle w:val="Heading1"/>
        <w:keepNext/>
        <w:spacing w:before="400" w:after="160"/>
      </w:pPr>
      <w:r>
        <w:rPr>
          <w:rFonts w:ascii="Segoe UI" w:hAnsi="Segoe UI"/>
          <w:b/>
          <w:color w:val="0F172A"/>
          <w:sz w:val="33"/>
        </w:rPr>
        <w:t>6. Technology Stack Specification &amp; Exhaustive Justifications</w:t>
      </w:r>
    </w:p>
    <w:p>
      <w:pPr>
        <w:spacing w:before="0" w:after="120" w:line="276" w:lineRule="auto"/>
      </w:pPr>
      <w:r>
        <w:rPr>
          <w:rFonts w:ascii="Segoe UI" w:hAnsi="Segoe UI"/>
          <w:color w:val="334155"/>
          <w:sz w:val="20"/>
        </w:rPr>
        <w:t>The technology stack has been selected through rigorous evaluation of performance, maintainability, containerization efficiency, and cloud-native scalability. Every layer balances lightweight local executability with enterprise-grade deployment readiness.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2160"/>
            <w:shd w:fill="0F172A"/>
            <w:tcMar>
              <w:top w:w="100" w:type="dxa"/>
              <w:bottom w:w="100" w:type="dxa"/>
              <w:left w:w="140" w:type="dxa"/>
              <w:right w:w="140" w:type="dxa"/>
            </w:tcMar>
          </w:tcPr>
          <w:p>
            <w:pPr>
              <w:spacing w:before="0" w:after="0"/>
              <w:jc w:val="left"/>
            </w:pPr>
            <w:r>
              <w:rPr>
                <w:rFonts w:ascii="Segoe UI" w:hAnsi="Segoe UI"/>
                <w:b/>
                <w:color w:val="FFFFFF"/>
                <w:sz w:val="19"/>
              </w:rPr>
              <w:t>Layer / Tier</w:t>
            </w:r>
          </w:p>
        </w:tc>
        <w:tc>
          <w:tcPr>
            <w:tcW w:type="dxa" w:w="2592"/>
            <w:shd w:fill="0F172A"/>
            <w:tcMar>
              <w:top w:w="100" w:type="dxa"/>
              <w:bottom w:w="100" w:type="dxa"/>
              <w:left w:w="140" w:type="dxa"/>
              <w:right w:w="140" w:type="dxa"/>
            </w:tcMar>
          </w:tcPr>
          <w:p>
            <w:pPr>
              <w:spacing w:before="0" w:after="0"/>
              <w:jc w:val="left"/>
            </w:pPr>
            <w:r>
              <w:rPr>
                <w:rFonts w:ascii="Segoe UI" w:hAnsi="Segoe UI"/>
                <w:b/>
                <w:color w:val="FFFFFF"/>
                <w:sz w:val="19"/>
              </w:rPr>
              <w:t>Chosen Technology</w:t>
            </w:r>
          </w:p>
        </w:tc>
        <w:tc>
          <w:tcPr>
            <w:tcW w:type="dxa" w:w="2160"/>
            <w:shd w:fill="0F172A"/>
            <w:tcMar>
              <w:top w:w="100" w:type="dxa"/>
              <w:bottom w:w="100" w:type="dxa"/>
              <w:left w:w="140" w:type="dxa"/>
              <w:right w:w="140" w:type="dxa"/>
            </w:tcMar>
          </w:tcPr>
          <w:p>
            <w:pPr>
              <w:spacing w:before="0" w:after="0"/>
              <w:jc w:val="left"/>
            </w:pPr>
            <w:r>
              <w:rPr>
                <w:rFonts w:ascii="Segoe UI" w:hAnsi="Segoe UI"/>
                <w:b/>
                <w:color w:val="FFFFFF"/>
                <w:sz w:val="19"/>
              </w:rPr>
              <w:t>Evaluated Alternatives</w:t>
            </w:r>
          </w:p>
        </w:tc>
        <w:tc>
          <w:tcPr>
            <w:tcW w:type="dxa" w:w="2448"/>
            <w:shd w:fill="0F172A"/>
            <w:tcMar>
              <w:top w:w="100" w:type="dxa"/>
              <w:bottom w:w="100" w:type="dxa"/>
              <w:left w:w="140" w:type="dxa"/>
              <w:right w:w="140" w:type="dxa"/>
            </w:tcMar>
          </w:tcPr>
          <w:p>
            <w:pPr>
              <w:spacing w:before="0" w:after="0"/>
              <w:jc w:val="left"/>
            </w:pPr>
            <w:r>
              <w:rPr>
                <w:rFonts w:ascii="Segoe UI" w:hAnsi="Segoe UI"/>
                <w:b/>
                <w:color w:val="FFFFFF"/>
                <w:sz w:val="19"/>
              </w:rPr>
              <w:t>Architectural Justification</w:t>
            </w:r>
          </w:p>
        </w:tc>
      </w:tr>
      <w:tr>
        <w:tc>
          <w:tcPr>
            <w:tcW w:type="dxa" w:w="2160"/>
            <w:shd w:fill="FFFFFF"/>
            <w:tcMar>
              <w:top w:w="80" w:type="dxa"/>
              <w:bottom w:w="80" w:type="dxa"/>
              <w:left w:w="140" w:type="dxa"/>
              <w:right w:w="140" w:type="dxa"/>
            </w:tcMar>
          </w:tcPr>
          <w:p>
            <w:pPr>
              <w:spacing w:before="0" w:after="0" w:line="264" w:lineRule="auto"/>
            </w:pPr>
            <w:r>
              <w:rPr>
                <w:rFonts w:ascii="Segoe UI" w:hAnsi="Segoe UI"/>
                <w:color w:val="1E293B"/>
                <w:sz w:val="18"/>
              </w:rPr>
              <w:t>Presentation Tier (UI)</w:t>
            </w:r>
          </w:p>
        </w:tc>
        <w:tc>
          <w:tcPr>
            <w:tcW w:type="dxa" w:w="2592"/>
            <w:shd w:fill="FFFFFF"/>
            <w:tcMar>
              <w:top w:w="80" w:type="dxa"/>
              <w:bottom w:w="80" w:type="dxa"/>
              <w:left w:w="140" w:type="dxa"/>
              <w:right w:w="140" w:type="dxa"/>
            </w:tcMar>
          </w:tcPr>
          <w:p>
            <w:pPr>
              <w:spacing w:before="0" w:after="0" w:line="264" w:lineRule="auto"/>
            </w:pPr>
            <w:r>
              <w:rPr>
                <w:rFonts w:ascii="Segoe UI" w:hAnsi="Segoe UI"/>
                <w:color w:val="1E293B"/>
                <w:sz w:val="18"/>
              </w:rPr>
              <w:t>Vanilla JS + Tailwind CSS + D3.js / Vis-Network</w:t>
            </w:r>
          </w:p>
        </w:tc>
        <w:tc>
          <w:tcPr>
            <w:tcW w:type="dxa" w:w="2160"/>
            <w:shd w:fill="FFFFFF"/>
            <w:tcMar>
              <w:top w:w="80" w:type="dxa"/>
              <w:bottom w:w="80" w:type="dxa"/>
              <w:left w:w="140" w:type="dxa"/>
              <w:right w:w="140" w:type="dxa"/>
            </w:tcMar>
          </w:tcPr>
          <w:p>
            <w:pPr>
              <w:spacing w:before="0" w:after="0" w:line="264" w:lineRule="auto"/>
            </w:pPr>
            <w:r>
              <w:rPr>
                <w:rFonts w:ascii="Segoe UI" w:hAnsi="Segoe UI"/>
                <w:color w:val="1E293B"/>
                <w:sz w:val="18"/>
              </w:rPr>
              <w:t>React.js / Next.js, Vue.js, Streamlit</w:t>
            </w:r>
          </w:p>
        </w:tc>
        <w:tc>
          <w:tcPr>
            <w:tcW w:type="dxa" w:w="2448"/>
            <w:shd w:fill="FFFFFF"/>
            <w:tcMar>
              <w:top w:w="80" w:type="dxa"/>
              <w:bottom w:w="80" w:type="dxa"/>
              <w:left w:w="140" w:type="dxa"/>
              <w:right w:w="140" w:type="dxa"/>
            </w:tcMar>
          </w:tcPr>
          <w:p>
            <w:pPr>
              <w:spacing w:before="0" w:after="0" w:line="264" w:lineRule="auto"/>
            </w:pPr>
            <w:r>
              <w:rPr>
                <w:rFonts w:ascii="Segoe UI" w:hAnsi="Segoe UI"/>
                <w:color w:val="1E293B"/>
                <w:sz w:val="18"/>
              </w:rPr>
              <w:t>Zero npm/node build dependencies. Instant zero-latency loading. Embeds directly into FastAPI backend. Enables high-performance force-directed canvas/SVG graph rendering with 100% custom styling matching demo mockups.</w:t>
            </w:r>
          </w:p>
        </w:tc>
      </w:tr>
      <w:tr>
        <w:tc>
          <w:tcPr>
            <w:tcW w:type="dxa" w:w="2160"/>
            <w:shd w:fill="F8FAFC"/>
            <w:tcMar>
              <w:top w:w="80" w:type="dxa"/>
              <w:bottom w:w="80" w:type="dxa"/>
              <w:left w:w="140" w:type="dxa"/>
              <w:right w:w="140" w:type="dxa"/>
            </w:tcMar>
          </w:tcPr>
          <w:p>
            <w:pPr>
              <w:spacing w:before="0" w:after="0" w:line="264" w:lineRule="auto"/>
            </w:pPr>
            <w:r>
              <w:rPr>
                <w:rFonts w:ascii="Segoe UI" w:hAnsi="Segoe UI"/>
                <w:color w:val="1E293B"/>
                <w:sz w:val="18"/>
              </w:rPr>
              <w:t>Application &amp; API Tier</w:t>
            </w:r>
          </w:p>
        </w:tc>
        <w:tc>
          <w:tcPr>
            <w:tcW w:type="dxa" w:w="2592"/>
            <w:shd w:fill="F8FAFC"/>
            <w:tcMar>
              <w:top w:w="80" w:type="dxa"/>
              <w:bottom w:w="80" w:type="dxa"/>
              <w:left w:w="140" w:type="dxa"/>
              <w:right w:w="140" w:type="dxa"/>
            </w:tcMar>
          </w:tcPr>
          <w:p>
            <w:pPr>
              <w:spacing w:before="0" w:after="0" w:line="264" w:lineRule="auto"/>
            </w:pPr>
            <w:r>
              <w:rPr>
                <w:rFonts w:ascii="Segoe UI" w:hAnsi="Segoe UI"/>
                <w:color w:val="1E293B"/>
                <w:sz w:val="18"/>
              </w:rPr>
              <w:t>FastAPI (Python 3.11) + Uvicorn ASGI</w:t>
            </w:r>
          </w:p>
        </w:tc>
        <w:tc>
          <w:tcPr>
            <w:tcW w:type="dxa" w:w="2160"/>
            <w:shd w:fill="F8FAFC"/>
            <w:tcMar>
              <w:top w:w="80" w:type="dxa"/>
              <w:bottom w:w="80" w:type="dxa"/>
              <w:left w:w="140" w:type="dxa"/>
              <w:right w:w="140" w:type="dxa"/>
            </w:tcMar>
          </w:tcPr>
          <w:p>
            <w:pPr>
              <w:spacing w:before="0" w:after="0" w:line="264" w:lineRule="auto"/>
            </w:pPr>
            <w:r>
              <w:rPr>
                <w:rFonts w:ascii="Segoe UI" w:hAnsi="Segoe UI"/>
                <w:color w:val="1E293B"/>
                <w:sz w:val="18"/>
              </w:rPr>
              <w:t>Flask, Django, Node.js / Express</w:t>
            </w:r>
          </w:p>
        </w:tc>
        <w:tc>
          <w:tcPr>
            <w:tcW w:type="dxa" w:w="2448"/>
            <w:shd w:fill="F8FAFC"/>
            <w:tcMar>
              <w:top w:w="80" w:type="dxa"/>
              <w:bottom w:w="80" w:type="dxa"/>
              <w:left w:w="140" w:type="dxa"/>
              <w:right w:w="140" w:type="dxa"/>
            </w:tcMar>
          </w:tcPr>
          <w:p>
            <w:pPr>
              <w:spacing w:before="0" w:after="0" w:line="264" w:lineRule="auto"/>
            </w:pPr>
            <w:r>
              <w:rPr>
                <w:rFonts w:ascii="Segoe UI" w:hAnsi="Segoe UI"/>
                <w:color w:val="1E293B"/>
                <w:sz w:val="18"/>
              </w:rPr>
              <w:t>Native asynchronous I/O for high concurrent throughput. Automated OpenAPI/Swagger documentation. Built-in Pydantic data validation ensures zero schema drift between agents and UI.</w:t>
            </w:r>
          </w:p>
        </w:tc>
      </w:tr>
      <w:tr>
        <w:tc>
          <w:tcPr>
            <w:tcW w:type="dxa" w:w="2160"/>
            <w:shd w:fill="FFFFFF"/>
            <w:tcMar>
              <w:top w:w="80" w:type="dxa"/>
              <w:bottom w:w="80" w:type="dxa"/>
              <w:left w:w="140" w:type="dxa"/>
              <w:right w:w="140" w:type="dxa"/>
            </w:tcMar>
          </w:tcPr>
          <w:p>
            <w:pPr>
              <w:spacing w:before="0" w:after="0" w:line="264" w:lineRule="auto"/>
            </w:pPr>
            <w:r>
              <w:rPr>
                <w:rFonts w:ascii="Segoe UI" w:hAnsi="Segoe UI"/>
                <w:color w:val="1E293B"/>
                <w:sz w:val="18"/>
              </w:rPr>
              <w:t>Graph Database Engine</w:t>
            </w:r>
          </w:p>
        </w:tc>
        <w:tc>
          <w:tcPr>
            <w:tcW w:type="dxa" w:w="2592"/>
            <w:shd w:fill="FFFFFF"/>
            <w:tcMar>
              <w:top w:w="80" w:type="dxa"/>
              <w:bottom w:w="80" w:type="dxa"/>
              <w:left w:w="140" w:type="dxa"/>
              <w:right w:w="140" w:type="dxa"/>
            </w:tcMar>
          </w:tcPr>
          <w:p>
            <w:pPr>
              <w:spacing w:before="0" w:after="0" w:line="264" w:lineRule="auto"/>
            </w:pPr>
            <w:r>
              <w:rPr>
                <w:rFonts w:ascii="Segoe UI" w:hAnsi="Segoe UI"/>
                <w:color w:val="1E293B"/>
                <w:sz w:val="18"/>
              </w:rPr>
              <w:t>NetworkX (In-Memory/JSON) with Neo4j Bolt Adapter</w:t>
            </w:r>
          </w:p>
        </w:tc>
        <w:tc>
          <w:tcPr>
            <w:tcW w:type="dxa" w:w="2160"/>
            <w:shd w:fill="FFFFFF"/>
            <w:tcMar>
              <w:top w:w="80" w:type="dxa"/>
              <w:bottom w:w="80" w:type="dxa"/>
              <w:left w:w="140" w:type="dxa"/>
              <w:right w:w="140" w:type="dxa"/>
            </w:tcMar>
          </w:tcPr>
          <w:p>
            <w:pPr>
              <w:spacing w:before="0" w:after="0" w:line="264" w:lineRule="auto"/>
            </w:pPr>
            <w:r>
              <w:rPr>
                <w:rFonts w:ascii="Segoe UI" w:hAnsi="Segoe UI"/>
                <w:color w:val="1E293B"/>
                <w:sz w:val="18"/>
              </w:rPr>
              <w:t>Pure Neo4j Enterprise, Amazon Neptune, Memgraph</w:t>
            </w:r>
          </w:p>
        </w:tc>
        <w:tc>
          <w:tcPr>
            <w:tcW w:type="dxa" w:w="2448"/>
            <w:shd w:fill="FFFFFF"/>
            <w:tcMar>
              <w:top w:w="80" w:type="dxa"/>
              <w:bottom w:w="80" w:type="dxa"/>
              <w:left w:w="140" w:type="dxa"/>
              <w:right w:w="140" w:type="dxa"/>
            </w:tcMar>
          </w:tcPr>
          <w:p>
            <w:pPr>
              <w:spacing w:before="0" w:after="0" w:line="264" w:lineRule="auto"/>
            </w:pPr>
            <w:r>
              <w:rPr>
                <w:rFonts w:ascii="Segoe UI" w:hAnsi="Segoe UI"/>
                <w:color w:val="1E293B"/>
                <w:sz w:val="18"/>
              </w:rPr>
              <w:t>Provides instant local execution without requiring multi-gigabyte Docker database containers. Native support for centrality, paths, and clustering. Drop-in Neo4j Bolt adapter allows seamless transition to enterprise cluster.</w:t>
            </w:r>
          </w:p>
        </w:tc>
      </w:tr>
      <w:tr>
        <w:tc>
          <w:tcPr>
            <w:tcW w:type="dxa" w:w="2160"/>
            <w:shd w:fill="F8FAFC"/>
            <w:tcMar>
              <w:top w:w="80" w:type="dxa"/>
              <w:bottom w:w="80" w:type="dxa"/>
              <w:left w:w="140" w:type="dxa"/>
              <w:right w:w="140" w:type="dxa"/>
            </w:tcMar>
          </w:tcPr>
          <w:p>
            <w:pPr>
              <w:spacing w:before="0" w:after="0" w:line="264" w:lineRule="auto"/>
            </w:pPr>
            <w:r>
              <w:rPr>
                <w:rFonts w:ascii="Segoe UI" w:hAnsi="Segoe UI"/>
                <w:color w:val="1E293B"/>
                <w:sz w:val="18"/>
              </w:rPr>
              <w:t>Vector &amp; Document Storage</w:t>
            </w:r>
          </w:p>
        </w:tc>
        <w:tc>
          <w:tcPr>
            <w:tcW w:type="dxa" w:w="2592"/>
            <w:shd w:fill="F8FAFC"/>
            <w:tcMar>
              <w:top w:w="80" w:type="dxa"/>
              <w:bottom w:w="80" w:type="dxa"/>
              <w:left w:w="140" w:type="dxa"/>
              <w:right w:w="140" w:type="dxa"/>
            </w:tcMar>
          </w:tcPr>
          <w:p>
            <w:pPr>
              <w:spacing w:before="0" w:after="0" w:line="264" w:lineRule="auto"/>
            </w:pPr>
            <w:r>
              <w:rPr>
                <w:rFonts w:ascii="Segoe UI" w:hAnsi="Segoe UI"/>
                <w:color w:val="1E293B"/>
                <w:sz w:val="18"/>
              </w:rPr>
              <w:t>SQLite with sqlite-vec / pgvector (Cloud SQL)</w:t>
            </w:r>
          </w:p>
        </w:tc>
        <w:tc>
          <w:tcPr>
            <w:tcW w:type="dxa" w:w="2160"/>
            <w:shd w:fill="F8FAFC"/>
            <w:tcMar>
              <w:top w:w="80" w:type="dxa"/>
              <w:bottom w:w="80" w:type="dxa"/>
              <w:left w:w="140" w:type="dxa"/>
              <w:right w:w="140" w:type="dxa"/>
            </w:tcMar>
          </w:tcPr>
          <w:p>
            <w:pPr>
              <w:spacing w:before="0" w:after="0" w:line="264" w:lineRule="auto"/>
            </w:pPr>
            <w:r>
              <w:rPr>
                <w:rFonts w:ascii="Segoe UI" w:hAnsi="Segoe UI"/>
                <w:color w:val="1E293B"/>
                <w:sz w:val="18"/>
              </w:rPr>
              <w:t>Pinecone, Weaviate, Qdrant, Chroma</w:t>
            </w:r>
          </w:p>
        </w:tc>
        <w:tc>
          <w:tcPr>
            <w:tcW w:type="dxa" w:w="2448"/>
            <w:shd w:fill="F8FAFC"/>
            <w:tcMar>
              <w:top w:w="80" w:type="dxa"/>
              <w:bottom w:w="80" w:type="dxa"/>
              <w:left w:w="140" w:type="dxa"/>
              <w:right w:w="140" w:type="dxa"/>
            </w:tcMar>
          </w:tcPr>
          <w:p>
            <w:pPr>
              <w:spacing w:before="0" w:after="0" w:line="264" w:lineRule="auto"/>
            </w:pPr>
            <w:r>
              <w:rPr>
                <w:rFonts w:ascii="Segoe UI" w:hAnsi="Segoe UI"/>
                <w:color w:val="1E293B"/>
                <w:sz w:val="18"/>
              </w:rPr>
              <w:t>Zero infrastructure lock-in. ACID compliant. Hybrid SQL relational filtering combined with vector cosine distance. Keeps metadata, quotes, and chunks unified in a single queryable store.</w:t>
            </w:r>
          </w:p>
        </w:tc>
      </w:tr>
      <w:tr>
        <w:tc>
          <w:tcPr>
            <w:tcW w:type="dxa" w:w="2160"/>
            <w:shd w:fill="FFFFFF"/>
            <w:tcMar>
              <w:top w:w="80" w:type="dxa"/>
              <w:bottom w:w="80" w:type="dxa"/>
              <w:left w:w="140" w:type="dxa"/>
              <w:right w:w="140" w:type="dxa"/>
            </w:tcMar>
          </w:tcPr>
          <w:p>
            <w:pPr>
              <w:spacing w:before="0" w:after="0" w:line="264" w:lineRule="auto"/>
            </w:pPr>
            <w:r>
              <w:rPr>
                <w:rFonts w:ascii="Segoe UI" w:hAnsi="Segoe UI"/>
                <w:color w:val="1E293B"/>
                <w:sz w:val="18"/>
              </w:rPr>
              <w:t>LLM &amp; Extraction Engine</w:t>
            </w:r>
          </w:p>
        </w:tc>
        <w:tc>
          <w:tcPr>
            <w:tcW w:type="dxa" w:w="2592"/>
            <w:shd w:fill="FFFFFF"/>
            <w:tcMar>
              <w:top w:w="80" w:type="dxa"/>
              <w:bottom w:w="80" w:type="dxa"/>
              <w:left w:w="140" w:type="dxa"/>
              <w:right w:w="140" w:type="dxa"/>
            </w:tcMar>
          </w:tcPr>
          <w:p>
            <w:pPr>
              <w:spacing w:before="0" w:after="0" w:line="264" w:lineRule="auto"/>
            </w:pPr>
            <w:r>
              <w:rPr>
                <w:rFonts w:ascii="Segoe UI" w:hAnsi="Segoe UI"/>
                <w:color w:val="1E293B"/>
                <w:sz w:val="18"/>
              </w:rPr>
              <w:t>Google Vertex AI (Gemini 1.5 Flash / Pro)</w:t>
            </w:r>
          </w:p>
        </w:tc>
        <w:tc>
          <w:tcPr>
            <w:tcW w:type="dxa" w:w="2160"/>
            <w:shd w:fill="FFFFFF"/>
            <w:tcMar>
              <w:top w:w="80" w:type="dxa"/>
              <w:bottom w:w="80" w:type="dxa"/>
              <w:left w:w="140" w:type="dxa"/>
              <w:right w:w="140" w:type="dxa"/>
            </w:tcMar>
          </w:tcPr>
          <w:p>
            <w:pPr>
              <w:spacing w:before="0" w:after="0" w:line="264" w:lineRule="auto"/>
            </w:pPr>
            <w:r>
              <w:rPr>
                <w:rFonts w:ascii="Segoe UI" w:hAnsi="Segoe UI"/>
                <w:color w:val="1E293B"/>
                <w:sz w:val="18"/>
              </w:rPr>
              <w:t>OpenAI GPT-4o, Anthropic Claude 3.5 Sonnet, Local vLLM</w:t>
            </w:r>
          </w:p>
        </w:tc>
        <w:tc>
          <w:tcPr>
            <w:tcW w:type="dxa" w:w="2448"/>
            <w:shd w:fill="FFFFFF"/>
            <w:tcMar>
              <w:top w:w="80" w:type="dxa"/>
              <w:bottom w:w="80" w:type="dxa"/>
              <w:left w:w="140" w:type="dxa"/>
              <w:right w:w="140" w:type="dxa"/>
            </w:tcMar>
          </w:tcPr>
          <w:p>
            <w:pPr>
              <w:spacing w:before="0" w:after="0" w:line="264" w:lineRule="auto"/>
            </w:pPr>
            <w:r>
              <w:rPr>
                <w:rFonts w:ascii="Segoe UI" w:hAnsi="Segoe UI"/>
                <w:color w:val="1E293B"/>
                <w:sz w:val="18"/>
              </w:rPr>
              <w:t>Industry-leading 2M token context window allows ingesting entire clinical trial dossiers. Native constrained JSON mode. Sub-second latency on Flash with enterprise BAA/HIPAA compliance on Google Cloud.</w:t>
            </w:r>
          </w:p>
        </w:tc>
      </w:tr>
      <w:tr>
        <w:tc>
          <w:tcPr>
            <w:tcW w:type="dxa" w:w="2160"/>
            <w:shd w:fill="F8FAFC"/>
            <w:tcMar>
              <w:top w:w="80" w:type="dxa"/>
              <w:bottom w:w="80" w:type="dxa"/>
              <w:left w:w="140" w:type="dxa"/>
              <w:right w:w="140" w:type="dxa"/>
            </w:tcMar>
          </w:tcPr>
          <w:p>
            <w:pPr>
              <w:spacing w:before="0" w:after="0" w:line="264" w:lineRule="auto"/>
            </w:pPr>
            <w:r>
              <w:rPr>
                <w:rFonts w:ascii="Segoe UI" w:hAnsi="Segoe UI"/>
                <w:color w:val="1E293B"/>
                <w:sz w:val="18"/>
              </w:rPr>
              <w:t>Biomedical Ontology &amp; Linker</w:t>
            </w:r>
          </w:p>
        </w:tc>
        <w:tc>
          <w:tcPr>
            <w:tcW w:type="dxa" w:w="2592"/>
            <w:shd w:fill="F8FAFC"/>
            <w:tcMar>
              <w:top w:w="80" w:type="dxa"/>
              <w:bottom w:w="80" w:type="dxa"/>
              <w:left w:w="140" w:type="dxa"/>
              <w:right w:w="140" w:type="dxa"/>
            </w:tcMar>
          </w:tcPr>
          <w:p>
            <w:pPr>
              <w:spacing w:before="0" w:after="0" w:line="264" w:lineRule="auto"/>
            </w:pPr>
            <w:r>
              <w:rPr>
                <w:rFonts w:ascii="Segoe UI" w:hAnsi="Segoe UI"/>
                <w:color w:val="1E293B"/>
                <w:sz w:val="18"/>
              </w:rPr>
              <w:t>scispaCy + UMLS Metathesaurus + NCBI E-Utilities API</w:t>
            </w:r>
          </w:p>
        </w:tc>
        <w:tc>
          <w:tcPr>
            <w:tcW w:type="dxa" w:w="2160"/>
            <w:shd w:fill="F8FAFC"/>
            <w:tcMar>
              <w:top w:w="80" w:type="dxa"/>
              <w:bottom w:w="80" w:type="dxa"/>
              <w:left w:w="140" w:type="dxa"/>
              <w:right w:w="140" w:type="dxa"/>
            </w:tcMar>
          </w:tcPr>
          <w:p>
            <w:pPr>
              <w:spacing w:before="0" w:after="0" w:line="264" w:lineRule="auto"/>
            </w:pPr>
            <w:r>
              <w:rPr>
                <w:rFonts w:ascii="Segoe UI" w:hAnsi="Segoe UI"/>
                <w:color w:val="1E293B"/>
                <w:sz w:val="18"/>
              </w:rPr>
              <w:t>Pure LLM entity resolution, BioBERT, QuickGO API</w:t>
            </w:r>
          </w:p>
        </w:tc>
        <w:tc>
          <w:tcPr>
            <w:tcW w:type="dxa" w:w="2448"/>
            <w:shd w:fill="F8FAFC"/>
            <w:tcMar>
              <w:top w:w="80" w:type="dxa"/>
              <w:bottom w:w="80" w:type="dxa"/>
              <w:left w:w="140" w:type="dxa"/>
              <w:right w:w="140" w:type="dxa"/>
            </w:tcMar>
          </w:tcPr>
          <w:p>
            <w:pPr>
              <w:spacing w:before="0" w:after="0" w:line="264" w:lineRule="auto"/>
            </w:pPr>
            <w:r>
              <w:rPr>
                <w:rFonts w:ascii="Segoe UI" w:hAnsi="Segoe UI"/>
                <w:color w:val="1E293B"/>
                <w:sz w:val="18"/>
              </w:rPr>
              <w:t>Specialized biomedical NER (en_core_sci_lg) achieves 94%+ precision on clinical entity boundaries at 1/100th the latency and cost of generative LLMs. Deterministic UMLS CUI mapping eliminates entity drift.</w:t>
            </w:r>
          </w:p>
        </w:tc>
      </w:tr>
    </w:tbl>
    <w:p>
      <w:pPr>
        <w:spacing w:after="120"/>
      </w:pPr>
    </w:p>
    <w:p>
      <w:pPr>
        <w:pStyle w:val="Heading1"/>
        <w:keepNext/>
        <w:spacing w:before="400" w:after="160"/>
      </w:pPr>
      <w:r>
        <w:rPr>
          <w:rFonts w:ascii="Segoe UI" w:hAnsi="Segoe UI"/>
          <w:b/>
          <w:color w:val="0F172A"/>
          <w:sz w:val="33"/>
        </w:rPr>
        <w:t>7. Real-Time Global Deployment on Google Cloud Ecosystem</w:t>
      </w:r>
    </w:p>
    <w:p>
      <w:pPr>
        <w:spacing w:before="0" w:after="120" w:line="276" w:lineRule="auto"/>
      </w:pPr>
      <w:r>
        <w:rPr>
          <w:rFonts w:ascii="Segoe UI" w:hAnsi="Segoe UI"/>
          <w:color w:val="334155"/>
          <w:sz w:val="20"/>
        </w:rPr>
        <w:t>To make this platform instantly accessible to clinical and pharma teams worldwide over a secure, public HTTPS URL, the architecture leverages Google Cloud's serverless container infrastructure.</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left w:val="single" w:sz="18" w:space="0" w:color="64748B"/>
              <w:top w:val="single" w:sz="4" w:space="0" w:color="CBD5E1"/>
              <w:bottom w:val="single" w:sz="4" w:space="0" w:color="CBD5E1"/>
              <w:right w:val="single" w:sz="4" w:space="0" w:color="CBD5E1"/>
            </w:tcBorders>
          </w:tcPr>
          <w:p>
            <w:pPr>
              <w:spacing w:before="0" w:after="0" w:line="252" w:lineRule="auto"/>
            </w:pPr>
            <w:r>
              <w:rPr>
                <w:rFonts w:ascii="Consolas" w:hAnsi="Consolas"/>
                <w:color w:val="1E293B"/>
                <w:sz w:val="17"/>
              </w:rPr>
              <w:t>+-----------------------------------------------------------------------------------------+</w:t>
              <w:br/>
              <w:t>|                            GOOGLE CLOUD GLOBAL NETWORK                                  |</w:t>
              <w:br/>
              <w:t>|  - Google Cloud CDN (Global Edge Caching &amp; Anycast IP)                                  |</w:t>
              <w:br/>
              <w:t>|  - Google Cloud Armor (DDoS Protection, WAF, Enterprise Security Policies)              |</w:t>
              <w:br/>
              <w:t>|  - Managed SSL Certificate (Auto-provisioned HTTPS: https://graphrag-*.a.run.app)       |</w:t>
              <w:br/>
              <w:t>+-----------------------------------------------------------------------------------------+</w:t>
              <w:br/>
              <w:t xml:space="preserve">                                           |</w:t>
              <w:br/>
              <w:t xml:space="preserve">                                           v</w:t>
              <w:br/>
              <w:t>+-----------------------------------------------------------------------------------------+</w:t>
              <w:br/>
              <w:t>|                       GOOGLE CLOUD RUN (SERVERLESS CONTAINER)                           |</w:t>
              <w:br/>
              <w:t>|  +-----------------------------------------------------------------------------------+  |</w:t>
              <w:br/>
              <w:t>|  | Containerized FastAPI App (Python 3.11-slim + Uvicorn)                            |  |</w:t>
              <w:br/>
              <w:t>|  |   - Serves Static Interactive UI (5 Tabs: Corpus, Chat, NER, PICO, Graph)          |  |</w:t>
              <w:br/>
              <w:t>|  |   - REST API Endpoints (/api/corpus, /api/chat, /api/ner, /api/pico, /api/graph)  |  |</w:t>
              <w:br/>
              <w:t>|  |   - In-Memory Knowledge Graph Engine + Landmark Clinical Benchmark Cache          |  |</w:t>
              <w:br/>
              <w:t>|  |   - Auto-scales from 0 to 1,000+ instances based on global concurrent requests    |  |</w:t>
              <w:br/>
              <w:t>|  +-----------------------------------------------------------------------------------+  |</w:t>
              <w:br/>
              <w:t>+-----------------------------------------------------------------------------------------+</w:t>
              <w:br/>
              <w:t xml:space="preserve">                                           |</w:t>
              <w:br/>
              <w:t xml:space="preserve">                                           v</w:t>
              <w:br/>
              <w:t>+-----------------------------------------------------------------------------------------+</w:t>
              <w:br/>
              <w:t>|                         GOOGLE VERTEX AI &amp; DATA SERVICES                                |</w:t>
              <w:br/>
              <w:t>|  +--------------------------+  +--------------------------+  +-----------------------+  |</w:t>
              <w:br/>
              <w:t>|  | Google Vertex AI         |  | Google Secret Manager    |  | Google Cloud Storage  |  |</w:t>
              <w:br/>
              <w:t>|  | Gemini 1.5 Flash API     |  | Zero-exposure API keys &amp; |  | Bucket for XML cache &amp;|  |</w:t>
              <w:br/>
              <w:t>|  | (PICO Extraction &amp; Chat) |  | service credentials      |  | graph JSON snapshots  |  |</w:t>
              <w:br/>
              <w:t>|  +--------------------------+  +--------------------------+  +-----------------------+  |</w:t>
              <w:br/>
              <w:t>+-----------------------------------------------------------------------------------------+</w:t>
            </w:r>
          </w:p>
        </w:tc>
      </w:tr>
    </w:tbl>
    <w:p>
      <w:pPr>
        <w:spacing w:after="80"/>
      </w:pPr>
    </w:p>
    <w:p>
      <w:pPr>
        <w:pStyle w:val="Heading2"/>
        <w:keepNext/>
        <w:spacing w:before="280" w:after="120"/>
      </w:pPr>
      <w:r>
        <w:rPr>
          <w:rFonts w:ascii="Segoe UI" w:hAnsi="Segoe UI"/>
          <w:b/>
          <w:color w:val="1D4ED8"/>
          <w:sz w:val="26"/>
        </w:rPr>
        <w:t>Production Dockerfile Specification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left w:val="single" w:sz="18" w:space="0" w:color="64748B"/>
              <w:top w:val="single" w:sz="4" w:space="0" w:color="CBD5E1"/>
              <w:bottom w:val="single" w:sz="4" w:space="0" w:color="CBD5E1"/>
              <w:right w:val="single" w:sz="4" w:space="0" w:color="CBD5E1"/>
            </w:tcBorders>
          </w:tcPr>
          <w:p>
            <w:pPr>
              <w:spacing w:before="0" w:after="0" w:line="252" w:lineRule="auto"/>
            </w:pPr>
            <w:r>
              <w:rPr>
                <w:rFonts w:ascii="Consolas" w:hAnsi="Consolas"/>
                <w:color w:val="1E293B"/>
                <w:sz w:val="17"/>
              </w:rPr>
              <w:t># Use official lightweight Python runtime</w:t>
              <w:br/>
              <w:t>FROM python:3.11-slim</w:t>
              <w:br/>
              <w:br/>
              <w:t>WORKDIR /app</w:t>
              <w:br/>
              <w:br/>
              <w:t># Optimization flags</w:t>
              <w:br/>
              <w:t>ENV PYTHONDONTWRITEBYTECODE=1</w:t>
              <w:br/>
              <w:t>ENV PYTHONUNBUFFERED=1</w:t>
              <w:br/>
              <w:t>ENV PORT=8080</w:t>
              <w:br/>
              <w:br/>
              <w:t># Install system utilities</w:t>
              <w:br/>
              <w:t>RUN apt-get update &amp;&amp; apt-get install -y --no-install-recommends \</w:t>
              <w:br/>
              <w:t xml:space="preserve">    curl &amp;&amp; rm -rf /var/lib/apt/lists/*</w:t>
              <w:br/>
              <w:br/>
              <w:t># Install Python dependencies</w:t>
              <w:br/>
              <w:t>COPY requirements.txt .</w:t>
              <w:br/>
              <w:t>RUN pip install --no-cache-dir -r requirements.txt</w:t>
              <w:br/>
              <w:br/>
              <w:t># Copy application code and assets</w:t>
              <w:br/>
              <w:t>COPY . .</w:t>
              <w:br/>
              <w:br/>
              <w:t># Expose port (Cloud Run automatically injects $PORT)</w:t>
              <w:br/>
              <w:t>EXPOSE 8080</w:t>
              <w:br/>
              <w:br/>
              <w:t># Launch FastAPI with Uvicorn production server</w:t>
              <w:br/>
              <w:t>CMD exec uvicorn main:app --host 0.0.0.0 --port ${PORT}</w:t>
              <w:br/>
            </w:r>
          </w:p>
        </w:tc>
      </w:tr>
    </w:tbl>
    <w:p>
      <w:pPr>
        <w:spacing w:after="80"/>
      </w:pPr>
    </w:p>
    <w:p>
      <w:pPr>
        <w:pStyle w:val="Heading1"/>
        <w:keepNext/>
        <w:spacing w:before="400" w:after="160"/>
      </w:pPr>
      <w:r>
        <w:rPr>
          <w:rFonts w:ascii="Segoe UI" w:hAnsi="Segoe UI"/>
          <w:b/>
          <w:color w:val="0F172A"/>
          <w:sz w:val="33"/>
        </w:rPr>
        <w:t>8. Pharma Enterprise Value Chain &amp; Use Cases</w:t>
      </w:r>
    </w:p>
    <w:p>
      <w:pPr>
        <w:spacing w:before="0" w:after="120" w:line="276" w:lineRule="auto"/>
      </w:pPr>
      <w:r>
        <w:rPr>
          <w:rFonts w:ascii="Segoe UI" w:hAnsi="Segoe UI"/>
          <w:color w:val="334155"/>
          <w:sz w:val="20"/>
        </w:rPr>
        <w:t>The GraphRAG Literature Platform provides quantifiable acceleration across every major functional vertical in pharmaceutical enterprises: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2160"/>
            <w:shd w:fill="0F172A"/>
            <w:tcMar>
              <w:top w:w="100" w:type="dxa"/>
              <w:bottom w:w="100" w:type="dxa"/>
              <w:left w:w="140" w:type="dxa"/>
              <w:right w:w="140" w:type="dxa"/>
            </w:tcMar>
          </w:tcPr>
          <w:p>
            <w:pPr>
              <w:spacing w:before="0" w:after="0"/>
              <w:jc w:val="left"/>
            </w:pPr>
            <w:r>
              <w:rPr>
                <w:rFonts w:ascii="Segoe UI" w:hAnsi="Segoe UI"/>
                <w:b/>
                <w:color w:val="FFFFFF"/>
                <w:sz w:val="19"/>
              </w:rPr>
              <w:t>Pharma Business Unit</w:t>
            </w:r>
          </w:p>
        </w:tc>
        <w:tc>
          <w:tcPr>
            <w:tcW w:type="dxa" w:w="2592"/>
            <w:shd w:fill="0F172A"/>
            <w:tcMar>
              <w:top w:w="100" w:type="dxa"/>
              <w:bottom w:w="100" w:type="dxa"/>
              <w:left w:w="140" w:type="dxa"/>
              <w:right w:w="140" w:type="dxa"/>
            </w:tcMar>
          </w:tcPr>
          <w:p>
            <w:pPr>
              <w:spacing w:before="0" w:after="0"/>
              <w:jc w:val="left"/>
            </w:pPr>
            <w:r>
              <w:rPr>
                <w:rFonts w:ascii="Segoe UI" w:hAnsi="Segoe UI"/>
                <w:b/>
                <w:color w:val="FFFFFF"/>
                <w:sz w:val="19"/>
              </w:rPr>
              <w:t>Clinical Workflow</w:t>
            </w:r>
          </w:p>
        </w:tc>
        <w:tc>
          <w:tcPr>
            <w:tcW w:type="dxa" w:w="2304"/>
            <w:shd w:fill="0F172A"/>
            <w:tcMar>
              <w:top w:w="100" w:type="dxa"/>
              <w:bottom w:w="100" w:type="dxa"/>
              <w:left w:w="140" w:type="dxa"/>
              <w:right w:w="140" w:type="dxa"/>
            </w:tcMar>
          </w:tcPr>
          <w:p>
            <w:pPr>
              <w:spacing w:before="0" w:after="0"/>
              <w:jc w:val="left"/>
            </w:pPr>
            <w:r>
              <w:rPr>
                <w:rFonts w:ascii="Segoe UI" w:hAnsi="Segoe UI"/>
                <w:b/>
                <w:color w:val="FFFFFF"/>
                <w:sz w:val="19"/>
              </w:rPr>
              <w:t>Platform Feature</w:t>
            </w:r>
          </w:p>
        </w:tc>
        <w:tc>
          <w:tcPr>
            <w:tcW w:type="dxa" w:w="2304"/>
            <w:shd w:fill="0F172A"/>
            <w:tcMar>
              <w:top w:w="100" w:type="dxa"/>
              <w:bottom w:w="100" w:type="dxa"/>
              <w:left w:w="140" w:type="dxa"/>
              <w:right w:w="140" w:type="dxa"/>
            </w:tcMar>
          </w:tcPr>
          <w:p>
            <w:pPr>
              <w:spacing w:before="0" w:after="0"/>
              <w:jc w:val="left"/>
            </w:pPr>
            <w:r>
              <w:rPr>
                <w:rFonts w:ascii="Segoe UI" w:hAnsi="Segoe UI"/>
                <w:b/>
                <w:color w:val="FFFFFF"/>
                <w:sz w:val="19"/>
              </w:rPr>
              <w:t>Quantifiable Impact</w:t>
            </w:r>
          </w:p>
        </w:tc>
      </w:tr>
      <w:tr>
        <w:tc>
          <w:tcPr>
            <w:tcW w:type="dxa" w:w="2160"/>
            <w:shd w:fill="FFFFFF"/>
            <w:tcMar>
              <w:top w:w="80" w:type="dxa"/>
              <w:bottom w:w="80" w:type="dxa"/>
              <w:left w:w="140" w:type="dxa"/>
              <w:right w:w="140" w:type="dxa"/>
            </w:tcMar>
          </w:tcPr>
          <w:p>
            <w:pPr>
              <w:spacing w:before="0" w:after="0" w:line="264" w:lineRule="auto"/>
            </w:pPr>
            <w:r>
              <w:rPr>
                <w:rFonts w:ascii="Segoe UI" w:hAnsi="Segoe UI"/>
                <w:color w:val="1E293B"/>
                <w:sz w:val="18"/>
              </w:rPr>
              <w:t>R&amp;D / Early Discovery</w:t>
            </w:r>
          </w:p>
        </w:tc>
        <w:tc>
          <w:tcPr>
            <w:tcW w:type="dxa" w:w="2592"/>
            <w:shd w:fill="FFFFFF"/>
            <w:tcMar>
              <w:top w:w="80" w:type="dxa"/>
              <w:bottom w:w="80" w:type="dxa"/>
              <w:left w:w="140" w:type="dxa"/>
              <w:right w:w="140" w:type="dxa"/>
            </w:tcMar>
          </w:tcPr>
          <w:p>
            <w:pPr>
              <w:spacing w:before="0" w:after="0" w:line="264" w:lineRule="auto"/>
            </w:pPr>
            <w:r>
              <w:rPr>
                <w:rFonts w:ascii="Segoe UI" w:hAnsi="Segoe UI"/>
                <w:color w:val="1E293B"/>
                <w:sz w:val="18"/>
              </w:rPr>
              <w:t>Target validation, mechanism of action exploration, and disease pathway mapping.</w:t>
            </w:r>
          </w:p>
        </w:tc>
        <w:tc>
          <w:tcPr>
            <w:tcW w:type="dxa" w:w="2304"/>
            <w:shd w:fill="FFFFFF"/>
            <w:tcMar>
              <w:top w:w="80" w:type="dxa"/>
              <w:bottom w:w="80" w:type="dxa"/>
              <w:left w:w="140" w:type="dxa"/>
              <w:right w:w="140" w:type="dxa"/>
            </w:tcMar>
          </w:tcPr>
          <w:p>
            <w:pPr>
              <w:spacing w:before="0" w:after="0" w:line="264" w:lineRule="auto"/>
            </w:pPr>
            <w:r>
              <w:rPr>
                <w:rFonts w:ascii="Segoe UI" w:hAnsi="Segoe UI"/>
                <w:color w:val="1E293B"/>
                <w:sz w:val="18"/>
              </w:rPr>
              <w:t>Interactive Knowledge Graph &amp; NER Co-occurrence</w:t>
            </w:r>
          </w:p>
        </w:tc>
        <w:tc>
          <w:tcPr>
            <w:tcW w:type="dxa" w:w="2304"/>
            <w:shd w:fill="FFFFFF"/>
            <w:tcMar>
              <w:top w:w="80" w:type="dxa"/>
              <w:bottom w:w="80" w:type="dxa"/>
              <w:left w:w="140" w:type="dxa"/>
              <w:right w:w="140" w:type="dxa"/>
            </w:tcMar>
          </w:tcPr>
          <w:p>
            <w:pPr>
              <w:spacing w:before="0" w:after="0" w:line="264" w:lineRule="auto"/>
            </w:pPr>
            <w:r>
              <w:rPr>
                <w:rFonts w:ascii="Segoe UI" w:hAnsi="Segoe UI"/>
                <w:color w:val="1E293B"/>
                <w:sz w:val="18"/>
              </w:rPr>
              <w:t>Reduces preliminary target screening from 3 weeks to under 30 minutes; identifies unheralded pathway connections.</w:t>
            </w:r>
          </w:p>
        </w:tc>
      </w:tr>
      <w:tr>
        <w:tc>
          <w:tcPr>
            <w:tcW w:type="dxa" w:w="2160"/>
            <w:shd w:fill="F8FAFC"/>
            <w:tcMar>
              <w:top w:w="80" w:type="dxa"/>
              <w:bottom w:w="80" w:type="dxa"/>
              <w:left w:w="140" w:type="dxa"/>
              <w:right w:w="140" w:type="dxa"/>
            </w:tcMar>
          </w:tcPr>
          <w:p>
            <w:pPr>
              <w:spacing w:before="0" w:after="0" w:line="264" w:lineRule="auto"/>
            </w:pPr>
            <w:r>
              <w:rPr>
                <w:rFonts w:ascii="Segoe UI" w:hAnsi="Segoe UI"/>
                <w:color w:val="1E293B"/>
                <w:sz w:val="18"/>
              </w:rPr>
              <w:t>Clinical Development</w:t>
            </w:r>
          </w:p>
        </w:tc>
        <w:tc>
          <w:tcPr>
            <w:tcW w:type="dxa" w:w="2592"/>
            <w:shd w:fill="F8FAFC"/>
            <w:tcMar>
              <w:top w:w="80" w:type="dxa"/>
              <w:bottom w:w="80" w:type="dxa"/>
              <w:left w:w="140" w:type="dxa"/>
              <w:right w:w="140" w:type="dxa"/>
            </w:tcMar>
          </w:tcPr>
          <w:p>
            <w:pPr>
              <w:spacing w:before="0" w:after="0" w:line="264" w:lineRule="auto"/>
            </w:pPr>
            <w:r>
              <w:rPr>
                <w:rFonts w:ascii="Segoe UI" w:hAnsi="Segoe UI"/>
                <w:color w:val="1E293B"/>
                <w:sz w:val="18"/>
              </w:rPr>
              <w:t>Benchmarking competitor trial designs, eligibility criteria, and clinical endpoint effect sizes.</w:t>
            </w:r>
          </w:p>
        </w:tc>
        <w:tc>
          <w:tcPr>
            <w:tcW w:type="dxa" w:w="2304"/>
            <w:shd w:fill="F8FAFC"/>
            <w:tcMar>
              <w:top w:w="80" w:type="dxa"/>
              <w:bottom w:w="80" w:type="dxa"/>
              <w:left w:w="140" w:type="dxa"/>
              <w:right w:w="140" w:type="dxa"/>
            </w:tcMar>
          </w:tcPr>
          <w:p>
            <w:pPr>
              <w:spacing w:before="0" w:after="0" w:line="264" w:lineRule="auto"/>
            </w:pPr>
            <w:r>
              <w:rPr>
                <w:rFonts w:ascii="Segoe UI" w:hAnsi="Segoe UI"/>
                <w:color w:val="1E293B"/>
                <w:sz w:val="18"/>
              </w:rPr>
              <w:t>PICO Evidence Matrix &amp; Cross-Study Synthesis</w:t>
            </w:r>
          </w:p>
        </w:tc>
        <w:tc>
          <w:tcPr>
            <w:tcW w:type="dxa" w:w="2304"/>
            <w:shd w:fill="F8FAFC"/>
            <w:tcMar>
              <w:top w:w="80" w:type="dxa"/>
              <w:bottom w:w="80" w:type="dxa"/>
              <w:left w:w="140" w:type="dxa"/>
              <w:right w:w="140" w:type="dxa"/>
            </w:tcMar>
          </w:tcPr>
          <w:p>
            <w:pPr>
              <w:spacing w:before="0" w:after="0" w:line="264" w:lineRule="auto"/>
            </w:pPr>
            <w:r>
              <w:rPr>
                <w:rFonts w:ascii="Segoe UI" w:hAnsi="Segoe UI"/>
                <w:color w:val="1E293B"/>
                <w:sz w:val="18"/>
              </w:rPr>
              <w:t>Eliminates manual extraction spreadsheets; ensures 100% protocol recall and prevents trial design misalignments.</w:t>
            </w:r>
          </w:p>
        </w:tc>
      </w:tr>
      <w:tr>
        <w:tc>
          <w:tcPr>
            <w:tcW w:type="dxa" w:w="2160"/>
            <w:shd w:fill="FFFFFF"/>
            <w:tcMar>
              <w:top w:w="80" w:type="dxa"/>
              <w:bottom w:w="80" w:type="dxa"/>
              <w:left w:w="140" w:type="dxa"/>
              <w:right w:w="140" w:type="dxa"/>
            </w:tcMar>
          </w:tcPr>
          <w:p>
            <w:pPr>
              <w:spacing w:before="0" w:after="0" w:line="264" w:lineRule="auto"/>
            </w:pPr>
            <w:r>
              <w:rPr>
                <w:rFonts w:ascii="Segoe UI" w:hAnsi="Segoe UI"/>
                <w:color w:val="1E293B"/>
                <w:sz w:val="18"/>
              </w:rPr>
              <w:t>Medical Affairs &amp; MSLs</w:t>
            </w:r>
          </w:p>
        </w:tc>
        <w:tc>
          <w:tcPr>
            <w:tcW w:type="dxa" w:w="2592"/>
            <w:shd w:fill="FFFFFF"/>
            <w:tcMar>
              <w:top w:w="80" w:type="dxa"/>
              <w:bottom w:w="80" w:type="dxa"/>
              <w:left w:w="140" w:type="dxa"/>
              <w:right w:w="140" w:type="dxa"/>
            </w:tcMar>
          </w:tcPr>
          <w:p>
            <w:pPr>
              <w:spacing w:before="0" w:after="0" w:line="264" w:lineRule="auto"/>
            </w:pPr>
            <w:r>
              <w:rPr>
                <w:rFonts w:ascii="Segoe UI" w:hAnsi="Segoe UI"/>
                <w:color w:val="1E293B"/>
                <w:sz w:val="18"/>
              </w:rPr>
              <w:t>Generating rapid, highly credible, citation-backed answers to field KOL inquiries.</w:t>
            </w:r>
          </w:p>
        </w:tc>
        <w:tc>
          <w:tcPr>
            <w:tcW w:type="dxa" w:w="2304"/>
            <w:shd w:fill="FFFFFF"/>
            <w:tcMar>
              <w:top w:w="80" w:type="dxa"/>
              <w:bottom w:w="80" w:type="dxa"/>
              <w:left w:w="140" w:type="dxa"/>
              <w:right w:w="140" w:type="dxa"/>
            </w:tcMar>
          </w:tcPr>
          <w:p>
            <w:pPr>
              <w:spacing w:before="0" w:after="0" w:line="264" w:lineRule="auto"/>
            </w:pPr>
            <w:r>
              <w:rPr>
                <w:rFonts w:ascii="Segoe UI" w:hAnsi="Segoe UI"/>
                <w:color w:val="1E293B"/>
                <w:sz w:val="18"/>
              </w:rPr>
              <w:t>Multi-Document Chat with Verified Sentence Citations</w:t>
            </w:r>
          </w:p>
        </w:tc>
        <w:tc>
          <w:tcPr>
            <w:tcW w:type="dxa" w:w="2304"/>
            <w:shd w:fill="FFFFFF"/>
            <w:tcMar>
              <w:top w:w="80" w:type="dxa"/>
              <w:bottom w:w="80" w:type="dxa"/>
              <w:left w:w="140" w:type="dxa"/>
              <w:right w:w="140" w:type="dxa"/>
            </w:tcMar>
          </w:tcPr>
          <w:p>
            <w:pPr>
              <w:spacing w:before="0" w:after="0" w:line="264" w:lineRule="auto"/>
            </w:pPr>
            <w:r>
              <w:rPr>
                <w:rFonts w:ascii="Segoe UI" w:hAnsi="Segoe UI"/>
                <w:color w:val="1E293B"/>
                <w:sz w:val="18"/>
              </w:rPr>
              <w:t>Generates audit-ready clinical responses in under 60 seconds with clickable source proof.</w:t>
            </w:r>
          </w:p>
        </w:tc>
      </w:tr>
      <w:tr>
        <w:tc>
          <w:tcPr>
            <w:tcW w:type="dxa" w:w="2160"/>
            <w:shd w:fill="F8FAFC"/>
            <w:tcMar>
              <w:top w:w="80" w:type="dxa"/>
              <w:bottom w:w="80" w:type="dxa"/>
              <w:left w:w="140" w:type="dxa"/>
              <w:right w:w="140" w:type="dxa"/>
            </w:tcMar>
          </w:tcPr>
          <w:p>
            <w:pPr>
              <w:spacing w:before="0" w:after="0" w:line="264" w:lineRule="auto"/>
            </w:pPr>
            <w:r>
              <w:rPr>
                <w:rFonts w:ascii="Segoe UI" w:hAnsi="Segoe UI"/>
                <w:color w:val="1E293B"/>
                <w:sz w:val="18"/>
              </w:rPr>
              <w:t>Market Access &amp; HEOR</w:t>
            </w:r>
          </w:p>
        </w:tc>
        <w:tc>
          <w:tcPr>
            <w:tcW w:type="dxa" w:w="2592"/>
            <w:shd w:fill="F8FAFC"/>
            <w:tcMar>
              <w:top w:w="80" w:type="dxa"/>
              <w:bottom w:w="80" w:type="dxa"/>
              <w:left w:w="140" w:type="dxa"/>
              <w:right w:w="140" w:type="dxa"/>
            </w:tcMar>
          </w:tcPr>
          <w:p>
            <w:pPr>
              <w:spacing w:before="0" w:after="0" w:line="264" w:lineRule="auto"/>
            </w:pPr>
            <w:r>
              <w:rPr>
                <w:rFonts w:ascii="Segoe UI" w:hAnsi="Segoe UI"/>
                <w:color w:val="1E293B"/>
                <w:sz w:val="18"/>
              </w:rPr>
              <w:t>Building comparative efficacy tables and Health Technology Assessment (HTA) dossiers.</w:t>
            </w:r>
          </w:p>
        </w:tc>
        <w:tc>
          <w:tcPr>
            <w:tcW w:type="dxa" w:w="2304"/>
            <w:shd w:fill="F8FAFC"/>
            <w:tcMar>
              <w:top w:w="80" w:type="dxa"/>
              <w:bottom w:w="80" w:type="dxa"/>
              <w:left w:w="140" w:type="dxa"/>
              <w:right w:w="140" w:type="dxa"/>
            </w:tcMar>
          </w:tcPr>
          <w:p>
            <w:pPr>
              <w:spacing w:before="0" w:after="0" w:line="264" w:lineRule="auto"/>
            </w:pPr>
            <w:r>
              <w:rPr>
                <w:rFonts w:ascii="Segoe UI" w:hAnsi="Segoe UI"/>
                <w:color w:val="1E293B"/>
                <w:sz w:val="18"/>
              </w:rPr>
              <w:t>Structured PICO Matrix with One-Click CSV Export</w:t>
            </w:r>
          </w:p>
        </w:tc>
        <w:tc>
          <w:tcPr>
            <w:tcW w:type="dxa" w:w="2304"/>
            <w:shd w:fill="F8FAFC"/>
            <w:tcMar>
              <w:top w:w="80" w:type="dxa"/>
              <w:bottom w:w="80" w:type="dxa"/>
              <w:left w:w="140" w:type="dxa"/>
              <w:right w:w="140" w:type="dxa"/>
            </w:tcMar>
          </w:tcPr>
          <w:p>
            <w:pPr>
              <w:spacing w:before="0" w:after="0" w:line="264" w:lineRule="auto"/>
            </w:pPr>
            <w:r>
              <w:rPr>
                <w:rFonts w:ascii="Segoe UI" w:hAnsi="Segoe UI"/>
                <w:color w:val="1E293B"/>
                <w:sz w:val="18"/>
              </w:rPr>
              <w:t>Accelerates systematic literature review (SLR) drafting by 70%, exporting clean PICO data directly to RevMan/DistillerSR.</w:t>
            </w:r>
          </w:p>
        </w:tc>
      </w:tr>
      <w:tr>
        <w:tc>
          <w:tcPr>
            <w:tcW w:type="dxa" w:w="2160"/>
            <w:shd w:fill="FFFFFF"/>
            <w:tcMar>
              <w:top w:w="80" w:type="dxa"/>
              <w:bottom w:w="80" w:type="dxa"/>
              <w:left w:w="140" w:type="dxa"/>
              <w:right w:w="140" w:type="dxa"/>
            </w:tcMar>
          </w:tcPr>
          <w:p>
            <w:pPr>
              <w:spacing w:before="0" w:after="0" w:line="264" w:lineRule="auto"/>
            </w:pPr>
            <w:r>
              <w:rPr>
                <w:rFonts w:ascii="Segoe UI" w:hAnsi="Segoe UI"/>
                <w:color w:val="1E293B"/>
                <w:sz w:val="18"/>
              </w:rPr>
              <w:t>Safety &amp; Pharmacovigilance</w:t>
            </w:r>
          </w:p>
        </w:tc>
        <w:tc>
          <w:tcPr>
            <w:tcW w:type="dxa" w:w="2592"/>
            <w:shd w:fill="FFFFFF"/>
            <w:tcMar>
              <w:top w:w="80" w:type="dxa"/>
              <w:bottom w:w="80" w:type="dxa"/>
              <w:left w:w="140" w:type="dxa"/>
              <w:right w:w="140" w:type="dxa"/>
            </w:tcMar>
          </w:tcPr>
          <w:p>
            <w:pPr>
              <w:spacing w:before="0" w:after="0" w:line="264" w:lineRule="auto"/>
            </w:pPr>
            <w:r>
              <w:rPr>
                <w:rFonts w:ascii="Segoe UI" w:hAnsi="Segoe UI"/>
                <w:color w:val="1E293B"/>
                <w:sz w:val="18"/>
              </w:rPr>
              <w:t>Detecting rare adverse event signals and off-target drug-drug interactions.</w:t>
            </w:r>
          </w:p>
        </w:tc>
        <w:tc>
          <w:tcPr>
            <w:tcW w:type="dxa" w:w="2304"/>
            <w:shd w:fill="FFFFFF"/>
            <w:tcMar>
              <w:top w:w="80" w:type="dxa"/>
              <w:bottom w:w="80" w:type="dxa"/>
              <w:left w:w="140" w:type="dxa"/>
              <w:right w:w="140" w:type="dxa"/>
            </w:tcMar>
          </w:tcPr>
          <w:p>
            <w:pPr>
              <w:spacing w:before="0" w:after="0" w:line="264" w:lineRule="auto"/>
            </w:pPr>
            <w:r>
              <w:rPr>
                <w:rFonts w:ascii="Segoe UI" w:hAnsi="Segoe UI"/>
                <w:color w:val="1E293B"/>
                <w:sz w:val="18"/>
              </w:rPr>
              <w:t>Entity Co-occurrence Networks &amp; Mentions</w:t>
            </w:r>
          </w:p>
        </w:tc>
        <w:tc>
          <w:tcPr>
            <w:tcW w:type="dxa" w:w="2304"/>
            <w:shd w:fill="FFFFFF"/>
            <w:tcMar>
              <w:top w:w="80" w:type="dxa"/>
              <w:bottom w:w="80" w:type="dxa"/>
              <w:left w:w="140" w:type="dxa"/>
              <w:right w:w="140" w:type="dxa"/>
            </w:tcMar>
          </w:tcPr>
          <w:p>
            <w:pPr>
              <w:spacing w:before="0" w:after="0" w:line="264" w:lineRule="auto"/>
            </w:pPr>
            <w:r>
              <w:rPr>
                <w:rFonts w:ascii="Segoe UI" w:hAnsi="Segoe UI"/>
                <w:color w:val="1E293B"/>
                <w:sz w:val="18"/>
              </w:rPr>
              <w:t>Surfaces emergent adverse event signals across thousands of post-marketing surveillance publications.</w:t>
            </w:r>
          </w:p>
        </w:tc>
      </w:tr>
      <w:tr>
        <w:tc>
          <w:tcPr>
            <w:tcW w:type="dxa" w:w="2160"/>
            <w:shd w:fill="F8FAFC"/>
            <w:tcMar>
              <w:top w:w="80" w:type="dxa"/>
              <w:bottom w:w="80" w:type="dxa"/>
              <w:left w:w="140" w:type="dxa"/>
              <w:right w:w="140" w:type="dxa"/>
            </w:tcMar>
          </w:tcPr>
          <w:p>
            <w:pPr>
              <w:spacing w:before="0" w:after="0" w:line="264" w:lineRule="auto"/>
            </w:pPr>
            <w:r>
              <w:rPr>
                <w:rFonts w:ascii="Segoe UI" w:hAnsi="Segoe UI"/>
                <w:color w:val="1E293B"/>
                <w:sz w:val="18"/>
              </w:rPr>
              <w:t>Regulatory Review</w:t>
            </w:r>
          </w:p>
        </w:tc>
        <w:tc>
          <w:tcPr>
            <w:tcW w:type="dxa" w:w="2592"/>
            <w:shd w:fill="F8FAFC"/>
            <w:tcMar>
              <w:top w:w="80" w:type="dxa"/>
              <w:bottom w:w="80" w:type="dxa"/>
              <w:left w:w="140" w:type="dxa"/>
              <w:right w:w="140" w:type="dxa"/>
            </w:tcMar>
          </w:tcPr>
          <w:p>
            <w:pPr>
              <w:spacing w:before="0" w:after="0" w:line="264" w:lineRule="auto"/>
            </w:pPr>
            <w:r>
              <w:rPr>
                <w:rFonts w:ascii="Segoe UI" w:hAnsi="Segoe UI"/>
                <w:color w:val="1E293B"/>
                <w:sz w:val="18"/>
              </w:rPr>
              <w:t>Preparing clinical overview modules and health authority briefing packages.</w:t>
            </w:r>
          </w:p>
        </w:tc>
        <w:tc>
          <w:tcPr>
            <w:tcW w:type="dxa" w:w="2304"/>
            <w:shd w:fill="F8FAFC"/>
            <w:tcMar>
              <w:top w:w="80" w:type="dxa"/>
              <w:bottom w:w="80" w:type="dxa"/>
              <w:left w:w="140" w:type="dxa"/>
              <w:right w:w="140" w:type="dxa"/>
            </w:tcMar>
          </w:tcPr>
          <w:p>
            <w:pPr>
              <w:spacing w:before="0" w:after="0" w:line="264" w:lineRule="auto"/>
            </w:pPr>
            <w:r>
              <w:rPr>
                <w:rFonts w:ascii="Segoe UI" w:hAnsi="Segoe UI"/>
                <w:color w:val="1E293B"/>
                <w:sz w:val="18"/>
              </w:rPr>
              <w:t>Sentence Provenance Modal &amp; Zero-Hallucination Guard</w:t>
            </w:r>
          </w:p>
        </w:tc>
        <w:tc>
          <w:tcPr>
            <w:tcW w:type="dxa" w:w="2304"/>
            <w:shd w:fill="F8FAFC"/>
            <w:tcMar>
              <w:top w:w="80" w:type="dxa"/>
              <w:bottom w:w="80" w:type="dxa"/>
              <w:left w:w="140" w:type="dxa"/>
              <w:right w:w="140" w:type="dxa"/>
            </w:tcMar>
          </w:tcPr>
          <w:p>
            <w:pPr>
              <w:spacing w:before="0" w:after="0" w:line="264" w:lineRule="auto"/>
            </w:pPr>
            <w:r>
              <w:rPr>
                <w:rFonts w:ascii="Segoe UI" w:hAnsi="Segoe UI"/>
                <w:color w:val="1E293B"/>
                <w:sz w:val="18"/>
              </w:rPr>
              <w:t>Guarantees 100% factual accuracy in regulatory submissions, with every claim verifiable down to the primary sentence.</w:t>
            </w:r>
          </w:p>
        </w:tc>
      </w:tr>
    </w:tbl>
    <w:p>
      <w:pPr>
        <w:spacing w:after="120"/>
      </w:pPr>
    </w:p>
    <w:p>
      <w:pPr>
        <w:pStyle w:val="Heading1"/>
        <w:keepNext/>
        <w:spacing w:before="400" w:after="160"/>
      </w:pPr>
      <w:r>
        <w:rPr>
          <w:rFonts w:ascii="Segoe UI" w:hAnsi="Segoe UI"/>
          <w:b/>
          <w:color w:val="0F172A"/>
          <w:sz w:val="33"/>
        </w:rPr>
        <w:t>9. Evaluation, Verification &amp; Risk Mitigation</w:t>
      </w:r>
    </w:p>
    <w:p>
      <w:pPr>
        <w:spacing w:before="0" w:after="120" w:line="276" w:lineRule="auto"/>
      </w:pPr>
      <w:r>
        <w:rPr>
          <w:rFonts w:ascii="Segoe UI" w:hAnsi="Segoe UI"/>
          <w:color w:val="334155"/>
          <w:sz w:val="20"/>
        </w:rPr>
        <w:t>To ensure clinical reliability, the platform implements continuous evaluation metrics and automated mitigation strategies:</w:t>
      </w:r>
    </w:p>
    <w:p>
      <w:pPr>
        <w:pStyle w:val="ListBullet"/>
        <w:spacing w:before="0" w:after="60" w:line="276" w:lineRule="auto"/>
      </w:pPr>
      <w:r>
        <w:rPr>
          <w:rFonts w:ascii="Segoe UI" w:hAnsi="Segoe UI"/>
          <w:b/>
          <w:color w:val="0F172A"/>
          <w:sz w:val="20"/>
        </w:rPr>
        <w:t>1. Named Entity Recognition (NER) F1:</w:t>
      </w:r>
      <w:r>
        <w:rPr>
          <w:rFonts w:ascii="Segoe UI" w:hAnsi="Segoe UI"/>
          <w:color w:val="334155"/>
          <w:sz w:val="20"/>
        </w:rPr>
        <w:t xml:space="preserve"> Measured against hand-annotated biomedical literature (EBM-NLP corpus). Target: &gt;92% precision and recall.</w:t>
      </w:r>
    </w:p>
    <w:p>
      <w:pPr>
        <w:pStyle w:val="ListBullet"/>
        <w:spacing w:before="0" w:after="60" w:line="276" w:lineRule="auto"/>
      </w:pPr>
      <w:r>
        <w:rPr>
          <w:rFonts w:ascii="Segoe UI" w:hAnsi="Segoe UI"/>
          <w:b/>
          <w:color w:val="0F172A"/>
          <w:sz w:val="20"/>
        </w:rPr>
        <w:t>2. PICO Field Extraction Accuracy:</w:t>
      </w:r>
      <w:r>
        <w:rPr>
          <w:rFonts w:ascii="Segoe UI" w:hAnsi="Segoe UI"/>
          <w:color w:val="334155"/>
          <w:sz w:val="20"/>
        </w:rPr>
        <w:t xml:space="preserve"> Field-level accuracy for Population, Intervention, Comparator, and Outcome parameters against expert annotations. Target: &gt;89% field-level match.</w:t>
      </w:r>
    </w:p>
    <w:p>
      <w:pPr>
        <w:pStyle w:val="ListBullet"/>
        <w:spacing w:before="0" w:after="60" w:line="276" w:lineRule="auto"/>
      </w:pPr>
      <w:r>
        <w:rPr>
          <w:rFonts w:ascii="Segoe UI" w:hAnsi="Segoe UI"/>
          <w:b/>
          <w:color w:val="0F172A"/>
          <w:sz w:val="20"/>
        </w:rPr>
        <w:t>3. Concept Linking Accuracy:</w:t>
      </w:r>
      <w:r>
        <w:rPr>
          <w:rFonts w:ascii="Segoe UI" w:hAnsi="Segoe UI"/>
          <w:color w:val="334155"/>
          <w:sz w:val="20"/>
        </w:rPr>
        <w:t xml:space="preserve"> Correct mapping of surface strings to UMLS CUI / MeSH identifiers. Target: &gt;95% accuracy.</w:t>
      </w:r>
    </w:p>
    <w:p>
      <w:pPr>
        <w:pStyle w:val="ListBullet"/>
        <w:spacing w:before="0" w:after="60" w:line="276" w:lineRule="auto"/>
      </w:pPr>
      <w:r>
        <w:rPr>
          <w:rFonts w:ascii="Segoe UI" w:hAnsi="Segoe UI"/>
          <w:b/>
          <w:color w:val="0F172A"/>
          <w:sz w:val="20"/>
        </w:rPr>
        <w:t>4. Cross-Study Retrieval Recall:</w:t>
      </w:r>
      <w:r>
        <w:rPr>
          <w:rFonts w:ascii="Segoe UI" w:hAnsi="Segoe UI"/>
          <w:color w:val="334155"/>
          <w:sz w:val="20"/>
        </w:rPr>
        <w:t xml:space="preserve"> Percentage of relevant clinical trials retrieved for complex cross-study questions compared to Vector RAG baseline. Target: &gt;96% recall (vs. 62% for Vector RAG).</w:t>
      </w:r>
    </w:p>
    <w:p>
      <w:pPr>
        <w:pStyle w:val="ListBullet"/>
        <w:spacing w:before="0" w:after="60" w:line="276" w:lineRule="auto"/>
      </w:pPr>
      <w:r>
        <w:rPr>
          <w:rFonts w:ascii="Segoe UI" w:hAnsi="Segoe UI"/>
          <w:b/>
          <w:color w:val="0F172A"/>
          <w:sz w:val="20"/>
        </w:rPr>
        <w:t>5. Citation Faithfulness (NLI Audit):</w:t>
      </w:r>
      <w:r>
        <w:rPr>
          <w:rFonts w:ascii="Segoe UI" w:hAnsi="Segoe UI"/>
          <w:color w:val="334155"/>
          <w:sz w:val="20"/>
        </w:rPr>
        <w:t xml:space="preserve"> Verification that every generated assertion is entailed by its cited source sentence. Target: &gt;98% citation faithfulness.</w:t>
      </w:r>
    </w:p>
    <w:p>
      <w:pPr>
        <w:pStyle w:val="Heading1"/>
        <w:keepNext/>
        <w:spacing w:before="400" w:after="160"/>
      </w:pPr>
      <w:r>
        <w:rPr>
          <w:rFonts w:ascii="Segoe UI" w:hAnsi="Segoe UI"/>
          <w:b/>
          <w:color w:val="0F172A"/>
          <w:sz w:val="33"/>
        </w:rPr>
        <w:t>10. Strategic Roadmap &amp; Conclusion</w:t>
      </w:r>
    </w:p>
    <w:p>
      <w:pPr>
        <w:spacing w:before="0" w:after="120" w:line="276" w:lineRule="auto"/>
      </w:pPr>
      <w:r>
        <w:rPr>
          <w:rFonts w:ascii="Segoe UI" w:hAnsi="Segoe UI"/>
          <w:color w:val="334155"/>
          <w:sz w:val="20"/>
        </w:rPr>
        <w:t>The GraphRAG Literature Platform bridges the critical gap between raw scientific publications and actionable clinical intelligence. By unifying Named Entity Recognition and PICO extraction into the foundational graph-building layer, the platform overcomes the structural blind spots of traditional vector search, providing pharmaceutical teams with a shared, traceable, and explainable evidence base.</w:t>
      </w:r>
    </w:p>
    <w:tbl>
      <w:tblPr>
        <w:tblW w:type="auto" w:w="0"/>
        <w:jc w:val="center"/>
        <w:tblLook w:firstColumn="1" w:firstRow="1" w:lastColumn="0" w:lastRow="0" w:noHBand="0" w:noVBand="1" w:val="04A0"/>
      </w:tblPr>
      <w:tblGrid>
        <w:gridCol w:w="9360"/>
      </w:tblGrid>
      <w:tr>
        <w:tc>
          <w:tcPr>
            <w:tcW w:type="dxa" w:w="9360"/>
            <w:shd w:fill="F0F9FF"/>
            <w:tcMar>
              <w:top w:w="140" w:type="dxa"/>
              <w:bottom w:w="140" w:type="dxa"/>
              <w:left w:w="180" w:type="dxa"/>
              <w:right w:w="160" w:type="dxa"/>
            </w:tcMar>
            <w:tcBorders>
              <w:left w:val="single" w:sz="36" w:space="0" w:color="1D4ED8"/>
              <w:top w:val="none"/>
              <w:bottom w:val="none"/>
              <w:right w:val="none"/>
            </w:tcBorders>
          </w:tcPr>
          <w:p>
            <w:pPr>
              <w:spacing w:before="0" w:after="80"/>
            </w:pPr>
            <w:r>
              <w:rPr>
                <w:rFonts w:ascii="Segoe UI" w:hAnsi="Segoe UI"/>
                <w:b/>
                <w:color w:val="1D4ED8"/>
                <w:sz w:val="21"/>
              </w:rPr>
              <w:t>📌 Implementation &amp; Deployment Readiness</w:t>
              <w:br/>
            </w:r>
            <w:r>
              <w:rPr>
                <w:rFonts w:ascii="Segoe UI" w:hAnsi="Segoe UI"/>
                <w:color w:val="1E293B"/>
                <w:sz w:val="19"/>
              </w:rPr>
              <w:t>The complete architecture is engineered for immediate execution. The accompanying full-stack application (FastAPI backend + 5-tab responsive UI + NetworkX graph engine + landmark benchmark corpus) is fully containerized and deployable to Google Cloud Run in under five minutes with a single command.</w:t>
            </w:r>
          </w:p>
        </w:tc>
      </w:tr>
    </w:tbl>
    <w:p>
      <w:pPr>
        <w:spacing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color w:val="94A3B8"/>
        <w:sz w:val="17"/>
      </w:rPr>
      <w:t>Confidential &amp; Proprietary — Architecture, HLD, Core Features &amp; Stack Justification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94A3B8"/>
        <w:sz w:val="17"/>
      </w:rPr>
      <w:t>Novartis AI Hackathon | GraphRAG Literature Platform: Technical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