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02A54"/>
          <w:sz w:val="52"/>
        </w:rPr>
        <w:t>GraphRAG Literature Platform: AWS Architecture</w:t>
      </w:r>
    </w:p>
    <w:p>
      <w:pPr>
        <w:spacing w:before="0" w:after="320"/>
      </w:pPr>
      <w:r>
        <w:rPr>
          <w:rFonts w:ascii="Segoe UI" w:hAnsi="Segoe UI"/>
          <w:color w:val="EC9A1E"/>
          <w:sz w:val="26"/>
        </w:rPr>
        <w:t>High-Level Design (HLD), AWS Native Stack Architecture &amp; Sandbox Pilot Implementation Blueprint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024"/>
            <w:shd w:fill="002A54"/>
            <w:tcMar>
              <w:top w:w="100" w:type="dxa"/>
              <w:bottom w:w="100" w:type="dxa"/>
              <w:left w:w="140" w:type="dxa"/>
              <w:right w:w="140" w:type="dxa"/>
            </w:tcMar>
          </w:tcPr>
          <w:p>
            <w:pPr>
              <w:spacing w:before="0" w:after="0"/>
              <w:jc w:val="left"/>
            </w:pPr>
            <w:r>
              <w:rPr>
                <w:rFonts w:ascii="Segoe UI" w:hAnsi="Segoe UI"/>
                <w:b/>
                <w:color w:val="FFFFFF"/>
                <w:sz w:val="19"/>
              </w:rPr>
              <w:t>Attribute</w:t>
            </w:r>
          </w:p>
        </w:tc>
        <w:tc>
          <w:tcPr>
            <w:tcW w:type="dxa" w:w="6336"/>
            <w:shd w:fill="002A54"/>
            <w:tcMar>
              <w:top w:w="100" w:type="dxa"/>
              <w:bottom w:w="100" w:type="dxa"/>
              <w:left w:w="140" w:type="dxa"/>
              <w:right w:w="140" w:type="dxa"/>
            </w:tcMar>
          </w:tcPr>
          <w:p>
            <w:pPr>
              <w:spacing w:before="0" w:after="0"/>
              <w:jc w:val="left"/>
            </w:pPr>
            <w:r>
              <w:rPr>
                <w:rFonts w:ascii="Segoe UI" w:hAnsi="Segoe UI"/>
                <w:b/>
                <w:color w:val="FFFFFF"/>
                <w:sz w:val="19"/>
              </w:rPr>
              <w:t>Specification Details</w:t>
            </w:r>
          </w:p>
        </w:tc>
      </w:tr>
      <w:tr>
        <w:tc>
          <w:tcPr>
            <w:tcW w:type="dxa" w:w="3024"/>
            <w:shd w:fill="FFFFFF"/>
            <w:tcMar>
              <w:top w:w="80" w:type="dxa"/>
              <w:bottom w:w="80" w:type="dxa"/>
              <w:left w:w="140" w:type="dxa"/>
              <w:right w:w="140" w:type="dxa"/>
            </w:tcMar>
          </w:tcPr>
          <w:p>
            <w:pPr>
              <w:spacing w:before="0" w:after="0" w:line="264" w:lineRule="auto"/>
            </w:pPr>
            <w:r>
              <w:rPr>
                <w:rFonts w:ascii="Segoe UI" w:hAnsi="Segoe UI"/>
                <w:color w:val="1E293B"/>
                <w:sz w:val="18"/>
              </w:rPr>
              <w:t>Project Name</w:t>
            </w:r>
          </w:p>
        </w:tc>
        <w:tc>
          <w:tcPr>
            <w:tcW w:type="dxa" w:w="6336"/>
            <w:shd w:fill="FFFFFF"/>
            <w:tcMar>
              <w:top w:w="80" w:type="dxa"/>
              <w:bottom w:w="80" w:type="dxa"/>
              <w:left w:w="140" w:type="dxa"/>
              <w:right w:w="140" w:type="dxa"/>
            </w:tcMar>
          </w:tcPr>
          <w:p>
            <w:pPr>
              <w:spacing w:before="0" w:after="0" w:line="264" w:lineRule="auto"/>
            </w:pPr>
            <w:r>
              <w:rPr>
                <w:rFonts w:ascii="Segoe UI" w:hAnsi="Segoe UI"/>
                <w:color w:val="1E293B"/>
                <w:sz w:val="18"/>
              </w:rPr>
              <w:t>GraphRAG Literature Platform (AWS Replatforming &amp; Sandbox Pilot Edition)</w:t>
            </w:r>
          </w:p>
        </w:tc>
      </w:tr>
      <w:tr>
        <w:tc>
          <w:tcPr>
            <w:tcW w:type="dxa" w:w="3024"/>
            <w:shd w:fill="F8FAFC"/>
            <w:tcMar>
              <w:top w:w="80" w:type="dxa"/>
              <w:bottom w:w="80" w:type="dxa"/>
              <w:left w:w="140" w:type="dxa"/>
              <w:right w:w="140" w:type="dxa"/>
            </w:tcMar>
          </w:tcPr>
          <w:p>
            <w:pPr>
              <w:spacing w:before="0" w:after="0" w:line="264" w:lineRule="auto"/>
            </w:pPr>
            <w:r>
              <w:rPr>
                <w:rFonts w:ascii="Segoe UI" w:hAnsi="Segoe UI"/>
                <w:color w:val="1E293B"/>
                <w:sz w:val="18"/>
              </w:rPr>
              <w:t>Target Organization</w:t>
            </w:r>
          </w:p>
        </w:tc>
        <w:tc>
          <w:tcPr>
            <w:tcW w:type="dxa" w:w="6336"/>
            <w:shd w:fill="F8FAFC"/>
            <w:tcMar>
              <w:top w:w="80" w:type="dxa"/>
              <w:bottom w:w="80" w:type="dxa"/>
              <w:left w:w="140" w:type="dxa"/>
              <w:right w:w="140" w:type="dxa"/>
            </w:tcMar>
          </w:tcPr>
          <w:p>
            <w:pPr>
              <w:spacing w:before="0" w:after="0" w:line="264" w:lineRule="auto"/>
            </w:pPr>
            <w:r>
              <w:rPr>
                <w:rFonts w:ascii="Segoe UI" w:hAnsi="Segoe UI"/>
                <w:color w:val="1E293B"/>
                <w:sz w:val="18"/>
              </w:rPr>
              <w:t>Novartis Pharmaceuticals — Global Drug Development, Medical Affairs &amp; HEOR</w:t>
            </w:r>
          </w:p>
        </w:tc>
      </w:tr>
      <w:tr>
        <w:tc>
          <w:tcPr>
            <w:tcW w:type="dxa" w:w="3024"/>
            <w:shd w:fill="FFFFFF"/>
            <w:tcMar>
              <w:top w:w="80" w:type="dxa"/>
              <w:bottom w:w="80" w:type="dxa"/>
              <w:left w:w="140" w:type="dxa"/>
              <w:right w:w="140" w:type="dxa"/>
            </w:tcMar>
          </w:tcPr>
          <w:p>
            <w:pPr>
              <w:spacing w:before="0" w:after="0" w:line="264" w:lineRule="auto"/>
            </w:pPr>
            <w:r>
              <w:rPr>
                <w:rFonts w:ascii="Segoe UI" w:hAnsi="Segoe UI"/>
                <w:color w:val="1E293B"/>
                <w:sz w:val="18"/>
              </w:rPr>
              <w:t>Architecture Pattern</w:t>
            </w:r>
          </w:p>
        </w:tc>
        <w:tc>
          <w:tcPr>
            <w:tcW w:type="dxa" w:w="6336"/>
            <w:shd w:fill="FFFFFF"/>
            <w:tcMar>
              <w:top w:w="80" w:type="dxa"/>
              <w:bottom w:w="80" w:type="dxa"/>
              <w:left w:w="140" w:type="dxa"/>
              <w:right w:w="140" w:type="dxa"/>
            </w:tcMar>
          </w:tcPr>
          <w:p>
            <w:pPr>
              <w:spacing w:before="0" w:after="0" w:line="264" w:lineRule="auto"/>
            </w:pPr>
            <w:r>
              <w:rPr>
                <w:rFonts w:ascii="Segoe UI" w:hAnsi="Segoe UI"/>
                <w:color w:val="1E293B"/>
                <w:sz w:val="18"/>
              </w:rPr>
              <w:t>Dual-Gatekeeper Agentic GraphRAG (Relational Knowledge Graph + Dense Semantic Vectors)</w:t>
            </w:r>
          </w:p>
        </w:tc>
      </w:tr>
      <w:tr>
        <w:tc>
          <w:tcPr>
            <w:tcW w:type="dxa" w:w="3024"/>
            <w:shd w:fill="F8FAFC"/>
            <w:tcMar>
              <w:top w:w="80" w:type="dxa"/>
              <w:bottom w:w="80" w:type="dxa"/>
              <w:left w:w="140" w:type="dxa"/>
              <w:right w:w="140" w:type="dxa"/>
            </w:tcMar>
          </w:tcPr>
          <w:p>
            <w:pPr>
              <w:spacing w:before="0" w:after="0" w:line="264" w:lineRule="auto"/>
            </w:pPr>
            <w:r>
              <w:rPr>
                <w:rFonts w:ascii="Segoe UI" w:hAnsi="Segoe UI"/>
                <w:color w:val="1E293B"/>
                <w:sz w:val="18"/>
              </w:rPr>
              <w:t>Primary AWS Cloud Services</w:t>
            </w:r>
          </w:p>
        </w:tc>
        <w:tc>
          <w:tcPr>
            <w:tcW w:type="dxa" w:w="6336"/>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(Claude 3.5 &amp; Titan V2), AWS App Runner / ECS Fargate, Amazon S3, AWS Secrets Manager, IAM</w:t>
            </w:r>
          </w:p>
        </w:tc>
      </w:tr>
      <w:tr>
        <w:tc>
          <w:tcPr>
            <w:tcW w:type="dxa" w:w="3024"/>
            <w:shd w:fill="FFFFFF"/>
            <w:tcMar>
              <w:top w:w="80" w:type="dxa"/>
              <w:bottom w:w="80" w:type="dxa"/>
              <w:left w:w="140" w:type="dxa"/>
              <w:right w:w="140" w:type="dxa"/>
            </w:tcMar>
          </w:tcPr>
          <w:p>
            <w:pPr>
              <w:spacing w:before="0" w:after="0" w:line="264" w:lineRule="auto"/>
            </w:pPr>
            <w:r>
              <w:rPr>
                <w:rFonts w:ascii="Segoe UI" w:hAnsi="Segoe UI"/>
                <w:color w:val="1E293B"/>
                <w:sz w:val="18"/>
              </w:rPr>
              <w:t>Pilot Target Environment</w:t>
            </w:r>
          </w:p>
        </w:tc>
        <w:tc>
          <w:tcPr>
            <w:tcW w:type="dxa" w:w="6336"/>
            <w:shd w:fill="FFFFFF"/>
            <w:tcMar>
              <w:top w:w="80" w:type="dxa"/>
              <w:bottom w:w="80" w:type="dxa"/>
              <w:left w:w="140" w:type="dxa"/>
              <w:right w:w="140" w:type="dxa"/>
            </w:tcMar>
          </w:tcPr>
          <w:p>
            <w:pPr>
              <w:spacing w:before="0" w:after="0" w:line="264" w:lineRule="auto"/>
            </w:pPr>
            <w:r>
              <w:rPr>
                <w:rFonts w:ascii="Segoe UI" w:hAnsi="Segoe UI"/>
                <w:color w:val="1E293B"/>
                <w:sz w:val="18"/>
              </w:rPr>
              <w:t>AWS Sandbox Account (Isolated VPC, Serverless Pay-as-You-Go, Budget Guardrails &lt;$100/mo)</w:t>
            </w:r>
          </w:p>
        </w:tc>
      </w:tr>
      <w:tr>
        <w:tc>
          <w:tcPr>
            <w:tcW w:type="dxa" w:w="3024"/>
            <w:shd w:fill="F8FAFC"/>
            <w:tcMar>
              <w:top w:w="80" w:type="dxa"/>
              <w:bottom w:w="80" w:type="dxa"/>
              <w:left w:w="140" w:type="dxa"/>
              <w:right w:w="140" w:type="dxa"/>
            </w:tcMar>
          </w:tcPr>
          <w:p>
            <w:pPr>
              <w:spacing w:before="0" w:after="0" w:line="264" w:lineRule="auto"/>
            </w:pPr>
            <w:r>
              <w:rPr>
                <w:rFonts w:ascii="Segoe UI" w:hAnsi="Segoe UI"/>
                <w:color w:val="1E293B"/>
                <w:sz w:val="18"/>
              </w:rPr>
              <w:t>Target Production Scale</w:t>
            </w:r>
          </w:p>
        </w:tc>
        <w:tc>
          <w:tcPr>
            <w:tcW w:type="dxa" w:w="6336"/>
            <w:shd w:fill="F8FAFC"/>
            <w:tcMar>
              <w:top w:w="80" w:type="dxa"/>
              <w:bottom w:w="80" w:type="dxa"/>
              <w:left w:w="140" w:type="dxa"/>
              <w:right w:w="140" w:type="dxa"/>
            </w:tcMar>
          </w:tcPr>
          <w:p>
            <w:pPr>
              <w:spacing w:before="0" w:after="0" w:line="264" w:lineRule="auto"/>
            </w:pPr>
            <w:r>
              <w:rPr>
                <w:rFonts w:ascii="Segoe UI" w:hAnsi="Segoe UI"/>
                <w:color w:val="1E293B"/>
                <w:sz w:val="18"/>
              </w:rPr>
              <w:t>Enterprise AWS Multi-AZ (Amazon Neptune Serverless + OpenSearch Serverless / Aurora pgvector)</w:t>
            </w:r>
          </w:p>
        </w:tc>
      </w:tr>
      <w:tr>
        <w:tc>
          <w:tcPr>
            <w:tcW w:type="dxa" w:w="3024"/>
            <w:shd w:fill="FFFFFF"/>
            <w:tcMar>
              <w:top w:w="80" w:type="dxa"/>
              <w:bottom w:w="80" w:type="dxa"/>
              <w:left w:w="140" w:type="dxa"/>
              <w:right w:w="140" w:type="dxa"/>
            </w:tcMar>
          </w:tcPr>
          <w:p>
            <w:pPr>
              <w:spacing w:before="0" w:after="0" w:line="264" w:lineRule="auto"/>
            </w:pPr>
            <w:r>
              <w:rPr>
                <w:rFonts w:ascii="Segoe UI" w:hAnsi="Segoe UI"/>
                <w:color w:val="1E293B"/>
                <w:sz w:val="18"/>
              </w:rPr>
              <w:t>Regulatory Compliance</w:t>
            </w:r>
          </w:p>
        </w:tc>
        <w:tc>
          <w:tcPr>
            <w:tcW w:type="dxa" w:w="6336"/>
            <w:shd w:fill="FFFFFF"/>
            <w:tcMar>
              <w:top w:w="80" w:type="dxa"/>
              <w:bottom w:w="80" w:type="dxa"/>
              <w:left w:w="140" w:type="dxa"/>
              <w:right w:w="140" w:type="dxa"/>
            </w:tcMar>
          </w:tcPr>
          <w:p>
            <w:pPr>
              <w:spacing w:before="0" w:after="0" w:line="264" w:lineRule="auto"/>
            </w:pPr>
            <w:r>
              <w:rPr>
                <w:rFonts w:ascii="Segoe UI" w:hAnsi="Segoe UI"/>
                <w:color w:val="1E293B"/>
                <w:sz w:val="18"/>
              </w:rPr>
              <w:t>Designed for GxP, HIPAA, 21 CFR Part 11 Electronic Records &amp; SOC 2 Type II Compliance</w:t>
            </w:r>
          </w:p>
        </w:tc>
      </w:tr>
      <w:tr>
        <w:tc>
          <w:tcPr>
            <w:tcW w:type="dxa" w:w="3024"/>
            <w:shd w:fill="F8FAFC"/>
            <w:tcMar>
              <w:top w:w="80" w:type="dxa"/>
              <w:bottom w:w="80" w:type="dxa"/>
              <w:left w:w="140" w:type="dxa"/>
              <w:right w:w="140" w:type="dxa"/>
            </w:tcMar>
          </w:tcPr>
          <w:p>
            <w:pPr>
              <w:spacing w:before="0" w:after="0" w:line="264" w:lineRule="auto"/>
            </w:pPr>
            <w:r>
              <w:rPr>
                <w:rFonts w:ascii="Segoe UI" w:hAnsi="Segoe UI"/>
                <w:color w:val="1E293B"/>
                <w:sz w:val="18"/>
              </w:rPr>
              <w:t>Document Status</w:t>
            </w:r>
          </w:p>
        </w:tc>
        <w:tc>
          <w:tcPr>
            <w:tcW w:type="dxa" w:w="6336"/>
            <w:shd w:fill="F8FAFC"/>
            <w:tcMar>
              <w:top w:w="80" w:type="dxa"/>
              <w:bottom w:w="80" w:type="dxa"/>
              <w:left w:w="140" w:type="dxa"/>
              <w:right w:w="140" w:type="dxa"/>
            </w:tcMar>
          </w:tcPr>
          <w:p>
            <w:pPr>
              <w:spacing w:before="0" w:after="0" w:line="264" w:lineRule="auto"/>
            </w:pPr>
            <w:r>
              <w:rPr>
                <w:rFonts w:ascii="Segoe UI" w:hAnsi="Segoe UI"/>
                <w:color w:val="1E293B"/>
                <w:sz w:val="18"/>
              </w:rPr>
              <w:t>Production-Ready AWS Technical Architecture &amp; Pilot Engineering Blueprint (v1.0-AWS)</w:t>
            </w:r>
          </w:p>
        </w:tc>
      </w:tr>
      <w:tr>
        <w:tc>
          <w:tcPr>
            <w:tcW w:type="dxa" w:w="3024"/>
            <w:shd w:fill="FFFFFF"/>
            <w:tcMar>
              <w:top w:w="80" w:type="dxa"/>
              <w:bottom w:w="80" w:type="dxa"/>
              <w:left w:w="140" w:type="dxa"/>
              <w:right w:w="140" w:type="dxa"/>
            </w:tcMar>
          </w:tcPr>
          <w:p>
            <w:pPr>
              <w:spacing w:before="0" w:after="0" w:line="264" w:lineRule="auto"/>
            </w:pPr>
            <w:r>
              <w:rPr>
                <w:rFonts w:ascii="Segoe UI" w:hAnsi="Segoe UI"/>
                <w:color w:val="1E293B"/>
                <w:sz w:val="18"/>
              </w:rPr>
              <w:t>Corporate Visual Identity</w:t>
            </w:r>
          </w:p>
        </w:tc>
        <w:tc>
          <w:tcPr>
            <w:tcW w:type="dxa" w:w="6336"/>
            <w:shd w:fill="FFFFFF"/>
            <w:tcMar>
              <w:top w:w="80" w:type="dxa"/>
              <w:bottom w:w="80" w:type="dxa"/>
              <w:left w:w="140" w:type="dxa"/>
              <w:right w:w="140" w:type="dxa"/>
            </w:tcMar>
          </w:tcPr>
          <w:p>
            <w:pPr>
              <w:spacing w:before="0" w:after="0" w:line="264" w:lineRule="auto"/>
            </w:pPr>
            <w:r>
              <w:rPr>
                <w:rFonts w:ascii="Segoe UI" w:hAnsi="Segoe UI"/>
                <w:color w:val="1E293B"/>
                <w:sz w:val="18"/>
              </w:rPr>
              <w:t>Novartis Corporate Branding (Deep Blue #002A54, Warm Amber #EC9A1E, Slate Card Surface)</w:t>
            </w:r>
          </w:p>
        </w:tc>
      </w:tr>
    </w:tbl>
    <w:p>
      <w:pPr>
        <w:spacing w:after="120"/>
      </w:pPr>
    </w:p>
    <w:p>
      <w:r>
        <w:br w:type="page"/>
      </w:r>
    </w:p>
    <w:p>
      <w:pPr>
        <w:pStyle w:val="Heading1"/>
        <w:keepNext/>
        <w:spacing w:before="400" w:after="160"/>
      </w:pPr>
      <w:r>
        <w:rPr>
          <w:rFonts w:ascii="Segoe UI" w:hAnsi="Segoe UI"/>
          <w:b/>
          <w:color w:val="0F172A"/>
          <w:sz w:val="33"/>
        </w:rPr>
        <w:t>1. Executive Summary &amp; AWS Replatforming Rationale</w:t>
      </w:r>
    </w:p>
    <w:p>
      <w:pPr>
        <w:spacing w:before="0" w:after="120" w:line="276" w:lineRule="auto"/>
      </w:pPr>
      <w:r>
        <w:rPr>
          <w:rFonts w:ascii="Segoe UI" w:hAnsi="Segoe UI"/>
          <w:color w:val="334155"/>
          <w:sz w:val="20"/>
        </w:rPr>
        <w:t>The GraphRAG Literature Intelligence Platform addresses the most pressing bottleneck in pharmaceutical clinical development: transforming millions of unstructured biomedical publications, clinical study reports (CSRs), and regulatory dossiers into audit-ready, quantifiable, and zero-hallucination clinical evidence syntheses.</w:t>
      </w:r>
    </w:p>
    <w:p>
      <w:pPr>
        <w:spacing w:before="0" w:after="120" w:line="276" w:lineRule="auto"/>
      </w:pPr>
      <w:r>
        <w:rPr>
          <w:rFonts w:ascii="Segoe UI" w:hAnsi="Segoe UI"/>
          <w:color w:val="334155"/>
          <w:sz w:val="20"/>
        </w:rPr>
        <w:t>While our initial prototype was validated on Google Cloud Platform (Cloud Run + Gemini 3.8 Flash), this document provides the complete, authoritative specification to replicate and deploy the identical platform within the Amazon Web Services (AWS) ecosystem. Specifically tailored for a Pilot Sandbox deployment, this architecture maximizes developer agility, eliminates idle infrastructure costs, guarantees zero PHI/PII leakage, and establishes a seamless path to enterprise production without requiring architectural refactoring.</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002A54"/>
              <w:top w:val="none"/>
              <w:bottom w:val="none"/>
              <w:right w:val="none"/>
            </w:tcBorders>
          </w:tcPr>
          <w:p>
            <w:pPr>
              <w:spacing w:before="0" w:after="80"/>
            </w:pPr>
            <w:r>
              <w:rPr>
                <w:rFonts w:ascii="Segoe UI" w:hAnsi="Segoe UI"/>
                <w:b/>
                <w:color w:val="002A54"/>
                <w:sz w:val="21"/>
              </w:rPr>
              <w:t>📌 Executive Strategic Rationale for AWS Deployment</w:t>
              <w:br/>
            </w:r>
            <w:r>
              <w:rPr>
                <w:rFonts w:ascii="Segoe UI" w:hAnsi="Segoe UI"/>
                <w:color w:val="1E293B"/>
                <w:sz w:val="19"/>
              </w:rPr>
              <w:t>1. ENTERPRISE GOVERNANCE &amp; GxP VALIDATION: AWS provides mature Life Sciences frameworks (GxP on AWS, HIPAA BAA, 21 CFR Part 11 compliance) already cleared by Novartis Global Information Security.</w:t>
              <w:br/>
              <w:t>2. AMAZON BEDROCK ZERO-RETENTION COMMITMENT: Bedrock guarantees that proprietary clinical literature, unpublished internal trial summaries, and user queries are NEVER used to train foundation models, nor do they leave the private VPC perimeter.</w:t>
              <w:br/>
              <w:t>3. COST-EFFECTIVE SANDBOX TIERS: By leveraging AWS App Runner and Amazon Bedrock serverless APIs for the pilot, the entire multi-agent swarm operates at under $50–$95/month, scaling to zero when developers are inactive.</w:t>
            </w:r>
          </w:p>
        </w:tc>
      </w:tr>
    </w:tbl>
    <w:p>
      <w:pPr>
        <w:spacing w:after="80"/>
      </w:pPr>
    </w:p>
    <w:p>
      <w:pPr>
        <w:pStyle w:val="Heading2"/>
        <w:keepNext/>
        <w:spacing w:before="280" w:after="120"/>
      </w:pPr>
      <w:r>
        <w:rPr>
          <w:rFonts w:ascii="Segoe UI" w:hAnsi="Segoe UI"/>
          <w:b/>
          <w:color w:val="002A54"/>
          <w:sz w:val="26"/>
        </w:rPr>
        <w:t>1.1 The Pilot Sandbox Mandate</w:t>
      </w:r>
    </w:p>
    <w:p>
      <w:pPr>
        <w:spacing w:before="0" w:after="120" w:line="276" w:lineRule="auto"/>
      </w:pPr>
      <w:r>
        <w:rPr>
          <w:rFonts w:ascii="Segoe UI" w:hAnsi="Segoe UI"/>
          <w:color w:val="334155"/>
          <w:sz w:val="20"/>
        </w:rPr>
        <w:t>A sandbox pilot environment in a tier-1 pharmaceutical company operates under strict technical and budgetary constraints:</w:t>
      </w:r>
    </w:p>
    <w:p>
      <w:pPr>
        <w:pStyle w:val="ListBullet"/>
        <w:spacing w:before="0" w:after="60" w:line="276" w:lineRule="auto"/>
      </w:pPr>
      <w:r>
        <w:rPr>
          <w:rFonts w:ascii="Segoe UI" w:hAnsi="Segoe UI"/>
          <w:b/>
          <w:color w:val="0F172A"/>
          <w:sz w:val="20"/>
        </w:rPr>
        <w:t>1. Strict Budget Cap:</w:t>
      </w:r>
      <w:r>
        <w:rPr>
          <w:rFonts w:ascii="Segoe UI" w:hAnsi="Segoe UI"/>
          <w:color w:val="334155"/>
          <w:sz w:val="20"/>
        </w:rPr>
        <w:t xml:space="preserve"> Sandbox environments frequently mandate hard monthly budgets ($100–$250). Multi-node database clusters (like managed graph clusters or vector search instances) costing $200–$400/month before processing a single query must be avoided during the pilot phase.</w:t>
      </w:r>
    </w:p>
    <w:p>
      <w:pPr>
        <w:pStyle w:val="ListBullet"/>
        <w:spacing w:before="0" w:after="60" w:line="276" w:lineRule="auto"/>
      </w:pPr>
      <w:r>
        <w:rPr>
          <w:rFonts w:ascii="Segoe UI" w:hAnsi="Segoe UI"/>
          <w:b/>
          <w:color w:val="0F172A"/>
          <w:sz w:val="20"/>
        </w:rPr>
        <w:t>2. Rapid Provisioning (&lt;10 Minutes):</w:t>
      </w:r>
      <w:r>
        <w:rPr>
          <w:rFonts w:ascii="Segoe UI" w:hAnsi="Segoe UI"/>
          <w:color w:val="334155"/>
          <w:sz w:val="20"/>
        </w:rPr>
        <w:t xml:space="preserve"> The pilot must provision in minutes via Infrastructure-as-Code (AWS CloudFormation or Terraform) with zero lingering manual dependencies.</w:t>
      </w:r>
    </w:p>
    <w:p>
      <w:pPr>
        <w:pStyle w:val="ListBullet"/>
        <w:spacing w:before="0" w:after="60" w:line="276" w:lineRule="auto"/>
      </w:pPr>
      <w:r>
        <w:rPr>
          <w:rFonts w:ascii="Segoe UI" w:hAnsi="Segoe UI"/>
          <w:b/>
          <w:color w:val="0F172A"/>
          <w:sz w:val="20"/>
        </w:rPr>
        <w:t>3. Serverless Auto-Pausing:</w:t>
      </w:r>
      <w:r>
        <w:rPr>
          <w:rFonts w:ascii="Segoe UI" w:hAnsi="Segoe UI"/>
          <w:color w:val="334155"/>
          <w:sz w:val="20"/>
        </w:rPr>
        <w:t xml:space="preserve"> Compute and generative models must pause or scale to zero during nights and weekends, incurring zero baseline costs.</w:t>
      </w:r>
    </w:p>
    <w:p>
      <w:pPr>
        <w:pStyle w:val="ListBullet"/>
        <w:spacing w:before="0" w:after="60" w:line="276" w:lineRule="auto"/>
      </w:pPr>
      <w:r>
        <w:rPr>
          <w:rFonts w:ascii="Segoe UI" w:hAnsi="Segoe UI"/>
          <w:b/>
          <w:color w:val="0F172A"/>
          <w:sz w:val="20"/>
        </w:rPr>
        <w:t>4. Complete Data Isolation:</w:t>
      </w:r>
      <w:r>
        <w:rPr>
          <w:rFonts w:ascii="Segoe UI" w:hAnsi="Segoe UI"/>
          <w:color w:val="334155"/>
          <w:sz w:val="20"/>
        </w:rPr>
        <w:t xml:space="preserve"> All data at rest must use AWS KMS Customer Managed Keys (CMK), with HTTPS TLS 1.3 in transit and strict IAM least-privilege role boundaries.</w:t>
      </w:r>
    </w:p>
    <w:p>
      <w:pPr>
        <w:pStyle w:val="Heading1"/>
        <w:keepNext/>
        <w:spacing w:before="400" w:after="160"/>
      </w:pPr>
      <w:r>
        <w:rPr>
          <w:rFonts w:ascii="Segoe UI" w:hAnsi="Segoe UI"/>
          <w:b/>
          <w:color w:val="0F172A"/>
          <w:sz w:val="33"/>
        </w:rPr>
        <w:t>2. Clinical Problem Statement &amp; Why Pure Bedrock Knowledge Bases Fail</w:t>
      </w:r>
    </w:p>
    <w:p>
      <w:pPr>
        <w:spacing w:before="0" w:after="120" w:line="276" w:lineRule="auto"/>
      </w:pPr>
      <w:r>
        <w:rPr>
          <w:rFonts w:ascii="Segoe UI" w:hAnsi="Segoe UI"/>
          <w:color w:val="334155"/>
          <w:sz w:val="20"/>
        </w:rPr>
        <w:t>Traditional Vector RAG—including standard out-of-the-box AWS Bedrock Knowledge Bases (which chunk documents into fixed token windows, generate embeddings, and query OpenSearch Serverless)—exhibits catastrophic failure modes when applied to clinical literature synthesis: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Clinical RAG Challenge</w:t>
            </w:r>
          </w:p>
        </w:tc>
        <w:tc>
          <w:tcPr>
            <w:tcW w:type="dxa" w:w="3312"/>
            <w:shd w:fill="002A54"/>
            <w:tcMar>
              <w:top w:w="100" w:type="dxa"/>
              <w:bottom w:w="100" w:type="dxa"/>
              <w:left w:w="140" w:type="dxa"/>
              <w:right w:w="140" w:type="dxa"/>
            </w:tcMar>
          </w:tcPr>
          <w:p>
            <w:pPr>
              <w:spacing w:before="0" w:after="0"/>
              <w:jc w:val="left"/>
            </w:pPr>
            <w:r>
              <w:rPr>
                <w:rFonts w:ascii="Segoe UI" w:hAnsi="Segoe UI"/>
                <w:b/>
                <w:color w:val="FFFFFF"/>
                <w:sz w:val="19"/>
              </w:rPr>
              <w:t>Standard AWS Bedrock Knowledge Base Failure</w:t>
            </w:r>
          </w:p>
        </w:tc>
        <w:tc>
          <w:tcPr>
            <w:tcW w:type="dxa" w:w="3456"/>
            <w:shd w:fill="002A54"/>
            <w:tcMar>
              <w:top w:w="100" w:type="dxa"/>
              <w:bottom w:w="100" w:type="dxa"/>
              <w:left w:w="140" w:type="dxa"/>
              <w:right w:w="140" w:type="dxa"/>
            </w:tcMar>
          </w:tcPr>
          <w:p>
            <w:pPr>
              <w:spacing w:before="0" w:after="0"/>
              <w:jc w:val="left"/>
            </w:pPr>
            <w:r>
              <w:rPr>
                <w:rFonts w:ascii="Segoe UI" w:hAnsi="Segoe UI"/>
                <w:b/>
                <w:color w:val="FFFFFF"/>
                <w:sz w:val="19"/>
              </w:rPr>
              <w:t>GraphRAG on AWS Solution</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Top-k Retrieval Truncation</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If 35 Phase 3 clinical trials exist for a drug class and k=8, 77% of patient evidence is dropped silently. The LLM hallucinates an incomplete consensus.</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Graph Traversal via Relational Edges: Traverses DrugClass -&gt; Drug -&gt; Article -&gt; Outcome, retrieving 100% of candidate trials.</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Biomedical Synonym Blindness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'T2DM', 'Type 2 Diabetes', and 'NIDDM' are embedded as distant vector points. A query using one synonym fails to match papers using another.</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Biomedical Ontology Normalization: Maps every surface mention to standardized UMLS CUI (C0011860), MeSH, and RxNorm identifiers.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Cross-Study Relational Synthesis</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Cannot identify that three distinct trials (EMPA-KIDNEY, DAPA-CKD, CREDENCE) evaluated the same pharmacological class across diabetic vs non-diabetic cohorts.</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Explicit Knowledge Graph Edges: 'COMPARES_TO', 'IS_A', and 'REPORTS_OUTCOME' edges connect disparate trials into a unified evidence matrix.</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Deterministic Aggregation &amp; Counts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Queries like 'How many Phase 3 RCTs tested empagliflozin vs placebo?' result in fabricated counts because vector search cannot count.</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Deterministic Graph &amp; Relational Queries: Native COUNT, GROUP BY, and statistical range aggregations across verified nodes.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Sentence-Level Provenance &amp; Audit</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Returns diffuse 500-token chunks with no verification that numbers in the answer match the source text.</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Dual-Gatekeeper Verification Loops: Verbatim Substring Containment Guard + NLI Entailment Loop guaranteeing &gt;=98% citation faithfulness.</w:t>
            </w:r>
          </w:p>
        </w:tc>
      </w:tr>
    </w:tbl>
    <w:p>
      <w:pPr>
        <w:spacing w:after="120"/>
      </w:pPr>
    </w:p>
    <w:p>
      <w:pPr>
        <w:pStyle w:val="Heading1"/>
        <w:keepNext/>
        <w:spacing w:before="400" w:after="160"/>
      </w:pPr>
      <w:r>
        <w:rPr>
          <w:rFonts w:ascii="Segoe UI" w:hAnsi="Segoe UI"/>
          <w:b/>
          <w:color w:val="0F172A"/>
          <w:sz w:val="33"/>
        </w:rPr>
        <w:t>3. AWS-Native Multi-Agent Swarm Architecture</w:t>
      </w:r>
    </w:p>
    <w:p>
      <w:pPr>
        <w:spacing w:before="0" w:after="120" w:line="276" w:lineRule="auto"/>
      </w:pPr>
      <w:r>
        <w:rPr>
          <w:rFonts w:ascii="Segoe UI" w:hAnsi="Segoe UI"/>
          <w:color w:val="334155"/>
          <w:sz w:val="20"/>
        </w:rPr>
        <w:t>The platform replicates our modular, multi-agent architecture across six autonomous micro-agents, re-engineered to leverage AWS native services and Amazon Bedrock foundation models:</w:t>
      </w:r>
    </w:p>
    <w:p>
      <w:pPr>
        <w:pStyle w:val="Heading2"/>
        <w:keepNext/>
        <w:spacing w:before="280" w:after="120"/>
      </w:pPr>
      <w:r>
        <w:rPr>
          <w:rFonts w:ascii="Segoe UI" w:hAnsi="Segoe UI"/>
          <w:b/>
          <w:color w:val="002A54"/>
          <w:sz w:val="26"/>
        </w:rPr>
        <w:t>3.1 Autonomous Micro-Agent Mapping to AWS Services</w:t>
      </w:r>
    </w:p>
    <w:p>
      <w:pPr>
        <w:pStyle w:val="Heading3"/>
        <w:keepNext/>
        <w:spacing w:before="200" w:after="80"/>
      </w:pPr>
      <w:r>
        <w:rPr>
          <w:rFonts w:ascii="Segoe UI" w:hAnsi="Segoe UI"/>
          <w:b/>
          <w:color w:val="EC9A1E"/>
          <w:sz w:val="22"/>
        </w:rPr>
        <w:t>Agent 1: Document Ingestion &amp; Section-Aware Decomposition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Interfacing with NCBI PubMed E-Utilities, Europe PMC, and ClinicalTrials.gov to ingest trial metadata, structured abstracts, and full-text XML/PDFs.</w:t>
      </w:r>
    </w:p>
    <w:p>
      <w:pPr>
        <w:pStyle w:val="ListBullet"/>
        <w:spacing w:before="0" w:after="60" w:line="276" w:lineRule="auto"/>
      </w:pPr>
      <w:r>
        <w:rPr>
          <w:rFonts w:ascii="Segoe UI" w:hAnsi="Segoe UI"/>
          <w:b/>
          <w:color w:val="0F172A"/>
          <w:sz w:val="20"/>
        </w:rPr>
        <w:t>AWS Compute:</w:t>
      </w:r>
      <w:r>
        <w:rPr>
          <w:rFonts w:ascii="Segoe UI" w:hAnsi="Segoe UI"/>
          <w:color w:val="334155"/>
          <w:sz w:val="20"/>
        </w:rPr>
        <w:t xml:space="preserve"> Containerized Python 3.11 service hosted on AWS App Runner (pilot) or AWS Lambda / Amazon ECS Fargate worker pool (production).</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decomposes XML articles into discrete clinical sections: Background, Methods, Results, Primary Endpoints, Discussion, and Tables. Unlike naive token chunkers, it preserves clinical structural tags and outcome tables intact.</w:t>
      </w:r>
    </w:p>
    <w:p>
      <w:pPr>
        <w:pStyle w:val="ListBullet"/>
        <w:spacing w:before="0" w:after="60" w:line="276" w:lineRule="auto"/>
      </w:pPr>
      <w:r>
        <w:rPr>
          <w:rFonts w:ascii="Segoe UI" w:hAnsi="Segoe UI"/>
          <w:b/>
          <w:color w:val="0F172A"/>
          <w:sz w:val="20"/>
        </w:rPr>
        <w:t>AWS Storage:</w:t>
      </w:r>
      <w:r>
        <w:rPr>
          <w:rFonts w:ascii="Segoe UI" w:hAnsi="Segoe UI"/>
          <w:color w:val="334155"/>
          <w:sz w:val="20"/>
        </w:rPr>
        <w:t xml:space="preserve"> Section-tagged passage chunks, publication metadata, and normalized manifests stored in Amazon S3 (`s3://novartis-graphrag-literature-sandbox/xml-cache/`).</w:t>
      </w:r>
    </w:p>
    <w:p>
      <w:pPr>
        <w:pStyle w:val="Heading3"/>
        <w:keepNext/>
        <w:spacing w:before="200" w:after="80"/>
      </w:pPr>
      <w:r>
        <w:rPr>
          <w:rFonts w:ascii="Segoe UI" w:hAnsi="Segoe UI"/>
          <w:b/>
          <w:color w:val="EC9A1E"/>
          <w:sz w:val="22"/>
        </w:rPr>
        <w:t>Agent 2: Dynamic PICO &amp; Relation Extraction Guard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Transforming unstructured clinical narratives into strongly typed PICO (Population, Intervention, Comparator, Outcome) schemas with statistical precision.</w:t>
      </w:r>
    </w:p>
    <w:p>
      <w:pPr>
        <w:pStyle w:val="ListBullet"/>
        <w:spacing w:before="0" w:after="60" w:line="276" w:lineRule="auto"/>
      </w:pPr>
      <w:r>
        <w:rPr>
          <w:rFonts w:ascii="Segoe UI" w:hAnsi="Segoe UI"/>
          <w:b/>
          <w:color w:val="0F172A"/>
          <w:sz w:val="20"/>
        </w:rPr>
        <w:t>AWS Model:</w:t>
      </w:r>
      <w:r>
        <w:rPr>
          <w:rFonts w:ascii="Segoe UI" w:hAnsi="Segoe UI"/>
          <w:color w:val="334155"/>
          <w:sz w:val="20"/>
        </w:rPr>
        <w:t xml:space="preserve"> Amazon Bedrock invoking Anthropic Claude 3.5 Haiku (pilot high-speed extraction) or Claude 3.5 Sonnet (complex multi-arm trials) using structured JSON schema constraints.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For each trial, extracts study design, sample size N, patient inclusion criteria, drug dose/regimen, active/placebo comparators, and quantified outcomes (HR, OR, 95% CI, p-values).</w:t>
      </w:r>
    </w:p>
    <w:p>
      <w:pPr>
        <w:pStyle w:val="ListBullet"/>
        <w:spacing w:before="0" w:after="60" w:line="276" w:lineRule="auto"/>
      </w:pPr>
      <w:r>
        <w:rPr>
          <w:rFonts w:ascii="Segoe UI" w:hAnsi="Segoe UI"/>
          <w:b/>
          <w:color w:val="0F172A"/>
          <w:sz w:val="20"/>
        </w:rPr>
        <w:t>Verification Guard:</w:t>
      </w:r>
      <w:r>
        <w:rPr>
          <w:rFonts w:ascii="Segoe UI" w:hAnsi="Segoe UI"/>
          <w:color w:val="334155"/>
          <w:sz w:val="20"/>
        </w:rPr>
        <w:t xml:space="preserve"> **Verbatim Substring Containment Guard**: Every extracted number or endpoint MUST be an exact verbatim substring within the source text. Non-matching claims are rejected or flagged for re-extraction before entering the knowledge graph.</w:t>
      </w:r>
    </w:p>
    <w:p>
      <w:pPr>
        <w:pStyle w:val="Heading3"/>
        <w:keepNext/>
        <w:spacing w:before="200" w:after="80"/>
      </w:pPr>
      <w:r>
        <w:rPr>
          <w:rFonts w:ascii="Segoe UI" w:hAnsi="Segoe UI"/>
          <w:b/>
          <w:color w:val="EC9A1E"/>
          <w:sz w:val="22"/>
        </w:rPr>
        <w:t>Agent 3: Biomedical Ontology Normalization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Normalizing extracted biomedical entities to UMLS Metathesaurus, MeSH, and RxNorm vocabularies.</w:t>
      </w:r>
    </w:p>
    <w:p>
      <w:pPr>
        <w:pStyle w:val="ListBullet"/>
        <w:spacing w:before="0" w:after="60" w:line="276" w:lineRule="auto"/>
      </w:pPr>
      <w:r>
        <w:rPr>
          <w:rFonts w:ascii="Segoe UI" w:hAnsi="Segoe UI"/>
          <w:b/>
          <w:color w:val="0F172A"/>
          <w:sz w:val="20"/>
        </w:rPr>
        <w:t>AWS Engine:</w:t>
      </w:r>
      <w:r>
        <w:rPr>
          <w:rFonts w:ascii="Segoe UI" w:hAnsi="Segoe UI"/>
          <w:color w:val="334155"/>
          <w:sz w:val="20"/>
        </w:rPr>
        <w:t xml:space="preserve"> scispaCy (en_core_sci_lg) embedded in container + UMLS REST APIs, backed by Amazon ElastiCache Redis (or local in-memory SQLite dictionary in the sandbox).</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Resolves synonymous terms (e.g., 'Empagliflozin', 'Jardiance', 'BI 10773') to RxNorm:1545653 and links them to ATC parent class 'SGLT2 inhibitors' (A10BK). Prevents acronym collisions across therapeutic indications.</w:t>
      </w:r>
    </w:p>
    <w:p>
      <w:pPr>
        <w:pStyle w:val="Heading3"/>
        <w:keepNext/>
        <w:spacing w:before="200" w:after="80"/>
      </w:pPr>
      <w:r>
        <w:rPr>
          <w:rFonts w:ascii="Segoe UI" w:hAnsi="Segoe UI"/>
          <w:b/>
          <w:color w:val="EC9A1E"/>
          <w:sz w:val="22"/>
        </w:rPr>
        <w:t>Agent 4: Hybrid Router &amp; Pathfinding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Inspecting user clinical queries, determining intent, and orchestrating multi-path graph and dense vector retrieval.</w:t>
      </w:r>
    </w:p>
    <w:p>
      <w:pPr>
        <w:pStyle w:val="ListBullet"/>
        <w:spacing w:before="0" w:after="60" w:line="276" w:lineRule="auto"/>
      </w:pPr>
      <w:r>
        <w:rPr>
          <w:rFonts w:ascii="Segoe UI" w:hAnsi="Segoe UI"/>
          <w:b/>
          <w:color w:val="0F172A"/>
          <w:sz w:val="20"/>
        </w:rPr>
        <w:t>Execution Pathways:</w:t>
      </w:r>
      <w:r>
        <w:rPr>
          <w:rFonts w:ascii="Segoe UI" w:hAnsi="Segoe UI"/>
          <w:color w:val="334155"/>
          <w:sz w:val="20"/>
        </w:rPr>
        <w:t xml:space="preserve"> Classifies intent across 4 pathways: (1) Cross-Study Entity Queries (`graph_entity`), (2) Deterministic Counts (`aggregation`), (3) Global Thematic Summaries (`global_thematic`), and (4) Single-Fact Lookups (`vector_fact`).</w:t>
      </w:r>
    </w:p>
    <w:p>
      <w:pPr>
        <w:pStyle w:val="ListBullet"/>
        <w:spacing w:before="0" w:after="60" w:line="276" w:lineRule="auto"/>
      </w:pPr>
      <w:r>
        <w:rPr>
          <w:rFonts w:ascii="Segoe UI" w:hAnsi="Segoe UI"/>
          <w:b/>
          <w:color w:val="0F172A"/>
          <w:sz w:val="20"/>
        </w:rPr>
        <w:t>Retrieval Logic:</w:t>
      </w:r>
      <w:r>
        <w:rPr>
          <w:rFonts w:ascii="Segoe UI" w:hAnsi="Segoe UI"/>
          <w:color w:val="334155"/>
          <w:sz w:val="20"/>
        </w:rPr>
        <w:t xml:space="preserve"> For entity queries, traverses the knowledge graph to identify 100% of candidate studies. Then executes dense vector re-ranking using **Amazon Titan Text Embeddings V2** (or Cohere Embed v3) with a **1.35x relevance multiplier** on Results / Primary Endpoint sections.</w:t>
      </w:r>
    </w:p>
    <w:p>
      <w:pPr>
        <w:pStyle w:val="ListBullet"/>
        <w:spacing w:before="0" w:after="60" w:line="276" w:lineRule="auto"/>
      </w:pPr>
      <w:r>
        <w:rPr>
          <w:rFonts w:ascii="Segoe UI" w:hAnsi="Segoe UI"/>
          <w:b/>
          <w:color w:val="0F172A"/>
          <w:sz w:val="20"/>
        </w:rPr>
        <w:t>Storage Engine:</w:t>
      </w:r>
      <w:r>
        <w:rPr>
          <w:rFonts w:ascii="Segoe UI" w:hAnsi="Segoe UI"/>
          <w:color w:val="334155"/>
          <w:sz w:val="20"/>
        </w:rPr>
        <w:t xml:space="preserve"> In the sandbox pilot, uses container-embedded NetworkX + Titan V2 dense vectors. In production, queries Amazon Neptune Serverless (openCypher) + Amazon OpenSearch Serverless Vector Engine.</w:t>
      </w:r>
    </w:p>
    <w:p>
      <w:pPr>
        <w:pStyle w:val="Heading3"/>
        <w:keepNext/>
        <w:spacing w:before="200" w:after="80"/>
      </w:pPr>
      <w:r>
        <w:rPr>
          <w:rFonts w:ascii="Segoe UI" w:hAnsi="Segoe UI"/>
          <w:b/>
          <w:color w:val="EC9A1E"/>
          <w:sz w:val="22"/>
        </w:rPr>
        <w:t>Agent 5: Dynamic Evidence Synthesis &amp; Audit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audit-ready, cross-study clinical comparative syntheses with interactive citations and automated entailment audits.</w:t>
      </w:r>
    </w:p>
    <w:p>
      <w:pPr>
        <w:pStyle w:val="ListBullet"/>
        <w:spacing w:before="0" w:after="60" w:line="276" w:lineRule="auto"/>
      </w:pPr>
      <w:r>
        <w:rPr>
          <w:rFonts w:ascii="Segoe UI" w:hAnsi="Segoe UI"/>
          <w:b/>
          <w:color w:val="0F172A"/>
          <w:sz w:val="20"/>
        </w:rPr>
        <w:t>AWS Model:</w:t>
      </w:r>
      <w:r>
        <w:rPr>
          <w:rFonts w:ascii="Segoe UI" w:hAnsi="Segoe UI"/>
          <w:color w:val="334155"/>
          <w:sz w:val="20"/>
        </w:rPr>
        <w:t xml:space="preserve"> Amazon Bedrock invoking Anthropic Claude 3.5 Sonnet via Converse API, governed by the CLINICAL_GRAPHRAG_SYSTEM_PROMPT.</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Generates structured comparative prose grouping findings by intervention and outcome, highlights conflicting evidence, constructs side-by-side markdown evidence tables, and mandates interactive citation tags (`[PMID:sentence_id]`).</w:t>
      </w:r>
    </w:p>
    <w:p>
      <w:pPr>
        <w:pStyle w:val="ListBullet"/>
        <w:spacing w:before="0" w:after="60" w:line="276" w:lineRule="auto"/>
      </w:pPr>
      <w:r>
        <w:rPr>
          <w:rFonts w:ascii="Segoe UI" w:hAnsi="Segoe UI"/>
          <w:b/>
          <w:color w:val="0F172A"/>
          <w:sz w:val="20"/>
        </w:rPr>
        <w:t>Self-Correcting Guard:</w:t>
      </w:r>
      <w:r>
        <w:rPr>
          <w:rFonts w:ascii="Segoe UI" w:hAnsi="Segoe UI"/>
          <w:color w:val="334155"/>
          <w:sz w:val="20"/>
        </w:rPr>
        <w:t xml:space="preserve"> **Natural Language Inference (NLI) Audit Loop**: An automated verification pass classifies every generated assertion against cited source sentences. Any claim classified as neutral or contradictory is automatically excised or revised.</w:t>
      </w:r>
    </w:p>
    <w:p>
      <w:pPr>
        <w:pStyle w:val="Heading3"/>
        <w:keepNext/>
        <w:spacing w:before="200" w:after="80"/>
      </w:pPr>
      <w:r>
        <w:rPr>
          <w:rFonts w:ascii="Segoe UI" w:hAnsi="Segoe UI"/>
          <w:b/>
          <w:color w:val="EC9A1E"/>
          <w:sz w:val="22"/>
        </w:rPr>
        <w:t>Agent 6: Dynamic Query Optimizer &amp; Multi-Prompt Strategy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optimized query formulations for both Literature Ingestion and Multi-Document Clinical Chat.</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Amazon Bedrock (Claude 3.5 Haiku) operating in dual modes:</w:t>
        <w:br/>
        <w:t xml:space="preserve">   • Mode A (Data Ingestion Multi-Prompt): Transforms naive keywords into 3-4 boolean MeSH-indexed queries incorporating active comparators, Phase 3 RCT publication filters (`[pt]`), and predicted trial yields.</w:t>
        <w:br/>
        <w:t xml:space="preserve">   • Mode B (Dynamic Clinical Chat Multi-Prompt): Generates 3 hypothesis-driven follow-up angles with explicit clinical rationales (e.g., acute eGFR dip vs chronic slope preservation, KDIGO guidelines).</w:t>
      </w:r>
    </w:p>
    <w:p>
      <w:pPr>
        <w:pStyle w:val="Heading1"/>
        <w:keepNext/>
        <w:spacing w:before="400" w:after="160"/>
      </w:pPr>
      <w:r>
        <w:rPr>
          <w:rFonts w:ascii="Segoe UI" w:hAnsi="Segoe UI"/>
          <w:b/>
          <w:color w:val="0F172A"/>
          <w:sz w:val="33"/>
        </w:rPr>
        <w:t>4. Dual-Gatekeeper Verification Loops on AWS</w:t>
      </w:r>
    </w:p>
    <w:p>
      <w:pPr>
        <w:spacing w:before="0" w:after="120" w:line="276" w:lineRule="auto"/>
      </w:pPr>
      <w:r>
        <w:rPr>
          <w:rFonts w:ascii="Segoe UI" w:hAnsi="Segoe UI"/>
          <w:color w:val="334155"/>
          <w:sz w:val="20"/>
        </w:rPr>
        <w:t>To eliminate hallucinations and satisfy pharmaceutical regulatory compliance (21 CFR Part 11 and GxP), the AWS architecture implements two automated verification gates: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EC9A1E"/>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GATEKEEPER LOOP 1: VERBATIM STRING EXTRACTION GUARD                  |</w:t>
              <w:br/>
              <w:t>|                                                                                         |</w:t>
              <w:br/>
              <w:t>|   [Raw Section Text] ---&gt; [Agent 2: Claude 3.5 Haiku] ---&gt; [Candidate PICO JSON]        |</w:t>
              <w:br/>
              <w:t>|                                                                   |                     |</w:t>
              <w:br/>
              <w:t>|                                                                   v                     |</w:t>
              <w:br/>
              <w:t>|                                                    +----------------------------+       |</w:t>
              <w:br/>
              <w:t>|                                                    | Automated Substring Audit  |       |</w:t>
              <w:br/>
              <w:t>|                                                    | Exact Match in Source Doc? |       |</w:t>
              <w:br/>
              <w:t>|                                                    +----------------------------+       |</w:t>
              <w:br/>
              <w:t>|                                                              /            \             |</w:t>
              <w:br/>
              <w:t>|                                                      YES    /              \   NO       |</w:t>
              <w:br/>
              <w:t>|                                                            v                v           |</w:t>
              <w:br/>
              <w:t>|                                                    [Commit Node/Edge]   [Retry Loop /   |</w:t>
              <w:br/>
              <w:t>|                                                    [to Neptune/S3]      [Drop Field]    |</w:t>
              <w:br/>
              <w:t>+-----------------------------------------------------------------------------------------+</w:t>
              <w:br/>
              <w:br/>
              <w:t>+-----------------------------------------------------------------------------------------+</w:t>
              <w:br/>
              <w:t>|                    GATEKEEPER LOOP 2: NLI ENTAILMENT FAITHFULNESS AUDIT                 |</w:t>
              <w:br/>
              <w:t>|                                                                                         |</w:t>
              <w:br/>
              <w:t>|   [Retrieved Chunks + Table] ---&gt; [Agent 5: Claude 3.5 Sonnet] ---&gt; [Draft Answer Prose]|</w:t>
              <w:br/>
              <w:t>|                                                                             |           |</w:t>
              <w:br/>
              <w:t>|                                                                             v           |</w:t>
              <w:br/>
              <w:t>|                                                              +-----------------------+  |</w:t>
              <w:br/>
              <w:t>|                                                              | NLI Entailment Audit  |  |</w:t>
              <w:br/>
              <w:t>|                                                              | Premise: Source Docs  |  |</w:t>
              <w:br/>
              <w:t>|                                                              | Hypothesis: Claim     |  |</w:t>
              <w:br/>
              <w:t>|                                                              +-----------------------+  |</w:t>
              <w:br/>
              <w:t>|                                                                 /         \             |</w:t>
              <w:br/>
              <w:t>|                                                 ENTAILMENT &gt;0.85/           \ NEUTRAL / |</w:t>
              <w:br/>
              <w:t>|                                                                /             \ CONFLICT |</w:t>
              <w:br/>
              <w:t>|                                                               v               v         |</w:t>
              <w:br/>
              <w:t>|                                                    [Attach Audit Badge]  [Auto-Rewrite /|</w:t>
              <w:br/>
              <w:t>|                                                    [Return to User UI]   [Excise Claim] |</w:t>
              <w:br/>
              <w:t>+-----------------------------------------------------------------------------------------+</w:t>
            </w:r>
          </w:p>
        </w:tc>
      </w:tr>
    </w:tbl>
    <w:p>
      <w:pPr>
        <w:spacing w:after="80"/>
      </w:pPr>
    </w:p>
    <w:p>
      <w:pPr>
        <w:pStyle w:val="Heading2"/>
        <w:keepNext/>
        <w:spacing w:before="280" w:after="120"/>
      </w:pPr>
      <w:r>
        <w:rPr>
          <w:rFonts w:ascii="Segoe UI" w:hAnsi="Segoe UI"/>
          <w:b/>
          <w:color w:val="002A54"/>
          <w:sz w:val="26"/>
        </w:rPr>
        <w:t>4.1 Amazon Bedrock Guardrails Integration</w:t>
      </w:r>
    </w:p>
    <w:p>
      <w:pPr>
        <w:spacing w:before="0" w:after="120" w:line="276" w:lineRule="auto"/>
      </w:pPr>
      <w:r>
        <w:rPr>
          <w:rFonts w:ascii="Segoe UI" w:hAnsi="Segoe UI"/>
          <w:color w:val="334155"/>
          <w:sz w:val="20"/>
        </w:rPr>
        <w:t>In addition to algorithmic string and NLI verification, the AWS deployment natively integrates **Amazon Bedrock Guardrails**:</w:t>
      </w:r>
    </w:p>
    <w:p>
      <w:pPr>
        <w:pStyle w:val="ListBullet"/>
        <w:spacing w:before="0" w:after="60" w:line="276" w:lineRule="auto"/>
      </w:pPr>
      <w:r>
        <w:rPr>
          <w:rFonts w:ascii="Segoe UI" w:hAnsi="Segoe UI"/>
          <w:b/>
          <w:color w:val="0F172A"/>
          <w:sz w:val="20"/>
        </w:rPr>
        <w:t>1. Prompt Injection Protection:</w:t>
      </w:r>
      <w:r>
        <w:rPr>
          <w:rFonts w:ascii="Segoe UI" w:hAnsi="Segoe UI"/>
          <w:color w:val="334155"/>
          <w:sz w:val="20"/>
        </w:rPr>
        <w:t xml:space="preserve"> Prevents user queries from exfiltrating system prompts or circumventing clinical safety boundaries.</w:t>
      </w:r>
    </w:p>
    <w:p>
      <w:pPr>
        <w:pStyle w:val="ListBullet"/>
        <w:spacing w:before="0" w:after="60" w:line="276" w:lineRule="auto"/>
      </w:pPr>
      <w:r>
        <w:rPr>
          <w:rFonts w:ascii="Segoe UI" w:hAnsi="Segoe UI"/>
          <w:b/>
          <w:color w:val="0F172A"/>
          <w:sz w:val="20"/>
        </w:rPr>
        <w:t>2. PII / PHI Redaction Filter:</w:t>
      </w:r>
      <w:r>
        <w:rPr>
          <w:rFonts w:ascii="Segoe UI" w:hAnsi="Segoe UI"/>
          <w:color w:val="334155"/>
          <w:sz w:val="20"/>
        </w:rPr>
        <w:t xml:space="preserve"> Automatically masks any accidental personal health identifiers (names, MRNs, dates of birth) in ingested supplementary files before processing.</w:t>
      </w:r>
    </w:p>
    <w:p>
      <w:pPr>
        <w:pStyle w:val="ListBullet"/>
        <w:spacing w:before="0" w:after="60" w:line="276" w:lineRule="auto"/>
      </w:pPr>
      <w:r>
        <w:rPr>
          <w:rFonts w:ascii="Segoe UI" w:hAnsi="Segoe UI"/>
          <w:b/>
          <w:color w:val="0F172A"/>
          <w:sz w:val="20"/>
        </w:rPr>
        <w:t>3. Contextual Grounding Check:</w:t>
      </w:r>
      <w:r>
        <w:rPr>
          <w:rFonts w:ascii="Segoe UI" w:hAnsi="Segoe UI"/>
          <w:color w:val="334155"/>
          <w:sz w:val="20"/>
        </w:rPr>
        <w:t xml:space="preserve"> Bedrock Guardrail Contextual Grounding verifies that the model's generated text is grounded in the retrieved source passages, providing a secondary defense layer alongside our custom NLI agent.</w:t>
      </w:r>
    </w:p>
    <w:p>
      <w:pPr>
        <w:pStyle w:val="Heading1"/>
        <w:keepNext/>
        <w:spacing w:before="400" w:after="160"/>
      </w:pPr>
      <w:r>
        <w:rPr>
          <w:rFonts w:ascii="Segoe UI" w:hAnsi="Segoe UI"/>
          <w:b/>
          <w:color w:val="0F172A"/>
          <w:sz w:val="33"/>
        </w:rPr>
        <w:t>5. Core Application Features &amp; AWS Implementation</w:t>
      </w:r>
    </w:p>
    <w:p>
      <w:pPr>
        <w:spacing w:before="0" w:after="120" w:line="276" w:lineRule="auto"/>
      </w:pPr>
      <w:r>
        <w:rPr>
          <w:rFonts w:ascii="Segoe UI" w:hAnsi="Segoe UI"/>
          <w:color w:val="334155"/>
          <w:sz w:val="20"/>
        </w:rPr>
        <w:t>The AWS architecture preserves all five user-facing capabilities of the GraphRAG platform, engineered for rapid responsiveness and enterprise accessibility: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Platform Module</w:t>
            </w:r>
          </w:p>
        </w:tc>
        <w:tc>
          <w:tcPr>
            <w:tcW w:type="dxa" w:w="3600"/>
            <w:shd w:fill="002A54"/>
            <w:tcMar>
              <w:top w:w="100" w:type="dxa"/>
              <w:bottom w:w="100" w:type="dxa"/>
              <w:left w:w="140" w:type="dxa"/>
              <w:right w:w="140" w:type="dxa"/>
            </w:tcMar>
          </w:tcPr>
          <w:p>
            <w:pPr>
              <w:spacing w:before="0" w:after="0"/>
              <w:jc w:val="left"/>
            </w:pPr>
            <w:r>
              <w:rPr>
                <w:rFonts w:ascii="Segoe UI" w:hAnsi="Segoe UI"/>
                <w:b/>
                <w:color w:val="FFFFFF"/>
                <w:sz w:val="19"/>
              </w:rPr>
              <w:t>Core Capabilities</w:t>
            </w:r>
          </w:p>
        </w:tc>
        <w:tc>
          <w:tcPr>
            <w:tcW w:type="dxa" w:w="3168"/>
            <w:shd w:fill="002A54"/>
            <w:tcMar>
              <w:top w:w="100" w:type="dxa"/>
              <w:bottom w:w="100" w:type="dxa"/>
              <w:left w:w="140" w:type="dxa"/>
              <w:right w:w="140" w:type="dxa"/>
            </w:tcMar>
          </w:tcPr>
          <w:p>
            <w:pPr>
              <w:spacing w:before="0" w:after="0"/>
              <w:jc w:val="left"/>
            </w:pPr>
            <w:r>
              <w:rPr>
                <w:rFonts w:ascii="Segoe UI" w:hAnsi="Segoe UI"/>
                <w:b/>
                <w:color w:val="FFFFFF"/>
                <w:sz w:val="19"/>
              </w:rPr>
              <w:t>AWS Implementation Details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1. Literature Corpus &amp; Ingestion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Fetches trial abstracts/XML via PubMed API; decomposes sections; runs parallelized PICO extraction; generates boolean MeSH queries with predicted yields.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FastAPI on AWS App Runner with ThreadPoolExecutor parallel workers; S3 bucket for XML document cache; Bedrock Claude 3.5 Haiku for query strategy generation.</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2. Multi-Doc Chat &amp; Clinical Synthesis</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Answers natural language queries across 4 intent pathways; builds side-by-side PICO tables; generates executive clinical prose; outputs dynamic follow-up prompt cards.</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(Claude 3.5 Sonnet Converse API); hybrid router querying Neptune / in-memory KG + Titan Text Embeddings V2 (768d); NLI verification gatekeeper.</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3. Biomedical NER &amp; Concept Explorer</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Interactive concept network mapping synonymous disease mentions to UMLS CUIs; extracts co-occurrence frequencies; surfaces mentions per drug/indication.</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scispaCy en_core_sci_lg parser; REST endpoints (/api/ner/{entity}/mentions); force-directed concept graph visualization rendered in browser.</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4. Structured PICO Evidence Matrix</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Tabular matrix comparing Study Design, Patient Population (N), Interventions, Comparators, and quant outcomes (HR, CI, p-value) with 100% provenance.</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Dynamically populated via FastAPI (/api/pico); click-to-verify modal displaying exact verbatim source sentence with character offset highlights.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5. Interactive Knowledge Graph Explorer</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Live force-directed 2D/3D visualization of multi-hop biomedical relations connecting trials, drug classes, molecular targets, and indications.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Vis-Network / D3.js canvas frontend receiving graph JSON from FastAPI (/api/graph); backed by NetworkX (sandbox) or Amazon Neptune openCypher (production).</w:t>
            </w:r>
          </w:p>
        </w:tc>
      </w:tr>
    </w:tbl>
    <w:p>
      <w:pPr>
        <w:spacing w:after="120"/>
      </w:pPr>
    </w:p>
    <w:p>
      <w:pPr>
        <w:pStyle w:val="Heading1"/>
        <w:keepNext/>
        <w:spacing w:before="400" w:after="160"/>
      </w:pPr>
      <w:r>
        <w:rPr>
          <w:rFonts w:ascii="Segoe UI" w:hAnsi="Segoe UI"/>
          <w:b/>
          <w:color w:val="0F172A"/>
          <w:sz w:val="33"/>
        </w:rPr>
        <w:t>6. High-Level Design (HLD), Data Flow &amp; AWS Graph Schema</w:t>
      </w:r>
    </w:p>
    <w:p>
      <w:pPr>
        <w:spacing w:before="0" w:after="120" w:line="276" w:lineRule="auto"/>
      </w:pPr>
      <w:r>
        <w:rPr>
          <w:rFonts w:ascii="Segoe UI" w:hAnsi="Segoe UI"/>
          <w:color w:val="334155"/>
          <w:sz w:val="20"/>
        </w:rPr>
        <w:t>The end-to-end data flow connects client interactions, serverless container execution, foundational reasoning models, and dual-store graph/vector persistence: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EC9A1E"/>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USER INTERFACE                                      |</w:t>
              <w:br/>
              <w:t>|  Interactive Responsive Workspace (Novartis Corporate Blue #002A54 &amp; Warm Amber #EC9A1E) |</w:t>
              <w:br/>
              <w:t>|  - Tab 1: Corpus &amp; Ingest   - Tab 2: Clinical Chat   - Tab 3: NER   - Tab 4: PICO Grid  |</w:t>
              <w:br/>
              <w:t>+-----------------------------------------------------------------------------------------+</w:t>
              <w:br/>
              <w:t xml:space="preserve">                                           |</w:t>
              <w:br/>
              <w:t xml:space="preserve">                                (HTTPS TLS 1.3 / Port 443)</w:t>
              <w:br/>
              <w:t xml:space="preserve">                                           v</w:t>
              <w:br/>
              <w:t>+-----------------------------------------------------------------------------------------+</w:t>
              <w:br/>
              <w:t>|                          AWS APP RUNNER (SERVERLESS CONTAINER)                          |</w:t>
              <w:br/>
              <w:t>|  - Fully managed container runtime (Auto-scaling, auto-TLS, zero infrastructure admin)  |</w:t>
              <w:br/>
              <w:t>|  - FastAPI (Python 3.11) + Uvicorn ASGI Application                                     |</w:t>
              <w:br/>
              <w:t>|  - Section-Aware Chunking Engine &amp; Ingestion ThreadPoolExecutor Workers                 |</w:t>
              <w:br/>
              <w:t>|  - In-Memory / Snapshot Knowledge Graph Manager (NetworkX / openCypher Engine)          |</w:t>
              <w:br/>
              <w:t>|  - Hybrid Vector Store with Clinical Section Boosting (1.35x on Results / Endpoints)    |</w:t>
              <w:br/>
              <w:t>+-----------------------------------------------------------------------------------------+</w:t>
              <w:br/>
              <w:t xml:space="preserve">             |                                    |                             |</w:t>
              <w:br/>
              <w:t xml:space="preserve">     (InvokeModel API)                     (Read/Write S3)              (GetSecretValue)</w:t>
              <w:br/>
              <w:t xml:space="preserve">             v                                    v                             v</w:t>
              <w:br/>
              <w:t>+-------------------------+         +--------------------------+  +-----------------------+</w:t>
              <w:br/>
              <w:t>|     AMAZON BEDROCK      |         |     AMAZON S3 BUCKET     |  |  AWS SECRETS MANAGER  |</w:t>
              <w:br/>
              <w:t>|  - Anthropic Claude 3.5 |         |  - XML Document Cache    |  |  - Bedrock API access |</w:t>
              <w:br/>
              <w:t xml:space="preserve">|    Sonnet (Synthesis)   |         |  - PICO JSON Snapshots   |  |  - External PubMed    | </w:t>
              <w:br/>
              <w:t>|  - Anthropic Claude 3.5 |         |  - Graph State Backups   |  |    API keys (optional)|</w:t>
              <w:br/>
              <w:t>|    Haiku (PICO &amp; Prompt)|         |  - Audit History Logs    |  |  - Database credentials</w:t>
              <w:br/>
              <w:t>|  - Titan Text Embeddings|         |  - S3 Object Lock (WORM) |  +-----------------------+</w:t>
              <w:br/>
              <w:t>|    V2 (768d MRL Vectors)|         +--------------------------+</w:t>
              <w:br/>
              <w:t>+-------------------------+</w:t>
              <w:br/>
              <w:t xml:space="preserve">             | (Production Scale-Up Extension)</w:t>
              <w:br/>
              <w:t xml:space="preserve">             v</w:t>
              <w:br/>
              <w:t>+-----------------------------------------------------------------------------------------+</w:t>
              <w:br/>
              <w:t>|                    ENTERPRISE PERSISTENCE TIER (PRODUCTION UPGRADE)                     |</w:t>
              <w:br/>
              <w:t>|  +---------------------------------------+  +----------------------------------------+  |</w:t>
              <w:br/>
              <w:t>|  | Amazon Neptune Serverless (openCypher)|  | Amazon OpenSearch Serverless (Vector)  |  |</w:t>
              <w:br/>
              <w:t>|  | Multi-hop biomedical relationship     |  | Enterprise dense vector index for      |  |</w:t>
              <w:br/>
              <w:t>|  | traversals across millions of nodes   |  | multi-million chunk similarity search  |  |</w:t>
              <w:br/>
              <w:t>|  +---------------------------------------+  +----------------------------------------+  |</w:t>
              <w:br/>
              <w:t>+-----------------------------------------------------------------------------------------+</w:t>
            </w:r>
          </w:p>
        </w:tc>
      </w:tr>
    </w:tbl>
    <w:p>
      <w:pPr>
        <w:spacing w:after="80"/>
      </w:pPr>
    </w:p>
    <w:p>
      <w:pPr>
        <w:pStyle w:val="Heading2"/>
        <w:keepNext/>
        <w:spacing w:before="280" w:after="120"/>
      </w:pPr>
      <w:r>
        <w:rPr>
          <w:rFonts w:ascii="Segoe UI" w:hAnsi="Segoe UI"/>
          <w:b/>
          <w:color w:val="002A54"/>
          <w:sz w:val="26"/>
        </w:rPr>
        <w:t>6.1 Biomedical Graph Schema &amp; openCypher Specifications</w:t>
      </w:r>
    </w:p>
    <w:p>
      <w:pPr>
        <w:spacing w:before="0" w:after="120" w:line="276" w:lineRule="auto"/>
      </w:pPr>
      <w:r>
        <w:rPr>
          <w:rFonts w:ascii="Segoe UI" w:hAnsi="Segoe UI"/>
          <w:color w:val="334155"/>
          <w:sz w:val="20"/>
        </w:rPr>
        <w:t>The knowledge graph structure is strongly typed to capture clinical trial dimensions with zero semantic ambiguity:</w:t>
      </w:r>
    </w:p>
    <w:p>
      <w:pPr>
        <w:pStyle w:val="ListBullet"/>
        <w:spacing w:before="0" w:after="60" w:line="276" w:lineRule="auto"/>
      </w:pPr>
      <w:r>
        <w:rPr>
          <w:rFonts w:ascii="Segoe UI" w:hAnsi="Segoe UI"/>
          <w:b/>
          <w:color w:val="0F172A"/>
          <w:sz w:val="20"/>
        </w:rPr>
        <w:t>Core Node Types:</w:t>
      </w:r>
      <w:r>
        <w:rPr>
          <w:rFonts w:ascii="Segoe UI" w:hAnsi="Segoe UI"/>
          <w:color w:val="334155"/>
          <w:sz w:val="20"/>
        </w:rPr>
        <w:t xml:space="preserve"> `Article` (pmid, title, journal, year, sample_size, study_design)</w:t>
      </w:r>
    </w:p>
    <w:p>
      <w:pPr>
        <w:pStyle w:val="ListBullet"/>
        <w:spacing w:before="0" w:after="60" w:line="276" w:lineRule="auto"/>
      </w:pPr>
      <w:r>
        <w:rPr>
          <w:rFonts w:ascii="Segoe UI" w:hAnsi="Segoe UI"/>
          <w:color w:val="334155"/>
          <w:sz w:val="20"/>
        </w:rPr>
        <w:t xml:space="preserve"> `DrugClass` (class_name, cui, mechanism_of_action)</w:t>
      </w:r>
    </w:p>
    <w:p>
      <w:pPr>
        <w:pStyle w:val="ListBullet"/>
        <w:spacing w:before="0" w:after="60" w:line="276" w:lineRule="auto"/>
      </w:pPr>
      <w:r>
        <w:rPr>
          <w:rFonts w:ascii="Segoe UI" w:hAnsi="Segoe UI"/>
          <w:color w:val="334155"/>
          <w:sz w:val="20"/>
        </w:rPr>
        <w:t xml:space="preserve"> `Drug` (drug_name, rxnorm_code, cui, is_investigational)</w:t>
      </w:r>
    </w:p>
    <w:p>
      <w:pPr>
        <w:pStyle w:val="ListBullet"/>
        <w:spacing w:before="0" w:after="60" w:line="276" w:lineRule="auto"/>
      </w:pPr>
      <w:r>
        <w:rPr>
          <w:rFonts w:ascii="Segoe UI" w:hAnsi="Segoe UI"/>
          <w:color w:val="334155"/>
          <w:sz w:val="20"/>
        </w:rPr>
        <w:t xml:space="preserve"> `Condition` (condition_name, cui, icd10_code)</w:t>
      </w:r>
    </w:p>
    <w:p>
      <w:pPr>
        <w:pStyle w:val="ListBullet"/>
        <w:spacing w:before="0" w:after="60" w:line="276" w:lineRule="auto"/>
      </w:pPr>
      <w:r>
        <w:rPr>
          <w:rFonts w:ascii="Segoe UI" w:hAnsi="Segoe UI"/>
          <w:color w:val="334155"/>
          <w:sz w:val="20"/>
        </w:rPr>
        <w:t xml:space="preserve"> `Population` (cohort_description, sample_size, inclusion_criteria, evidence_quote)</w:t>
      </w:r>
    </w:p>
    <w:p>
      <w:pPr>
        <w:pStyle w:val="ListBullet"/>
        <w:spacing w:before="0" w:after="60" w:line="276" w:lineRule="auto"/>
      </w:pPr>
      <w:r>
        <w:rPr>
          <w:rFonts w:ascii="Segoe UI" w:hAnsi="Segoe UI"/>
          <w:color w:val="334155"/>
          <w:sz w:val="20"/>
        </w:rPr>
        <w:t xml:space="preserve"> `Intervention` (drug_name, dose, route, duration, cui)</w:t>
      </w:r>
    </w:p>
    <w:p>
      <w:pPr>
        <w:pStyle w:val="ListBullet"/>
        <w:spacing w:before="0" w:after="60" w:line="276" w:lineRule="auto"/>
      </w:pPr>
      <w:r>
        <w:rPr>
          <w:rFonts w:ascii="Segoe UI" w:hAnsi="Segoe UI"/>
          <w:color w:val="334155"/>
          <w:sz w:val="20"/>
        </w:rPr>
        <w:t xml:space="preserve"> `Comparator` (comparator_name, is_placebo, is_active_control)</w:t>
      </w:r>
    </w:p>
    <w:p>
      <w:pPr>
        <w:pStyle w:val="ListBullet"/>
        <w:spacing w:before="0" w:after="60" w:line="276" w:lineRule="auto"/>
      </w:pPr>
      <w:r>
        <w:rPr>
          <w:rFonts w:ascii="Segoe UI" w:hAnsi="Segoe UI"/>
          <w:color w:val="334155"/>
          <w:sz w:val="20"/>
        </w:rPr>
        <w:t xml:space="preserve"> `Outcome` (outcome_name, measure_type, effect_size, ci_low, ci_high, p_value, direction, evidence_quote)</w:t>
      </w:r>
    </w:p>
    <w:p>
      <w:pPr>
        <w:spacing w:before="0" w:after="120" w:line="276" w:lineRule="auto"/>
      </w:pPr>
      <w:r>
        <w:rPr>
          <w:rFonts w:ascii="Segoe UI" w:hAnsi="Segoe UI"/>
          <w:color w:val="334155"/>
          <w:sz w:val="20"/>
        </w:rPr>
        <w:t>Example openCypher query on Amazon Neptune for cross-study SGLT2 inhibitor trial retrieval in CKD: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EC9A1E"/>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Traverse SGLT2 inhibitor class down to trial outcomes in Chronic Kidney Disease</w:t>
              <w:br/>
              <w:t>MATCH (dc:DrugClass {class_name: 'SGLT2 inhibitors'})&lt;-[:IS_A]-(d:Drug)</w:t>
              <w:br/>
              <w:t>MATCH (d)&lt;-[:STUDIES_DRUG]-(art:Article)-[:REPORTS_OUTCOME]-&gt;(out:Outcome)</w:t>
              <w:br/>
              <w:t>MATCH (art)-[:HAS_POPULATION]-&gt;(pop:Population)</w:t>
              <w:br/>
              <w:t>WHERE pop.condition CONTAINS 'Kidney' OR pop.condition CONTAINS 'CKD'</w:t>
              <w:br/>
              <w:t>RETURN art.title AS Trial, d.drug_name AS Agent, pop.sample_size AS N,</w:t>
              <w:br/>
              <w:t xml:space="preserve">       out.outcome_name AS Endpoint, out.effect_size AS HR,</w:t>
              <w:br/>
              <w:t xml:space="preserve">       out.ci_low AS Lower_95, out.ci_high AS Upper_95, out.p_value AS P_Val</w:t>
              <w:br/>
              <w:t>ORDER BY art.year DESC;</w:t>
            </w:r>
          </w:p>
        </w:tc>
      </w:tr>
    </w:tbl>
    <w:p>
      <w:pPr>
        <w:spacing w:after="80"/>
      </w:pPr>
    </w:p>
    <w:p>
      <w:pPr>
        <w:pStyle w:val="Heading1"/>
        <w:keepNext/>
        <w:spacing w:before="400" w:after="160"/>
      </w:pPr>
      <w:r>
        <w:rPr>
          <w:rFonts w:ascii="Segoe UI" w:hAnsi="Segoe UI"/>
          <w:b/>
          <w:color w:val="0F172A"/>
          <w:sz w:val="33"/>
        </w:rPr>
        <w:t>7. Technology Stack Specification: GCP to AWS Exhaustive Mapping</w:t>
      </w:r>
    </w:p>
    <w:p>
      <w:pPr>
        <w:spacing w:before="0" w:after="120" w:line="276" w:lineRule="auto"/>
      </w:pPr>
      <w:r>
        <w:rPr>
          <w:rFonts w:ascii="Segoe UI" w:hAnsi="Segoe UI"/>
          <w:color w:val="334155"/>
          <w:sz w:val="20"/>
        </w:rPr>
        <w:t>The following table provides an exhaustive component-by-component mapping from our existing Google Cloud implementation to the target AWS native architecture: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02A54"/>
            <w:tcMar>
              <w:top w:w="100" w:type="dxa"/>
              <w:bottom w:w="100" w:type="dxa"/>
              <w:left w:w="140" w:type="dxa"/>
              <w:right w:w="140" w:type="dxa"/>
            </w:tcMar>
          </w:tcPr>
          <w:p>
            <w:pPr>
              <w:spacing w:before="0" w:after="0"/>
              <w:jc w:val="left"/>
            </w:pPr>
            <w:r>
              <w:rPr>
                <w:rFonts w:ascii="Segoe UI" w:hAnsi="Segoe UI"/>
                <w:b/>
                <w:color w:val="FFFFFF"/>
                <w:sz w:val="19"/>
              </w:rPr>
              <w:t>Platform Layer</w:t>
            </w:r>
          </w:p>
        </w:tc>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Google Cloud Implementation</w:t>
            </w:r>
          </w:p>
        </w:tc>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AWS Sandbox Pilot Implementation</w:t>
            </w:r>
          </w:p>
        </w:tc>
        <w:tc>
          <w:tcPr>
            <w:tcW w:type="dxa" w:w="2736"/>
            <w:shd w:fill="002A54"/>
            <w:tcMar>
              <w:top w:w="100" w:type="dxa"/>
              <w:bottom w:w="100" w:type="dxa"/>
              <w:left w:w="140" w:type="dxa"/>
              <w:right w:w="140" w:type="dxa"/>
            </w:tcMar>
          </w:tcPr>
          <w:p>
            <w:pPr>
              <w:spacing w:before="0" w:after="0"/>
              <w:jc w:val="left"/>
            </w:pPr>
            <w:r>
              <w:rPr>
                <w:rFonts w:ascii="Segoe UI" w:hAnsi="Segoe UI"/>
                <w:b/>
                <w:color w:val="FFFFFF"/>
                <w:sz w:val="19"/>
              </w:rPr>
              <w:t>AWS Enterprise Production Target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Compute / Container Hosting</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Google Cloud Run (Serverless container runtime, auto-scale 0-1000)</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AWS App Runner (Direct container deploy, auto-TLS, paused on idle)</w:t>
            </w:r>
          </w:p>
        </w:tc>
        <w:tc>
          <w:tcPr>
            <w:tcW w:type="dxa" w:w="2736"/>
            <w:shd w:fill="FFFFFF"/>
            <w:tcMar>
              <w:top w:w="80" w:type="dxa"/>
              <w:bottom w:w="80" w:type="dxa"/>
              <w:left w:w="140" w:type="dxa"/>
              <w:right w:w="140" w:type="dxa"/>
            </w:tcMar>
          </w:tcPr>
          <w:p>
            <w:pPr>
              <w:spacing w:before="0" w:after="0" w:line="264" w:lineRule="auto"/>
            </w:pPr>
            <w:r>
              <w:rPr>
                <w:rFonts w:ascii="Segoe UI" w:hAnsi="Segoe UI"/>
                <w:color w:val="1E293B"/>
                <w:sz w:val="18"/>
              </w:rPr>
              <w:t>Amazon ECS on AWS Fargate or Amazon EKS (Multi-AZ, Private VPC)</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LLM Reasoning &amp; Synthesis</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Google Gemini 3.8 Flash (via google.genai SDK)</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Anthropic Claude 3.5 Sonnet &amp; Claude 3.5 Haiku</w:t>
            </w:r>
          </w:p>
        </w:tc>
        <w:tc>
          <w:tcPr>
            <w:tcW w:type="dxa" w:w="2736"/>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(Claude 3.5 Sonnet / AWS Trainium fine-tuned Med-LLM)</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Dense Vector Embeddings</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gemini-embedding-001 (768d Matryoshka output)</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Amazon Titan Text Embeddings V2 (768d / 1024d) via Bedrock</w:t>
            </w:r>
          </w:p>
        </w:tc>
        <w:tc>
          <w:tcPr>
            <w:tcW w:type="dxa" w:w="2736"/>
            <w:shd w:fill="FFFFFF"/>
            <w:tcMar>
              <w:top w:w="80" w:type="dxa"/>
              <w:bottom w:w="80" w:type="dxa"/>
              <w:left w:w="140" w:type="dxa"/>
              <w:right w:w="140" w:type="dxa"/>
            </w:tcMar>
          </w:tcPr>
          <w:p>
            <w:pPr>
              <w:spacing w:before="0" w:after="0" w:line="264" w:lineRule="auto"/>
            </w:pPr>
            <w:r>
              <w:rPr>
                <w:rFonts w:ascii="Segoe UI" w:hAnsi="Segoe UI"/>
                <w:color w:val="1E293B"/>
                <w:sz w:val="18"/>
              </w:rPr>
              <w:t>Amazon Titan Text Embeddings V2 or Cohere Embed English v3</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Vector Store &amp; Search Engine</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In-Memory Hybrid Vector Store with 1.35x Section Boost</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In-Memory Hybrid Store with S3 Snapshot Cache &amp; Titan V2 vectors</w:t>
            </w:r>
          </w:p>
        </w:tc>
        <w:tc>
          <w:tcPr>
            <w:tcW w:type="dxa" w:w="2736"/>
            <w:shd w:fill="F8FAFC"/>
            <w:tcMar>
              <w:top w:w="80" w:type="dxa"/>
              <w:bottom w:w="80" w:type="dxa"/>
              <w:left w:w="140" w:type="dxa"/>
              <w:right w:w="140" w:type="dxa"/>
            </w:tcMar>
          </w:tcPr>
          <w:p>
            <w:pPr>
              <w:spacing w:before="0" w:after="0" w:line="264" w:lineRule="auto"/>
            </w:pPr>
            <w:r>
              <w:rPr>
                <w:rFonts w:ascii="Segoe UI" w:hAnsi="Segoe UI"/>
                <w:color w:val="1E293B"/>
                <w:sz w:val="18"/>
              </w:rPr>
              <w:t>Amazon OpenSearch Serverless (Vector Engine) or Aurora pgvector</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Knowledge Graph Database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In-Memory NetworkX with JSON/Cypher serialization</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In-Memory NetworkX with S3 State Checkpointing (&lt;$0/mo infra fee)</w:t>
            </w:r>
          </w:p>
        </w:tc>
        <w:tc>
          <w:tcPr>
            <w:tcW w:type="dxa" w:w="2736"/>
            <w:shd w:fill="FFFFFF"/>
            <w:tcMar>
              <w:top w:w="80" w:type="dxa"/>
              <w:bottom w:w="80" w:type="dxa"/>
              <w:left w:w="140" w:type="dxa"/>
              <w:right w:w="140" w:type="dxa"/>
            </w:tcMar>
          </w:tcPr>
          <w:p>
            <w:pPr>
              <w:spacing w:before="0" w:after="0" w:line="264" w:lineRule="auto"/>
            </w:pPr>
            <w:r>
              <w:rPr>
                <w:rFonts w:ascii="Segoe UI" w:hAnsi="Segoe UI"/>
                <w:color w:val="1E293B"/>
                <w:sz w:val="18"/>
              </w:rPr>
              <w:t>Amazon Neptune Serverless (openCypher/SPARQL, sub-second 4-hop)</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Object &amp; Document Storage</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Google Cloud Storage (GCS) buckets</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Amazon S3 Standard with Server-Side Encryption (SSE-S3)</w:t>
            </w:r>
          </w:p>
        </w:tc>
        <w:tc>
          <w:tcPr>
            <w:tcW w:type="dxa" w:w="2736"/>
            <w:shd w:fill="F8FAFC"/>
            <w:tcMar>
              <w:top w:w="80" w:type="dxa"/>
              <w:bottom w:w="80" w:type="dxa"/>
              <w:left w:w="140" w:type="dxa"/>
              <w:right w:w="140" w:type="dxa"/>
            </w:tcMar>
          </w:tcPr>
          <w:p>
            <w:pPr>
              <w:spacing w:before="0" w:after="0" w:line="264" w:lineRule="auto"/>
            </w:pPr>
            <w:r>
              <w:rPr>
                <w:rFonts w:ascii="Segoe UI" w:hAnsi="Segoe UI"/>
                <w:color w:val="1E293B"/>
                <w:sz w:val="18"/>
              </w:rPr>
              <w:t>Amazon S3 with S3 Object Lock (WORM), Lifecycle Rules, Cross-Region</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Secrets &amp; Key Management</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Google Secret Manager</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AWS Secrets Manager or SSM Parameter Store</w:t>
            </w:r>
          </w:p>
        </w:tc>
        <w:tc>
          <w:tcPr>
            <w:tcW w:type="dxa" w:w="2736"/>
            <w:shd w:fill="FFFFFF"/>
            <w:tcMar>
              <w:top w:w="80" w:type="dxa"/>
              <w:bottom w:w="80" w:type="dxa"/>
              <w:left w:w="140" w:type="dxa"/>
              <w:right w:w="140" w:type="dxa"/>
            </w:tcMar>
          </w:tcPr>
          <w:p>
            <w:pPr>
              <w:spacing w:before="0" w:after="0" w:line="264" w:lineRule="auto"/>
            </w:pPr>
            <w:r>
              <w:rPr>
                <w:rFonts w:ascii="Segoe UI" w:hAnsi="Segoe UI"/>
                <w:color w:val="1E293B"/>
                <w:sz w:val="18"/>
              </w:rPr>
              <w:t>AWS Secrets Manager + AWS KMS Customer Managed Keys (CMK)</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API Gateway &amp; Networking</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Cloud Run built-in HTTPS &amp; Cloud CDN</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AWS App Runner auto-provisioned public HTTPS endpoint</w:t>
            </w:r>
          </w:p>
        </w:tc>
        <w:tc>
          <w:tcPr>
            <w:tcW w:type="dxa" w:w="2736"/>
            <w:shd w:fill="F8FAFC"/>
            <w:tcMar>
              <w:top w:w="80" w:type="dxa"/>
              <w:bottom w:w="80" w:type="dxa"/>
              <w:left w:w="140" w:type="dxa"/>
              <w:right w:w="140" w:type="dxa"/>
            </w:tcMar>
          </w:tcPr>
          <w:p>
            <w:pPr>
              <w:spacing w:before="0" w:after="0" w:line="264" w:lineRule="auto"/>
            </w:pPr>
            <w:r>
              <w:rPr>
                <w:rFonts w:ascii="Segoe UI" w:hAnsi="Segoe UI"/>
                <w:color w:val="1E293B"/>
                <w:sz w:val="18"/>
              </w:rPr>
              <w:t>Amazon CloudFront + AWS WAF + Application Load Balancer (ALB)</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Observability &amp; Audit Trail</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Google Cloud Logging &amp; Cloud Trace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Amazon CloudWatch Logs &amp; Metrics</w:t>
            </w:r>
          </w:p>
        </w:tc>
        <w:tc>
          <w:tcPr>
            <w:tcW w:type="dxa" w:w="2736"/>
            <w:shd w:fill="FFFFFF"/>
            <w:tcMar>
              <w:top w:w="80" w:type="dxa"/>
              <w:bottom w:w="80" w:type="dxa"/>
              <w:left w:w="140" w:type="dxa"/>
              <w:right w:w="140" w:type="dxa"/>
            </w:tcMar>
          </w:tcPr>
          <w:p>
            <w:pPr>
              <w:spacing w:before="0" w:after="0" w:line="264" w:lineRule="auto"/>
            </w:pPr>
            <w:r>
              <w:rPr>
                <w:rFonts w:ascii="Segoe UI" w:hAnsi="Segoe UI"/>
                <w:color w:val="1E293B"/>
                <w:sz w:val="18"/>
              </w:rPr>
              <w:t>Amazon CloudWatch Logs + AWS X-Ray Tracing + AWS CloudTrail</w:t>
            </w:r>
          </w:p>
        </w:tc>
      </w:tr>
    </w:tbl>
    <w:p>
      <w:pPr>
        <w:spacing w:after="120"/>
      </w:pPr>
    </w:p>
    <w:p>
      <w:pPr>
        <w:pStyle w:val="Heading1"/>
        <w:keepNext/>
        <w:spacing w:before="400" w:after="160"/>
      </w:pPr>
      <w:r>
        <w:rPr>
          <w:rFonts w:ascii="Segoe UI" w:hAnsi="Segoe UI"/>
          <w:b/>
          <w:color w:val="0F172A"/>
          <w:sz w:val="33"/>
        </w:rPr>
        <w:t>8. AWS Sandbox Pilot Architecture Blueprint (Low-Cost &amp; Rapid)</w:t>
      </w:r>
    </w:p>
    <w:p>
      <w:pPr>
        <w:spacing w:before="0" w:after="120" w:line="276" w:lineRule="auto"/>
      </w:pPr>
      <w:r>
        <w:rPr>
          <w:rFonts w:ascii="Segoe UI" w:hAnsi="Segoe UI"/>
          <w:color w:val="334155"/>
          <w:sz w:val="20"/>
        </w:rPr>
        <w:t>To guarantee that the pilot is immediately deployable within a constrained AWS sandbox account without incurring database provisioning delays or unnecessary recurring costs, the architecture adopts a **Zero-Idle-Cost Serverless Blueprint**: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002A54"/>
              <w:top w:val="none"/>
              <w:bottom w:val="none"/>
              <w:right w:val="none"/>
            </w:tcBorders>
          </w:tcPr>
          <w:p>
            <w:pPr>
              <w:spacing w:before="0" w:after="80"/>
            </w:pPr>
            <w:r>
              <w:rPr>
                <w:rFonts w:ascii="Segoe UI" w:hAnsi="Segoe UI"/>
                <w:b/>
                <w:color w:val="002A54"/>
                <w:sz w:val="21"/>
              </w:rPr>
              <w:t>📌 Why App Runner + Bedrock is the Ideal Pilot Pair</w:t>
              <w:br/>
            </w:r>
            <w:r>
              <w:rPr>
                <w:rFonts w:ascii="Segoe UI" w:hAnsi="Segoe UI"/>
                <w:color w:val="1E293B"/>
                <w:sz w:val="19"/>
              </w:rPr>
              <w:t>1. ZERO CLUSTER OVERHEAD: Eliminates the requirement to maintain expensive Neptune ($150+/mo) or OpenSearch ($180+/mo) clusters for an evaluation dataset of 50–500 clinical trials.</w:t>
              <w:br/>
              <w:t>2. SERVERLESS BEDROCK CONSUMPTION: Amazon Bedrock charges strictly per million tokens consumed (e.g., $0.003/1k tokens for Claude 3.5 Sonnet, $0.00025/1k for Haiku). In a pilot processing 100 queries/day, monthly LLM expenditure is under $8–$15.</w:t>
              <w:br/>
              <w:t>3. ONE-CLICK DEPLOYMENT: Provisions in under 5 minutes using AWS App Runner directly from an Amazon ECR container image.</w:t>
            </w:r>
          </w:p>
        </w:tc>
      </w:tr>
    </w:tbl>
    <w:p>
      <w:pPr>
        <w:spacing w:after="80"/>
      </w:pPr>
    </w:p>
    <w:p>
      <w:pPr>
        <w:pStyle w:val="Heading2"/>
        <w:keepNext/>
        <w:spacing w:before="280" w:after="120"/>
      </w:pPr>
      <w:r>
        <w:rPr>
          <w:rFonts w:ascii="Segoe UI" w:hAnsi="Segoe UI"/>
          <w:b/>
          <w:color w:val="002A54"/>
          <w:sz w:val="26"/>
        </w:rPr>
        <w:t>8.1 Pilot Cost Estimation Model (&lt;$100/Month)</w:t>
      </w:r>
    </w:p>
    <w:p>
      <w:pPr>
        <w:spacing w:before="0" w:after="120" w:line="276" w:lineRule="auto"/>
      </w:pPr>
      <w:r>
        <w:rPr>
          <w:rFonts w:ascii="Segoe UI" w:hAnsi="Segoe UI"/>
          <w:color w:val="334155"/>
          <w:sz w:val="20"/>
        </w:rPr>
        <w:t>Estimated monthly expenditure in an AWS Sandbox environment based on active evaluation by 5 clinical research team members (approx. 200 trial ingestions and 500 multi-document chat queries per month):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AWS Service</w:t>
            </w:r>
          </w:p>
        </w:tc>
        <w:tc>
          <w:tcPr>
            <w:tcW w:type="dxa" w:w="3168"/>
            <w:shd w:fill="002A54"/>
            <w:tcMar>
              <w:top w:w="100" w:type="dxa"/>
              <w:bottom w:w="100" w:type="dxa"/>
              <w:left w:w="140" w:type="dxa"/>
              <w:right w:w="140" w:type="dxa"/>
            </w:tcMar>
          </w:tcPr>
          <w:p>
            <w:pPr>
              <w:spacing w:before="0" w:after="0"/>
              <w:jc w:val="left"/>
            </w:pPr>
            <w:r>
              <w:rPr>
                <w:rFonts w:ascii="Segoe UI" w:hAnsi="Segoe UI"/>
                <w:b/>
                <w:color w:val="FFFFFF"/>
                <w:sz w:val="19"/>
              </w:rPr>
              <w:t>Sandbox Pilot Configuration</w:t>
            </w:r>
          </w:p>
        </w:tc>
        <w:tc>
          <w:tcPr>
            <w:tcW w:type="dxa" w:w="2592"/>
            <w:shd w:fill="002A54"/>
            <w:tcMar>
              <w:top w:w="100" w:type="dxa"/>
              <w:bottom w:w="100" w:type="dxa"/>
              <w:left w:w="140" w:type="dxa"/>
              <w:right w:w="140" w:type="dxa"/>
            </w:tcMar>
          </w:tcPr>
          <w:p>
            <w:pPr>
              <w:spacing w:before="0" w:after="0"/>
              <w:jc w:val="left"/>
            </w:pPr>
            <w:r>
              <w:rPr>
                <w:rFonts w:ascii="Segoe UI" w:hAnsi="Segoe UI"/>
                <w:b/>
                <w:color w:val="FFFFFF"/>
                <w:sz w:val="19"/>
              </w:rPr>
              <w:t>Monthly Usage Metric</w:t>
            </w:r>
          </w:p>
        </w:tc>
        <w:tc>
          <w:tcPr>
            <w:tcW w:type="dxa" w:w="1728"/>
            <w:shd w:fill="002A54"/>
            <w:tcMar>
              <w:top w:w="100" w:type="dxa"/>
              <w:bottom w:w="100" w:type="dxa"/>
              <w:left w:w="140" w:type="dxa"/>
              <w:right w:w="140" w:type="dxa"/>
            </w:tcMar>
          </w:tcPr>
          <w:p>
            <w:pPr>
              <w:spacing w:before="0" w:after="0"/>
              <w:jc w:val="left"/>
            </w:pPr>
            <w:r>
              <w:rPr>
                <w:rFonts w:ascii="Segoe UI" w:hAnsi="Segoe UI"/>
                <w:b/>
                <w:color w:val="FFFFFF"/>
                <w:sz w:val="19"/>
              </w:rPr>
              <w:t>Estimated Cost (USD)</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AWS App Runner</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1 vCPU, 2 GB RAM (Auto-pause when idle)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40 active hours/month + idle pause</w:t>
            </w:r>
          </w:p>
        </w:tc>
        <w:tc>
          <w:tcPr>
            <w:tcW w:type="dxa" w:w="1728"/>
            <w:shd w:fill="FFFFFF"/>
            <w:tcMar>
              <w:top w:w="80" w:type="dxa"/>
              <w:bottom w:w="80" w:type="dxa"/>
              <w:left w:w="140" w:type="dxa"/>
              <w:right w:w="140" w:type="dxa"/>
            </w:tcMar>
          </w:tcPr>
          <w:p>
            <w:pPr>
              <w:spacing w:before="0" w:after="0" w:line="264" w:lineRule="auto"/>
            </w:pPr>
            <w:r>
              <w:rPr>
                <w:rFonts w:ascii="Segoe UI" w:hAnsi="Segoe UI"/>
                <w:color w:val="1E293B"/>
                <w:sz w:val="18"/>
              </w:rPr>
              <w:t>$12.00 – $18.00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(Claude 3.5 Sonnet)</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Chat synthesis &amp; comparative reasoning</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1.5M input tokens, 400k output tokens</w:t>
            </w:r>
          </w:p>
        </w:tc>
        <w:tc>
          <w:tcPr>
            <w:tcW w:type="dxa" w:w="1728"/>
            <w:shd w:fill="F8FAFC"/>
            <w:tcMar>
              <w:top w:w="80" w:type="dxa"/>
              <w:bottom w:w="80" w:type="dxa"/>
              <w:left w:w="140" w:type="dxa"/>
              <w:right w:w="140" w:type="dxa"/>
            </w:tcMar>
          </w:tcPr>
          <w:p>
            <w:pPr>
              <w:spacing w:before="0" w:after="0" w:line="264" w:lineRule="auto"/>
            </w:pPr>
            <w:r>
              <w:rPr>
                <w:rFonts w:ascii="Segoe UI" w:hAnsi="Segoe UI"/>
                <w:color w:val="1E293B"/>
                <w:sz w:val="18"/>
              </w:rPr>
              <w:t>$10.50 – $15.00</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Amazon Bedrock (Claude 3.5 Haiku)</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Dynamic PICO extraction &amp; prompt refiner</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2.0M input tokens, 500k output tokens</w:t>
            </w:r>
          </w:p>
        </w:tc>
        <w:tc>
          <w:tcPr>
            <w:tcW w:type="dxa" w:w="1728"/>
            <w:shd w:fill="FFFFFF"/>
            <w:tcMar>
              <w:top w:w="80" w:type="dxa"/>
              <w:bottom w:w="80" w:type="dxa"/>
              <w:left w:w="140" w:type="dxa"/>
              <w:right w:w="140" w:type="dxa"/>
            </w:tcMar>
          </w:tcPr>
          <w:p>
            <w:pPr>
              <w:spacing w:before="0" w:after="0" w:line="264" w:lineRule="auto"/>
            </w:pPr>
            <w:r>
              <w:rPr>
                <w:rFonts w:ascii="Segoe UI" w:hAnsi="Segoe UI"/>
                <w:color w:val="1E293B"/>
                <w:sz w:val="18"/>
              </w:rPr>
              <w:t>$1.50 – $2.50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Amazon Bedrock (Titan Embeddings V2)</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Dense 768d passage vectors for chunks</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500,000 embedded tokens</w:t>
            </w:r>
          </w:p>
        </w:tc>
        <w:tc>
          <w:tcPr>
            <w:tcW w:type="dxa" w:w="1728"/>
            <w:shd w:fill="F8FAFC"/>
            <w:tcMar>
              <w:top w:w="80" w:type="dxa"/>
              <w:bottom w:w="80" w:type="dxa"/>
              <w:left w:w="140" w:type="dxa"/>
              <w:right w:w="140" w:type="dxa"/>
            </w:tcMar>
          </w:tcPr>
          <w:p>
            <w:pPr>
              <w:spacing w:before="0" w:after="0" w:line="264" w:lineRule="auto"/>
            </w:pPr>
            <w:r>
              <w:rPr>
                <w:rFonts w:ascii="Segoe UI" w:hAnsi="Segoe UI"/>
                <w:color w:val="1E293B"/>
                <w:sz w:val="18"/>
              </w:rPr>
              <w:t>$0.05 – $0.10</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Amazon S3</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Standard Storage for XML cache &amp; backups</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10 GB storage + 20,000 PUT/GET requests</w:t>
            </w:r>
          </w:p>
        </w:tc>
        <w:tc>
          <w:tcPr>
            <w:tcW w:type="dxa" w:w="1728"/>
            <w:shd w:fill="FFFFFF"/>
            <w:tcMar>
              <w:top w:w="80" w:type="dxa"/>
              <w:bottom w:w="80" w:type="dxa"/>
              <w:left w:w="140" w:type="dxa"/>
              <w:right w:w="140" w:type="dxa"/>
            </w:tcMar>
          </w:tcPr>
          <w:p>
            <w:pPr>
              <w:spacing w:before="0" w:after="0" w:line="264" w:lineRule="auto"/>
            </w:pPr>
            <w:r>
              <w:rPr>
                <w:rFonts w:ascii="Segoe UI" w:hAnsi="Segoe UI"/>
                <w:color w:val="1E293B"/>
                <w:sz w:val="18"/>
              </w:rPr>
              <w:t>$0.30 – $0.50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AWS Secrets Manager</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1 secret for API configuration</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1 secret per month + 10,000 API calls</w:t>
            </w:r>
          </w:p>
        </w:tc>
        <w:tc>
          <w:tcPr>
            <w:tcW w:type="dxa" w:w="1728"/>
            <w:shd w:fill="F8FAFC"/>
            <w:tcMar>
              <w:top w:w="80" w:type="dxa"/>
              <w:bottom w:w="80" w:type="dxa"/>
              <w:left w:w="140" w:type="dxa"/>
              <w:right w:w="140" w:type="dxa"/>
            </w:tcMar>
          </w:tcPr>
          <w:p>
            <w:pPr>
              <w:spacing w:before="0" w:after="0" w:line="264" w:lineRule="auto"/>
            </w:pPr>
            <w:r>
              <w:rPr>
                <w:rFonts w:ascii="Segoe UI" w:hAnsi="Segoe UI"/>
                <w:color w:val="1E293B"/>
                <w:sz w:val="18"/>
              </w:rPr>
              <w:t>$0.45</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Amazon CloudWatch</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Logs, metrics, and latency alarms</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3 GB ingested logs / month</w:t>
            </w:r>
          </w:p>
        </w:tc>
        <w:tc>
          <w:tcPr>
            <w:tcW w:type="dxa" w:w="1728"/>
            <w:shd w:fill="FFFFFF"/>
            <w:tcMar>
              <w:top w:w="80" w:type="dxa"/>
              <w:bottom w:w="80" w:type="dxa"/>
              <w:left w:w="140" w:type="dxa"/>
              <w:right w:w="140" w:type="dxa"/>
            </w:tcMar>
          </w:tcPr>
          <w:p>
            <w:pPr>
              <w:spacing w:before="0" w:after="0" w:line="264" w:lineRule="auto"/>
            </w:pPr>
            <w:r>
              <w:rPr>
                <w:rFonts w:ascii="Segoe UI" w:hAnsi="Segoe UI"/>
                <w:color w:val="1E293B"/>
                <w:sz w:val="18"/>
              </w:rPr>
              <w:t>$1.50 – $2.00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TOTAL ESTIMATED MONTHLY PILOT COST</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Complete Autonomous GraphRAG Swarm</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Production-Grade Sandbox Evaluation</w:t>
            </w:r>
          </w:p>
        </w:tc>
        <w:tc>
          <w:tcPr>
            <w:tcW w:type="dxa" w:w="1728"/>
            <w:shd w:fill="F8FAFC"/>
            <w:tcMar>
              <w:top w:w="80" w:type="dxa"/>
              <w:bottom w:w="80" w:type="dxa"/>
              <w:left w:w="140" w:type="dxa"/>
              <w:right w:w="140" w:type="dxa"/>
            </w:tcMar>
          </w:tcPr>
          <w:p>
            <w:pPr>
              <w:spacing w:before="0" w:after="0" w:line="264" w:lineRule="auto"/>
            </w:pPr>
            <w:r>
              <w:rPr>
                <w:rFonts w:ascii="Segoe UI" w:hAnsi="Segoe UI"/>
                <w:color w:val="1E293B"/>
                <w:sz w:val="18"/>
              </w:rPr>
              <w:t>$26.30 – $38.55 / month</w:t>
            </w:r>
          </w:p>
        </w:tc>
      </w:tr>
    </w:tbl>
    <w:p>
      <w:pPr>
        <w:spacing w:after="120"/>
      </w:pPr>
    </w:p>
    <w:p>
      <w:pPr>
        <w:pStyle w:val="Heading2"/>
        <w:keepNext/>
        <w:spacing w:before="280" w:after="120"/>
      </w:pPr>
      <w:r>
        <w:rPr>
          <w:rFonts w:ascii="Segoe UI" w:hAnsi="Segoe UI"/>
          <w:b/>
          <w:color w:val="002A54"/>
          <w:sz w:val="26"/>
        </w:rPr>
        <w:t>8.2 AWS Infrastructure as Code (CloudFormation Template)</w:t>
      </w:r>
    </w:p>
    <w:p>
      <w:pPr>
        <w:spacing w:before="0" w:after="120" w:line="276" w:lineRule="auto"/>
      </w:pPr>
      <w:r>
        <w:rPr>
          <w:rFonts w:ascii="Segoe UI" w:hAnsi="Segoe UI"/>
          <w:color w:val="334155"/>
          <w:sz w:val="20"/>
        </w:rPr>
        <w:t>The following complete AWS CloudFormation template provisions the S3 storage bucket, IAM execution role, Bedrock access policy, and App Runner service for the Sandbox Pilot: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EC9A1E"/>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AWSTemplateFormatVersion: '2010-09-09'</w:t>
              <w:br/>
              <w:t>Description: 'Novartis GraphRAG Literature Platform - AWS Sandbox Pilot Blueprint'</w:t>
              <w:br/>
              <w:br/>
              <w:t>Parameters:</w:t>
              <w:br/>
              <w:t xml:space="preserve">  ImageUri:</w:t>
              <w:br/>
              <w:t xml:space="preserve">    Type: String</w:t>
              <w:br/>
              <w:t xml:space="preserve">    Description: 'Amazon ECR Image URI for GraphRAG Container'</w:t>
              <w:br/>
              <w:t xml:space="preserve">    Default: '189627569441.dkr.ecr.us-east-1.amazonaws.com/graphrag-literature:latest'</w:t>
              <w:br/>
              <w:br/>
              <w:t>Resources:</w:t>
              <w:br/>
              <w:t xml:space="preserve">  # S3 Bucket for XML Cache, PICO Snapshots &amp; Graph Backups</w:t>
              <w:br/>
              <w:t xml:space="preserve">  GraphRAGDataBucket:</w:t>
              <w:br/>
              <w:t xml:space="preserve">    Type: AWS::S3::Bucket</w:t>
              <w:br/>
              <w:t xml:space="preserve">    Properties:</w:t>
              <w:br/>
              <w:t xml:space="preserve">      BucketName: !Sub 'novartis-graphrag-sandbox-${AWS::AccountId}'</w:t>
              <w:br/>
              <w:t xml:space="preserve">      BucketEncryption:</w:t>
              <w:br/>
              <w:t xml:space="preserve">        ServerSideEncryptionConfiguration:</w:t>
              <w:br/>
              <w:t xml:space="preserve">          - ServerSideEncryptionByDefault:</w:t>
              <w:br/>
              <w:t xml:space="preserve">              SSEAlgorithm: AES256</w:t>
              <w:br/>
              <w:t xml:space="preserve">      VersioningConfiguration:</w:t>
              <w:br/>
              <w:t xml:space="preserve">        Status: Enabled</w:t>
              <w:br/>
              <w:t xml:space="preserve">      PublicAccessBlockConfiguration:</w:t>
              <w:br/>
              <w:t xml:space="preserve">        BlockPublicAcls: true</w:t>
              <w:br/>
              <w:t xml:space="preserve">        BlockPublicPolicy: true</w:t>
              <w:br/>
              <w:t xml:space="preserve">        IgnorePublicAcls: true</w:t>
              <w:br/>
              <w:t xml:space="preserve">        RestrictPublicBuckets: true</w:t>
              <w:br/>
              <w:br/>
              <w:t xml:space="preserve">  # App Runner Instance Execution Role (Access to Bedrock &amp; S3)</w:t>
              <w:br/>
              <w:t xml:space="preserve">  AppRunnerInstanceRole:</w:t>
              <w:br/>
              <w:t xml:space="preserve">    Type: AWS::IAM::Role</w:t>
              <w:br/>
              <w:t xml:space="preserve">    Properties:</w:t>
              <w:br/>
              <w:t xml:space="preserve">      RoleName: !Sub 'novartis-graphrag-apprunner-role-${AWS::Region}'</w:t>
              <w:br/>
              <w:t xml:space="preserve">      AssumeRolePolicyDocument:</w:t>
              <w:br/>
              <w:t xml:space="preserve">        Version: '2012-10-17'</w:t>
              <w:br/>
              <w:t xml:space="preserve">        Statement:</w:t>
              <w:br/>
              <w:t xml:space="preserve">          - Effect: Allow</w:t>
              <w:br/>
              <w:t xml:space="preserve">            Principal:</w:t>
              <w:br/>
              <w:t xml:space="preserve">              Service: tasks.apprunner.amazonaws.com</w:t>
              <w:br/>
              <w:t xml:space="preserve">            Action: sts:AssumeRole</w:t>
              <w:br/>
              <w:t xml:space="preserve">      Policies:</w:t>
              <w:br/>
              <w:t xml:space="preserve">        - PolicyName: BedrockAndS3Access</w:t>
              <w:br/>
              <w:t xml:space="preserve">          PolicyDocument:</w:t>
              <w:br/>
              <w:t xml:space="preserve">            Version: '2012-10-17'</w:t>
              <w:br/>
              <w:t xml:space="preserve">            Statement:</w:t>
              <w:br/>
              <w:t xml:space="preserve">              - Effect: Allow</w:t>
              <w:br/>
              <w:t xml:space="preserve">                Action:</w:t>
              <w:br/>
              <w:t xml:space="preserve">                  - bedrock:InvokeModel</w:t>
              <w:br/>
              <w:t xml:space="preserve">                  - bedrock:InvokeModelWithResponseStream</w:t>
              <w:br/>
              <w:t xml:space="preserve">                Resource: '*'</w:t>
              <w:br/>
              <w:t xml:space="preserve">              - Effect: Allow</w:t>
              <w:br/>
              <w:t xml:space="preserve">                Action:</w:t>
              <w:br/>
              <w:t xml:space="preserve">                  - s3:GetObject</w:t>
              <w:br/>
              <w:t xml:space="preserve">                  - s3:PutObject</w:t>
              <w:br/>
              <w:t xml:space="preserve">                  - s3:ListBucket</w:t>
              <w:br/>
              <w:t xml:space="preserve">                Resource:</w:t>
              <w:br/>
              <w:t xml:space="preserve">                  - !GetAtt GraphRAGDataBucket.Arn</w:t>
              <w:br/>
              <w:t xml:space="preserve">                  - !Sub '${GraphRAGDataBucket.Arn}/*'</w:t>
              <w:br/>
              <w:br/>
              <w:t xml:space="preserve">  # AWS App Runner Service (Fully Managed Serverless Container)</w:t>
              <w:br/>
              <w:t xml:space="preserve">  GraphRAGService:</w:t>
              <w:br/>
              <w:t xml:space="preserve">    Type: AWS::AppRunner::Service</w:t>
              <w:br/>
              <w:t xml:space="preserve">    Properties:</w:t>
              <w:br/>
              <w:t xml:space="preserve">      ServiceName: 'graphrag-literature-pilot'</w:t>
              <w:br/>
              <w:t xml:space="preserve">      SourceConfiguration:</w:t>
              <w:br/>
              <w:t xml:space="preserve">        AuthenticationConfiguration:</w:t>
              <w:br/>
              <w:t xml:space="preserve">          AccessRoleArn: !GetAtt AppRunnerInstanceRole.Arn</w:t>
              <w:br/>
              <w:t xml:space="preserve">        ImageRepository:</w:t>
              <w:br/>
              <w:t xml:space="preserve">          ImageIdentifier: !Ref ImageUri</w:t>
              <w:br/>
              <w:t xml:space="preserve">          ImageRepositoryType: ECR</w:t>
              <w:br/>
              <w:t xml:space="preserve">          ImageConfiguration:</w:t>
              <w:br/>
              <w:t xml:space="preserve">            Port: '8080'</w:t>
              <w:br/>
              <w:t xml:space="preserve">            RuntimeEnvironmentVariables:</w:t>
              <w:br/>
              <w:t xml:space="preserve">              - Name: AWS_REGION</w:t>
              <w:br/>
              <w:t xml:space="preserve">                Value: !Ref 'AWS::Region'</w:t>
              <w:br/>
              <w:t xml:space="preserve">              - Name: S3_DATA_BUCKET</w:t>
              <w:br/>
              <w:t xml:space="preserve">                Value: !Ref GraphRAGDataBucket</w:t>
              <w:br/>
              <w:t xml:space="preserve">              - Name: BEDROCK_MODEL_SYNTHESIS</w:t>
              <w:br/>
              <w:t xml:space="preserve">                Value: 'anthropic.claude-3-5-sonnet-20241022-v2:0'</w:t>
              <w:br/>
              <w:t xml:space="preserve">              - Name: BEDROCK_MODEL_EXTRACTION</w:t>
              <w:br/>
              <w:t xml:space="preserve">                Value: 'anthropic.claude-3-5-haiku-20241022-v1:0'</w:t>
              <w:br/>
              <w:t xml:space="preserve">              - Name: BEDROCK_MODEL_EMBEDDING</w:t>
              <w:br/>
              <w:t xml:space="preserve">                Value: 'amazon.titan-embed-text-v2:0'</w:t>
              <w:br/>
              <w:t xml:space="preserve">      InstanceConfiguration:</w:t>
              <w:br/>
              <w:t xml:space="preserve">        Cpu: '1024'</w:t>
              <w:br/>
              <w:t xml:space="preserve">        Memory: '2048'</w:t>
              <w:br/>
              <w:t xml:space="preserve">        InstanceRoleArn: !GetAtt AppRunnerInstanceRole.Arn</w:t>
              <w:br/>
              <w:br/>
              <w:t>Outputs:</w:t>
              <w:br/>
              <w:t xml:space="preserve">  AppRunnerUrl:</w:t>
              <w:br/>
              <w:t xml:space="preserve">    Description: 'Public HTTPS URL for GraphRAG Sandbox Pilot'</w:t>
              <w:br/>
              <w:t xml:space="preserve">    Value: !GetAtt GraphRAGService.ServiceUrl</w:t>
            </w:r>
          </w:p>
        </w:tc>
      </w:tr>
    </w:tbl>
    <w:p>
      <w:pPr>
        <w:spacing w:after="80"/>
      </w:pPr>
    </w:p>
    <w:p>
      <w:pPr>
        <w:pStyle w:val="Heading2"/>
        <w:keepNext/>
        <w:spacing w:before="280" w:after="120"/>
      </w:pPr>
      <w:r>
        <w:rPr>
          <w:rFonts w:ascii="Segoe UI" w:hAnsi="Segoe UI"/>
          <w:b/>
          <w:color w:val="002A54"/>
          <w:sz w:val="26"/>
        </w:rPr>
        <w:t>8.3 Python Bedrock Integration Client Code</w:t>
      </w:r>
    </w:p>
    <w:p>
      <w:pPr>
        <w:spacing w:before="0" w:after="120" w:line="276" w:lineRule="auto"/>
      </w:pPr>
      <w:r>
        <w:rPr>
          <w:rFonts w:ascii="Segoe UI" w:hAnsi="Segoe UI"/>
          <w:color w:val="334155"/>
          <w:sz w:val="20"/>
        </w:rPr>
        <w:t>The following Python client implementation replaces `gemini_client.py` with the official AWS SDK (`boto3`), supporting Anthropic Claude 3.5 Sonnet Converse API and Amazon Titan Text Embeddings V2:</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EC9A1E"/>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import json</w:t>
              <w:br/>
              <w:t>import logging</w:t>
              <w:br/>
              <w:t>import boto3</w:t>
              <w:br/>
              <w:t>from typing import List, Dict, Any, Optional</w:t>
              <w:br/>
              <w:br/>
              <w:t>logger = logging.getLogger('graphrag.bedrock')</w:t>
              <w:br/>
              <w:br/>
              <w:t>class BedrockClient:</w:t>
              <w:br/>
              <w:t xml:space="preserve">    def __init__(self, region_name: str = 'us-east-1'):</w:t>
              <w:br/>
              <w:t xml:space="preserve">        self.client = boto3.client('bedrock-runtime', region_name=region_name)</w:t>
              <w:br/>
              <w:t xml:space="preserve">        self.model_synthesis = 'anthropic.claude-3-5-sonnet-20241022-v2:0'</w:t>
              <w:br/>
              <w:t xml:space="preserve">        self.model_extraction = 'anthropic.claude-3-5-haiku-20241022-v1:0'</w:t>
              <w:br/>
              <w:t xml:space="preserve">        self.model_embedding = 'amazon.titan-embed-text-v2:0'</w:t>
              <w:br/>
              <w:br/>
              <w:t xml:space="preserve">    def generate_clinical_synthesis(self, prompt: str, system_prompt: str) -&gt; str:</w:t>
              <w:br/>
              <w:t xml:space="preserve">        """Executes dynamic multi-study synthesis via Bedrock Converse API."""</w:t>
              <w:br/>
              <w:t xml:space="preserve">        response = self.client.converse(</w:t>
              <w:br/>
              <w:t xml:space="preserve">            modelId=self.model_synthesis,</w:t>
              <w:br/>
              <w:t xml:space="preserve">            messages=[{'role': 'user', 'content': [{'text': prompt}]}],</w:t>
              <w:br/>
              <w:t xml:space="preserve">            system=[{'text': system_prompt}],</w:t>
              <w:br/>
              <w:t xml:space="preserve">            inferenceConfig={'temperature': 0.1, 'maxTokens': 2048}</w:t>
              <w:br/>
              <w:t xml:space="preserve">        )</w:t>
              <w:br/>
              <w:t xml:space="preserve">        return response['output']['message']['content'][0]['text']</w:t>
              <w:br/>
              <w:br/>
              <w:t xml:space="preserve">    def generate_embeddings(self, texts: List[str], dimensions: int = 768) -&gt; List[List[float]]:</w:t>
              <w:br/>
              <w:t xml:space="preserve">        """Generates 768-dim dense vectors using Amazon Titan Text Embeddings V2."""</w:t>
              <w:br/>
              <w:t xml:space="preserve">        embeddings = []</w:t>
              <w:br/>
              <w:t xml:space="preserve">        for text in texts:</w:t>
              <w:br/>
              <w:t xml:space="preserve">            body = json.dumps({'inputText': text, 'dimensions': dimensions, 'normalize': True})</w:t>
              <w:br/>
              <w:t xml:space="preserve">            resp = self.client.invoke_model(</w:t>
              <w:br/>
              <w:t xml:space="preserve">                modelId=self.model_embedding,</w:t>
              <w:br/>
              <w:t xml:space="preserve">                contentType='application/json',</w:t>
              <w:br/>
              <w:t xml:space="preserve">                accept='application/json',</w:t>
              <w:br/>
              <w:t xml:space="preserve">                body=body</w:t>
              <w:br/>
              <w:t xml:space="preserve">            )</w:t>
              <w:br/>
              <w:t xml:space="preserve">            result = json.loads(resp['body'].read())</w:t>
              <w:br/>
              <w:t xml:space="preserve">            embeddings.append(result['embedding'])</w:t>
              <w:br/>
              <w:t xml:space="preserve">        return embeddings</w:t>
              <w:br/>
            </w:r>
          </w:p>
        </w:tc>
      </w:tr>
    </w:tbl>
    <w:p>
      <w:pPr>
        <w:spacing w:after="80"/>
      </w:pPr>
    </w:p>
    <w:p>
      <w:pPr>
        <w:pStyle w:val="Heading1"/>
        <w:keepNext/>
        <w:spacing w:before="400" w:after="160"/>
      </w:pPr>
      <w:r>
        <w:rPr>
          <w:rFonts w:ascii="Segoe UI" w:hAnsi="Segoe UI"/>
          <w:b/>
          <w:color w:val="0F172A"/>
          <w:sz w:val="33"/>
        </w:rPr>
        <w:t>9. Security, Compliance &amp; Regulatory Governance in Biopharma</w:t>
      </w:r>
    </w:p>
    <w:p>
      <w:pPr>
        <w:spacing w:before="0" w:after="120" w:line="276" w:lineRule="auto"/>
      </w:pPr>
      <w:r>
        <w:rPr>
          <w:rFonts w:ascii="Segoe UI" w:hAnsi="Segoe UI"/>
          <w:color w:val="334155"/>
          <w:sz w:val="20"/>
        </w:rPr>
        <w:t>To comply with Novartis corporate information security standards, FDA regulations (21 CFR Part 11), and international healthcare standards (GxP / HIPAA), the AWS deployment enforces rigorous security controls:</w:t>
      </w:r>
    </w:p>
    <w:p>
      <w:pPr>
        <w:pStyle w:val="ListBullet"/>
        <w:spacing w:before="0" w:after="60" w:line="276" w:lineRule="auto"/>
      </w:pPr>
      <w:r>
        <w:rPr>
          <w:rFonts w:ascii="Segoe UI" w:hAnsi="Segoe UI"/>
          <w:b/>
          <w:color w:val="0F172A"/>
          <w:sz w:val="20"/>
        </w:rPr>
        <w:t>1. 21 CFR Part 11 Electronic Records &amp; Audit Trails:</w:t>
      </w:r>
      <w:r>
        <w:rPr>
          <w:rFonts w:ascii="Segoe UI" w:hAnsi="Segoe UI"/>
          <w:color w:val="334155"/>
          <w:sz w:val="20"/>
        </w:rPr>
        <w:t xml:space="preserve"> All user queries, PICO extractions, and document ingests are written to Amazon CloudWatch Logs and S3 with S3 Object Lock (Write-Once-Read-Many). Audit trails cannot be edited, overwritten, or deleted by any user or administrator.</w:t>
      </w:r>
    </w:p>
    <w:p>
      <w:pPr>
        <w:pStyle w:val="ListBullet"/>
        <w:spacing w:before="0" w:after="60" w:line="276" w:lineRule="auto"/>
      </w:pPr>
      <w:r>
        <w:rPr>
          <w:rFonts w:ascii="Segoe UI" w:hAnsi="Segoe UI"/>
          <w:b/>
          <w:color w:val="0F172A"/>
          <w:sz w:val="20"/>
        </w:rPr>
        <w:t>2. Data Privacy &amp; Zero Training Retention:</w:t>
      </w:r>
      <w:r>
        <w:rPr>
          <w:rFonts w:ascii="Segoe UI" w:hAnsi="Segoe UI"/>
          <w:color w:val="334155"/>
          <w:sz w:val="20"/>
        </w:rPr>
        <w:t xml:space="preserve"> Bedrock processes inference strictly within the Novartis AWS account boundary. Data is encrypted in transit via TLS 1.3 and at rest via AWS KMS Customer Managed Keys (CMKs). AWS does not retain or inspect customer data.</w:t>
      </w:r>
    </w:p>
    <w:p>
      <w:pPr>
        <w:pStyle w:val="ListBullet"/>
        <w:spacing w:before="0" w:after="60" w:line="276" w:lineRule="auto"/>
      </w:pPr>
      <w:r>
        <w:rPr>
          <w:rFonts w:ascii="Segoe UI" w:hAnsi="Segoe UI"/>
          <w:b/>
          <w:color w:val="0F172A"/>
          <w:sz w:val="20"/>
        </w:rPr>
        <w:t>3. Network Isolation (AWS PrivateLink):</w:t>
      </w:r>
      <w:r>
        <w:rPr>
          <w:rFonts w:ascii="Segoe UI" w:hAnsi="Segoe UI"/>
          <w:color w:val="334155"/>
          <w:sz w:val="20"/>
        </w:rPr>
        <w:t xml:space="preserve"> The App Runner service and backend containers operate inside a private VPC. Outbound communication to NCBI PubMed or Bedrock flows through VPC Endpoints (AWS PrivateLink), eliminating exposure to the public internet.</w:t>
      </w:r>
    </w:p>
    <w:p>
      <w:pPr>
        <w:pStyle w:val="ListBullet"/>
        <w:spacing w:before="0" w:after="60" w:line="276" w:lineRule="auto"/>
      </w:pPr>
      <w:r>
        <w:rPr>
          <w:rFonts w:ascii="Segoe UI" w:hAnsi="Segoe UI"/>
          <w:b/>
          <w:color w:val="0F172A"/>
          <w:sz w:val="20"/>
        </w:rPr>
        <w:t>4. IAM Least Privilege:</w:t>
      </w:r>
      <w:r>
        <w:rPr>
          <w:rFonts w:ascii="Segoe UI" w:hAnsi="Segoe UI"/>
          <w:color w:val="334155"/>
          <w:sz w:val="20"/>
        </w:rPr>
        <w:t xml:space="preserve"> Micro-agents assume fine-grained IAM roles allowing only specific actions (e.g., `bedrock:InvokeModel` restricted to explicit Foundation Model ARNs).</w:t>
      </w:r>
    </w:p>
    <w:p>
      <w:pPr>
        <w:pStyle w:val="Heading1"/>
        <w:keepNext/>
        <w:spacing w:before="400" w:after="160"/>
      </w:pPr>
      <w:r>
        <w:rPr>
          <w:rFonts w:ascii="Segoe UI" w:hAnsi="Segoe UI"/>
          <w:b/>
          <w:color w:val="0F172A"/>
          <w:sz w:val="33"/>
        </w:rPr>
        <w:t>10. Pilot-to-Production Phased Roadmap &amp; Evaluation Metrics</w:t>
      </w:r>
    </w:p>
    <w:p>
      <w:pPr>
        <w:spacing w:before="0" w:after="120" w:line="276" w:lineRule="auto"/>
      </w:pPr>
      <w:r>
        <w:rPr>
          <w:rFonts w:ascii="Segoe UI" w:hAnsi="Segoe UI"/>
          <w:color w:val="334155"/>
          <w:sz w:val="20"/>
        </w:rPr>
        <w:t>The replatforming roadmap follows an iterative four-phase implementation schedule designed to derisk technical architecture before scaling across business units:</w:t>
      </w:r>
    </w:p>
    <w:p>
      <w:pPr>
        <w:pStyle w:val="Heading2"/>
        <w:keepNext/>
        <w:spacing w:before="280" w:after="120"/>
      </w:pPr>
      <w:r>
        <w:rPr>
          <w:rFonts w:ascii="Segoe UI" w:hAnsi="Segoe UI"/>
          <w:b/>
          <w:color w:val="002A54"/>
          <w:sz w:val="26"/>
        </w:rPr>
        <w:t>10.1 Four-Phase Implementation Blueprint</w:t>
      </w:r>
    </w:p>
    <w:p>
      <w:pPr>
        <w:pStyle w:val="ListBullet"/>
        <w:spacing w:before="0" w:after="60" w:line="276" w:lineRule="auto"/>
      </w:pPr>
      <w:r>
        <w:rPr>
          <w:rFonts w:ascii="Segoe UI" w:hAnsi="Segoe UI"/>
          <w:b/>
          <w:color w:val="0F172A"/>
          <w:sz w:val="20"/>
        </w:rPr>
        <w:t>Phase 1: Sandbox Pilot Deployment (Weeks 1–2):</w:t>
      </w:r>
      <w:r>
        <w:rPr>
          <w:rFonts w:ascii="Segoe UI" w:hAnsi="Segoe UI"/>
          <w:color w:val="334155"/>
          <w:sz w:val="20"/>
        </w:rPr>
        <w:t xml:space="preserve"> Deploy container to AWS App Runner; integrate Amazon Bedrock (Claude 3.5 Sonnet + Titan V2); validate the 7-trial cardiorenal benchmark dataset; conduct user acceptance testing with 5 medical directors. Target: &lt;$50 total cost.</w:t>
      </w:r>
    </w:p>
    <w:p>
      <w:pPr>
        <w:pStyle w:val="ListBullet"/>
        <w:spacing w:before="0" w:after="60" w:line="276" w:lineRule="auto"/>
      </w:pPr>
      <w:r>
        <w:rPr>
          <w:rFonts w:ascii="Segoe UI" w:hAnsi="Segoe UI"/>
          <w:b/>
          <w:color w:val="0F172A"/>
          <w:sz w:val="20"/>
        </w:rPr>
        <w:t>Phase 2: Managed Graph &amp; Vector Expansion (Weeks 3–6):</w:t>
      </w:r>
      <w:r>
        <w:rPr>
          <w:rFonts w:ascii="Segoe UI" w:hAnsi="Segoe UI"/>
          <w:color w:val="334155"/>
          <w:sz w:val="20"/>
        </w:rPr>
        <w:t xml:space="preserve"> Provision Amazon Neptune Serverless (openCypher) and Amazon OpenSearch Serverless Vector Engine; migrate in-memory graph to managed cluster; enable multi-hop graph queries on &gt;1,000 trials.</w:t>
      </w:r>
    </w:p>
    <w:p>
      <w:pPr>
        <w:pStyle w:val="ListBullet"/>
        <w:spacing w:before="0" w:after="60" w:line="276" w:lineRule="auto"/>
      </w:pPr>
      <w:r>
        <w:rPr>
          <w:rFonts w:ascii="Segoe UI" w:hAnsi="Segoe UI"/>
          <w:b/>
          <w:color w:val="0F172A"/>
          <w:sz w:val="20"/>
        </w:rPr>
        <w:t>Phase 3: Multi-Source Enterprise Connectors (Weeks 7–12):</w:t>
      </w:r>
      <w:r>
        <w:rPr>
          <w:rFonts w:ascii="Segoe UI" w:hAnsi="Segoe UI"/>
          <w:color w:val="334155"/>
          <w:sz w:val="20"/>
        </w:rPr>
        <w:t xml:space="preserve"> Build automated ingestion connectors for Veeva Vault PromoMats/RIM, ClinicalTrials.gov API v2, and FDA/EMA approval packages; integrate internal Novartis Active Directory (SSO/SAML via AWS IAM Identity Center).</w:t>
      </w:r>
    </w:p>
    <w:p>
      <w:pPr>
        <w:pStyle w:val="ListBullet"/>
        <w:spacing w:before="0" w:after="60" w:line="276" w:lineRule="auto"/>
      </w:pPr>
      <w:r>
        <w:rPr>
          <w:rFonts w:ascii="Segoe UI" w:hAnsi="Segoe UI"/>
          <w:b/>
          <w:color w:val="0F172A"/>
          <w:sz w:val="20"/>
        </w:rPr>
        <w:t>Phase 4: Enterprise GxP Validation &amp; Global Rollout (Weeks 13–18):</w:t>
      </w:r>
      <w:r>
        <w:rPr>
          <w:rFonts w:ascii="Segoe UI" w:hAnsi="Segoe UI"/>
          <w:color w:val="334155"/>
          <w:sz w:val="20"/>
        </w:rPr>
        <w:t xml:space="preserve"> Execute formal Computer System Validation (CSV); obtain GxP audit certification; deploy across multi-region high availability; open platform to global Novartis clinical development and medical affairs teams.</w:t>
      </w:r>
    </w:p>
    <w:p>
      <w:pPr>
        <w:pStyle w:val="Heading2"/>
        <w:keepNext/>
        <w:spacing w:before="280" w:after="120"/>
      </w:pPr>
      <w:r>
        <w:rPr>
          <w:rFonts w:ascii="Segoe UI" w:hAnsi="Segoe UI"/>
          <w:b/>
          <w:color w:val="002A54"/>
          <w:sz w:val="26"/>
        </w:rPr>
        <w:t>10.2 Target Evaluation Metrics &amp; Acceptance Thresholds</w:t>
      </w:r>
    </w:p>
    <w:p>
      <w:pPr>
        <w:pStyle w:val="ListBullet"/>
        <w:spacing w:before="0" w:after="60" w:line="276" w:lineRule="auto"/>
      </w:pPr>
      <w:r>
        <w:rPr>
          <w:rFonts w:ascii="Segoe UI" w:hAnsi="Segoe UI"/>
          <w:b/>
          <w:color w:val="0F172A"/>
          <w:sz w:val="20"/>
        </w:rPr>
        <w:t>1. Named Entity Recognition (NER) Accuracy:</w:t>
      </w:r>
      <w:r>
        <w:rPr>
          <w:rFonts w:ascii="Segoe UI" w:hAnsi="Segoe UI"/>
          <w:color w:val="334155"/>
          <w:sz w:val="20"/>
        </w:rPr>
        <w:t xml:space="preserve"> F1 score &gt;= 92% on clinical entity boundary detection (EBM-NLP benchmark).</w:t>
      </w:r>
    </w:p>
    <w:p>
      <w:pPr>
        <w:pStyle w:val="ListBullet"/>
        <w:spacing w:before="0" w:after="60" w:line="276" w:lineRule="auto"/>
      </w:pPr>
      <w:r>
        <w:rPr>
          <w:rFonts w:ascii="Segoe UI" w:hAnsi="Segoe UI"/>
          <w:b/>
          <w:color w:val="0F172A"/>
          <w:sz w:val="20"/>
        </w:rPr>
        <w:t>2. PICO Field Extraction Accuracy:</w:t>
      </w:r>
      <w:r>
        <w:rPr>
          <w:rFonts w:ascii="Segoe UI" w:hAnsi="Segoe UI"/>
          <w:color w:val="334155"/>
          <w:sz w:val="20"/>
        </w:rPr>
        <w:t xml:space="preserve"> &gt;= 89% field-level match against expert manual PICO annotations.</w:t>
      </w:r>
    </w:p>
    <w:p>
      <w:pPr>
        <w:pStyle w:val="ListBullet"/>
        <w:spacing w:before="0" w:after="60" w:line="276" w:lineRule="auto"/>
      </w:pPr>
      <w:r>
        <w:rPr>
          <w:rFonts w:ascii="Segoe UI" w:hAnsi="Segoe UI"/>
          <w:b/>
          <w:color w:val="0F172A"/>
          <w:sz w:val="20"/>
        </w:rPr>
        <w:t>3. Cross-Study Retrieval Recall:</w:t>
      </w:r>
      <w:r>
        <w:rPr>
          <w:rFonts w:ascii="Segoe UI" w:hAnsi="Segoe UI"/>
          <w:color w:val="334155"/>
          <w:sz w:val="20"/>
        </w:rPr>
        <w:t xml:space="preserve"> &gt;= 96% recall for multi-study comparative questions (vs. 62% for pure vector RAG).</w:t>
      </w:r>
    </w:p>
    <w:p>
      <w:pPr>
        <w:pStyle w:val="ListBullet"/>
        <w:spacing w:before="0" w:after="60" w:line="276" w:lineRule="auto"/>
      </w:pPr>
      <w:r>
        <w:rPr>
          <w:rFonts w:ascii="Segoe UI" w:hAnsi="Segoe UI"/>
          <w:b/>
          <w:color w:val="0F172A"/>
          <w:sz w:val="20"/>
        </w:rPr>
        <w:t>4. Citation Faithfulness (NLI Audit):</w:t>
      </w:r>
      <w:r>
        <w:rPr>
          <w:rFonts w:ascii="Segoe UI" w:hAnsi="Segoe UI"/>
          <w:color w:val="334155"/>
          <w:sz w:val="20"/>
        </w:rPr>
        <w:t xml:space="preserve"> &gt;= 98% factual entailment score verified via Gatekeeper Loop 2.</w:t>
      </w:r>
    </w:p>
    <w:p>
      <w:pPr>
        <w:pStyle w:val="ListBullet"/>
        <w:spacing w:before="0" w:after="60" w:line="276" w:lineRule="auto"/>
      </w:pPr>
      <w:r>
        <w:rPr>
          <w:rFonts w:ascii="Segoe UI" w:hAnsi="Segoe UI"/>
          <w:b/>
          <w:color w:val="0F172A"/>
          <w:sz w:val="20"/>
        </w:rPr>
        <w:t>5. End-to-End Query Latency:</w:t>
      </w:r>
      <w:r>
        <w:rPr>
          <w:rFonts w:ascii="Segoe UI" w:hAnsi="Segoe UI"/>
          <w:color w:val="334155"/>
          <w:sz w:val="20"/>
        </w:rPr>
        <w:t xml:space="preserve"> Sub-3.0 seconds response time for cross-study comparative chat synthesis.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Confidential &amp; Proprietary — AWS Architecture, HLD, Sandbox Implementation &amp; Cost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Novartis AI Innovation | GraphRAG Literature Platform: AWS Architecture &amp; Sandbox Pilot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