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Singapore Airbnb Market Analysis</w:t>
      </w:r>
    </w:p>
    <w:p>
      <w:pPr>
        <w:spacing w:after="40"/>
      </w:pPr>
      <w:r>
        <w:rPr>
          <w:color w:val="555555"/>
          <w:sz w:val="26"/>
          <w:szCs w:val="26"/>
        </w:rPr>
        <w:t xml:space="preserve">Insights &amp; Recommendations Report</w:t>
      </w:r>
    </w:p>
    <w:p>
      <w:pPr>
        <w:spacing w:after="300"/>
      </w:pPr>
      <w:r>
        <w:rPr>
          <w:i/>
          <w:iCs/>
          <w:color w:val="777777"/>
          <w:sz w:val="18"/>
          <w:szCs w:val="18"/>
        </w:rPr>
        <w:t xml:space="preserve">Data source: Inside Airbnb (Singapore) — 2,592 active listings analysed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150"/>
              <w:left w:type="dxa" w:w="100"/>
              <w:bottom w:type="dxa" w:w="150"/>
              <w:right w:type="dxa" w:w="100"/>
            </w:tcMar>
          </w:tcPr>
          <w:p>
            <w:pPr>
              <w:jc w:val="center"/>
            </w:pPr>
            <w:r>
              <w:rPr>
                <w:b/>
                <w:bCs/>
                <w:color w:val="FFFFFF"/>
                <w:sz w:val="32"/>
                <w:szCs w:val="32"/>
              </w:rPr>
              <w:t xml:space="preserve">2,592</w:t>
            </w:r>
          </w:p>
          <w:p>
            <w:pPr>
              <w:jc w:val="center"/>
            </w:pPr>
            <w:r>
              <w:rPr>
                <w:color w:val="DDEBF7"/>
                <w:sz w:val="18"/>
                <w:szCs w:val="18"/>
              </w:rPr>
              <w:t xml:space="preserve">Total Listings</w:t>
            </w:r>
          </w:p>
        </w:tc>
        <w:tc>
          <w:tcPr>
            <w:tcW w:type="dxa" w:w="2340"/>
            <w:shd w:fill="1F4E79" w:val="clear"/>
            <w:tcMar>
              <w:top w:type="dxa" w:w="150"/>
              <w:left w:type="dxa" w:w="100"/>
              <w:bottom w:type="dxa" w:w="150"/>
              <w:right w:type="dxa" w:w="100"/>
            </w:tcMar>
          </w:tcPr>
          <w:p>
            <w:pPr>
              <w:jc w:val="center"/>
            </w:pPr>
            <w:r>
              <w:rPr>
                <w:b/>
                <w:bCs/>
                <w:color w:val="FFFFFF"/>
                <w:sz w:val="32"/>
                <w:szCs w:val="32"/>
              </w:rPr>
              <w:t xml:space="preserve">$204.02</w:t>
            </w:r>
          </w:p>
          <w:p>
            <w:pPr>
              <w:jc w:val="center"/>
            </w:pPr>
            <w:r>
              <w:rPr>
                <w:color w:val="DDEBF7"/>
                <w:sz w:val="18"/>
                <w:szCs w:val="18"/>
              </w:rPr>
              <w:t xml:space="preserve">Average Price / Night</w:t>
            </w:r>
          </w:p>
        </w:tc>
        <w:tc>
          <w:tcPr>
            <w:tcW w:type="dxa" w:w="2340"/>
            <w:shd w:fill="1F4E79" w:val="clear"/>
            <w:tcMar>
              <w:top w:type="dxa" w:w="150"/>
              <w:left w:type="dxa" w:w="100"/>
              <w:bottom w:type="dxa" w:w="150"/>
              <w:right w:type="dxa" w:w="100"/>
            </w:tcMar>
          </w:tcPr>
          <w:p>
            <w:pPr>
              <w:jc w:val="center"/>
            </w:pPr>
            <w:r>
              <w:rPr>
                <w:b/>
                <w:bCs/>
                <w:color w:val="FFFFFF"/>
                <w:sz w:val="32"/>
                <w:szCs w:val="32"/>
              </w:rPr>
              <w:t xml:space="preserve">4.54</w:t>
            </w:r>
          </w:p>
          <w:p>
            <w:pPr>
              <w:jc w:val="center"/>
            </w:pPr>
            <w:r>
              <w:rPr>
                <w:color w:val="DDEBF7"/>
                <w:sz w:val="18"/>
                <w:szCs w:val="18"/>
              </w:rPr>
              <w:t xml:space="preserve">Average Review Score</w:t>
            </w:r>
          </w:p>
        </w:tc>
        <w:tc>
          <w:tcPr>
            <w:tcW w:type="dxa" w:w="2340"/>
            <w:shd w:fill="1F4E79" w:val="clear"/>
            <w:tcMar>
              <w:top w:type="dxa" w:w="150"/>
              <w:left w:type="dxa" w:w="100"/>
              <w:bottom w:type="dxa" w:w="150"/>
              <w:right w:type="dxa" w:w="100"/>
            </w:tcMar>
          </w:tcPr>
          <w:p>
            <w:pPr>
              <w:jc w:val="center"/>
            </w:pPr>
            <w:r>
              <w:rPr>
                <w:b/>
                <w:bCs/>
                <w:color w:val="FFFFFF"/>
                <w:sz w:val="32"/>
                <w:szCs w:val="32"/>
              </w:rPr>
              <w:t xml:space="preserve">$8M</w:t>
            </w:r>
          </w:p>
          <w:p>
            <w:pPr>
              <w:jc w:val="center"/>
            </w:pPr>
            <w:r>
              <w:rPr>
                <w:color w:val="DDEBF7"/>
                <w:sz w:val="18"/>
                <w:szCs w:val="18"/>
              </w:rPr>
              <w:t xml:space="preserve">Est. Annual Market Revenue</w:t>
            </w:r>
          </w:p>
        </w:tc>
      </w:tr>
    </w:tbl>
    <w:p>
      <w:pPr>
        <w:pStyle w:val="Heading1"/>
        <w:spacing w:after="150" w:before="300"/>
      </w:pPr>
      <w:r>
        <w:t xml:space="preserve">1. Executive Summary</w:t>
      </w:r>
    </w:p>
    <w:p>
      <w:pPr>
        <w:spacing w:after="160"/>
      </w:pPr>
      <w:r>
        <w:t xml:space="preserve">Singapore's short-term rental market is heavily concentrated in the Central Region, priced primarily by location and room type rather than by review quality. Superhosts command a modest price premium and earn substantially more repeat business, while over two-thirds of listings sit available for more than 300 days a year — a sign of ample, possibly oversaturated, supply outside the tourist core. The five findings and recommendations below translate the dashboard's charts into concrete takeaways for hosts, platform strategy, and prospective analysts reviewing this project.</w:t>
      </w:r>
    </w:p>
    <w:p>
      <w:pPr>
        <w:pStyle w:val="Heading1"/>
        <w:spacing w:after="150" w:before="300"/>
      </w:pPr>
      <w:r>
        <w:t xml:space="preserve">2. Key Findings</w:t>
      </w:r>
    </w:p>
    <w:p>
      <w:pPr>
        <w:pStyle w:val="Heading2"/>
        <w:spacing w:after="120" w:before="240"/>
      </w:pPr>
      <w:r>
        <w:t xml:space="preserve">2.1  Location drives price far more than anything else</w:t>
      </w:r>
    </w:p>
    <w:p>
      <w:pPr>
        <w:spacing w:after="160"/>
      </w:pPr>
      <w:r>
        <w:t xml:space="preserve">Average nightly price varies more than 5x across Singapore's five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460"/>
      </w:tblGrid>
      <w:tr>
        <w:tc>
          <w:tcPr>
            <w:shd w:fill="1F4E79" w:val="clear"/>
            <w:tcMar>
              <w:top w:type="dxa" w:w="100"/>
              <w:left w:type="dxa" w:w="120"/>
              <w:bottom w:type="dxa" w:w="100"/>
              <w:right w:type="dxa" w:w="120"/>
            </w:tcMar>
          </w:tcPr>
          <w:p>
            <w:r>
              <w:rPr>
                <w:b/>
                <w:bCs/>
                <w:color w:val="FFFFFF"/>
                <w:sz w:val="20"/>
                <w:szCs w:val="20"/>
              </w:rPr>
              <w:t xml:space="preserve">Region</w:t>
            </w:r>
          </w:p>
        </w:tc>
        <w:tc>
          <w:tcPr>
            <w:shd w:fill="1F4E79" w:val="clear"/>
            <w:tcMar>
              <w:top w:type="dxa" w:w="100"/>
              <w:left w:type="dxa" w:w="120"/>
              <w:bottom w:type="dxa" w:w="100"/>
              <w:right w:type="dxa" w:w="120"/>
            </w:tcMar>
          </w:tcPr>
          <w:p>
            <w:r>
              <w:rPr>
                <w:b/>
                <w:bCs/>
                <w:color w:val="FFFFFF"/>
                <w:sz w:val="20"/>
                <w:szCs w:val="20"/>
              </w:rPr>
              <w:t xml:space="preserve">Avg. Price</w:t>
            </w:r>
          </w:p>
        </w:tc>
        <w:tc>
          <w:tcPr>
            <w:shd w:fill="1F4E79" w:val="clear"/>
            <w:tcMar>
              <w:top w:type="dxa" w:w="100"/>
              <w:left w:type="dxa" w:w="120"/>
              <w:bottom w:type="dxa" w:w="100"/>
              <w:right w:type="dxa" w:w="120"/>
            </w:tcMar>
          </w:tcPr>
          <w:p>
            <w:r>
              <w:rPr>
                <w:b/>
                <w:bCs/>
                <w:color w:val="FFFFFF"/>
                <w:sz w:val="20"/>
                <w:szCs w:val="20"/>
              </w:rPr>
              <w:t xml:space="preserve">Listings</w:t>
            </w:r>
          </w:p>
        </w:tc>
        <w:tc>
          <w:tcPr>
            <w:shd w:fill="1F4E79" w:val="clear"/>
            <w:tcMar>
              <w:top w:type="dxa" w:w="100"/>
              <w:left w:type="dxa" w:w="120"/>
              <w:bottom w:type="dxa" w:w="100"/>
              <w:right w:type="dxa" w:w="120"/>
            </w:tcMar>
          </w:tcPr>
          <w:p>
            <w:r>
              <w:rPr>
                <w:b/>
                <w:bCs/>
                <w:color w:val="FFFFFF"/>
                <w:sz w:val="20"/>
                <w:szCs w:val="20"/>
              </w:rPr>
              <w:t xml:space="preserve">Character</w:t>
            </w:r>
          </w:p>
        </w:tc>
      </w:tr>
      <w:tr>
        <w:tc>
          <w:tcPr>
            <w:tcMar>
              <w:top w:type="dxa" w:w="100"/>
              <w:left w:type="dxa" w:w="120"/>
              <w:bottom w:type="dxa" w:w="100"/>
              <w:right w:type="dxa" w:w="120"/>
            </w:tcMar>
          </w:tcPr>
          <w:p>
            <w:r>
              <w:rPr>
                <w:b/>
                <w:bCs/>
                <w:sz w:val="20"/>
                <w:szCs w:val="20"/>
              </w:rPr>
              <w:t xml:space="preserve">Central Region</w:t>
            </w:r>
          </w:p>
        </w:tc>
        <w:tc>
          <w:tcPr>
            <w:tcMar>
              <w:top w:type="dxa" w:w="100"/>
              <w:left w:type="dxa" w:w="120"/>
              <w:bottom w:type="dxa" w:w="100"/>
              <w:right w:type="dxa" w:w="120"/>
            </w:tcMar>
          </w:tcPr>
          <w:p>
            <w:r>
              <w:rPr>
                <w:b w:val="false"/>
                <w:bCs w:val="false"/>
                <w:sz w:val="20"/>
                <w:szCs w:val="20"/>
              </w:rPr>
              <w:t xml:space="preserve">$222.46</w:t>
            </w:r>
          </w:p>
        </w:tc>
        <w:tc>
          <w:tcPr>
            <w:tcMar>
              <w:top w:type="dxa" w:w="100"/>
              <w:left w:type="dxa" w:w="120"/>
              <w:bottom w:type="dxa" w:w="100"/>
              <w:right w:type="dxa" w:w="120"/>
            </w:tcMar>
          </w:tcPr>
          <w:p>
            <w:r>
              <w:rPr>
                <w:b w:val="false"/>
                <w:bCs w:val="false"/>
                <w:sz w:val="20"/>
                <w:szCs w:val="20"/>
              </w:rPr>
              <w:t xml:space="preserve">2,172</w:t>
            </w:r>
          </w:p>
        </w:tc>
        <w:tc>
          <w:tcPr>
            <w:tcMar>
              <w:top w:type="dxa" w:w="100"/>
              <w:left w:type="dxa" w:w="120"/>
              <w:bottom w:type="dxa" w:w="100"/>
              <w:right w:type="dxa" w:w="120"/>
            </w:tcMar>
          </w:tcPr>
          <w:p>
            <w:r>
              <w:rPr>
                <w:b w:val="false"/>
                <w:bCs w:val="false"/>
                <w:sz w:val="20"/>
                <w:szCs w:val="20"/>
              </w:rPr>
              <w:t xml:space="preserve">Prime tourist / business core</w:t>
            </w:r>
          </w:p>
        </w:tc>
      </w:tr>
      <w:tr>
        <w:tc>
          <w:tcPr>
            <w:tcMar>
              <w:top w:type="dxa" w:w="100"/>
              <w:left w:type="dxa" w:w="120"/>
              <w:bottom w:type="dxa" w:w="100"/>
              <w:right w:type="dxa" w:w="120"/>
            </w:tcMar>
          </w:tcPr>
          <w:p>
            <w:r>
              <w:rPr>
                <w:b/>
                <w:bCs/>
                <w:sz w:val="20"/>
                <w:szCs w:val="20"/>
              </w:rPr>
              <w:t xml:space="preserve">North-East Region</w:t>
            </w:r>
          </w:p>
        </w:tc>
        <w:tc>
          <w:tcPr>
            <w:tcMar>
              <w:top w:type="dxa" w:w="100"/>
              <w:left w:type="dxa" w:w="120"/>
              <w:bottom w:type="dxa" w:w="100"/>
              <w:right w:type="dxa" w:w="120"/>
            </w:tcMar>
          </w:tcPr>
          <w:p>
            <w:r>
              <w:rPr>
                <w:b w:val="false"/>
                <w:bCs w:val="false"/>
                <w:sz w:val="20"/>
                <w:szCs w:val="20"/>
              </w:rPr>
              <w:t xml:space="preserve">$163.01</w:t>
            </w:r>
          </w:p>
        </w:tc>
        <w:tc>
          <w:tcPr>
            <w:tcMar>
              <w:top w:type="dxa" w:w="100"/>
              <w:left w:type="dxa" w:w="120"/>
              <w:bottom w:type="dxa" w:w="100"/>
              <w:right w:type="dxa" w:w="120"/>
            </w:tcMar>
          </w:tcPr>
          <w:p>
            <w:r>
              <w:rPr>
                <w:b w:val="false"/>
                <w:bCs w:val="false"/>
                <w:sz w:val="20"/>
                <w:szCs w:val="20"/>
              </w:rPr>
              <w:t xml:space="preserve">83</w:t>
            </w:r>
          </w:p>
        </w:tc>
        <w:tc>
          <w:tcPr>
            <w:tcMar>
              <w:top w:type="dxa" w:w="100"/>
              <w:left w:type="dxa" w:w="120"/>
              <w:bottom w:type="dxa" w:w="100"/>
              <w:right w:type="dxa" w:w="120"/>
            </w:tcMar>
          </w:tcPr>
          <w:p>
            <w:r>
              <w:rPr>
                <w:b w:val="false"/>
                <w:bCs w:val="false"/>
                <w:sz w:val="20"/>
                <w:szCs w:val="20"/>
              </w:rPr>
              <w:t xml:space="preserve">Secondary residential-tourist mix</w:t>
            </w:r>
          </w:p>
        </w:tc>
      </w:tr>
      <w:tr>
        <w:tc>
          <w:tcPr>
            <w:tcMar>
              <w:top w:type="dxa" w:w="100"/>
              <w:left w:type="dxa" w:w="120"/>
              <w:bottom w:type="dxa" w:w="100"/>
              <w:right w:type="dxa" w:w="120"/>
            </w:tcMar>
          </w:tcPr>
          <w:p>
            <w:r>
              <w:rPr>
                <w:b/>
                <w:bCs/>
                <w:sz w:val="20"/>
                <w:szCs w:val="20"/>
              </w:rPr>
              <w:t xml:space="preserve">West Region</w:t>
            </w:r>
          </w:p>
        </w:tc>
        <w:tc>
          <w:tcPr>
            <w:tcMar>
              <w:top w:type="dxa" w:w="100"/>
              <w:left w:type="dxa" w:w="120"/>
              <w:bottom w:type="dxa" w:w="100"/>
              <w:right w:type="dxa" w:w="120"/>
            </w:tcMar>
          </w:tcPr>
          <w:p>
            <w:r>
              <w:rPr>
                <w:b w:val="false"/>
                <w:bCs w:val="false"/>
                <w:sz w:val="20"/>
                <w:szCs w:val="20"/>
              </w:rPr>
              <w:t xml:space="preserve">$127.74</w:t>
            </w:r>
          </w:p>
        </w:tc>
        <w:tc>
          <w:tcPr>
            <w:tcMar>
              <w:top w:type="dxa" w:w="100"/>
              <w:left w:type="dxa" w:w="120"/>
              <w:bottom w:type="dxa" w:w="100"/>
              <w:right w:type="dxa" w:w="120"/>
            </w:tcMar>
          </w:tcPr>
          <w:p>
            <w:r>
              <w:rPr>
                <w:b w:val="false"/>
                <w:bCs w:val="false"/>
                <w:sz w:val="20"/>
                <w:szCs w:val="20"/>
              </w:rPr>
              <w:t xml:space="preserve">157</w:t>
            </w:r>
          </w:p>
        </w:tc>
        <w:tc>
          <w:tcPr>
            <w:tcMar>
              <w:top w:type="dxa" w:w="100"/>
              <w:left w:type="dxa" w:w="120"/>
              <w:bottom w:type="dxa" w:w="100"/>
              <w:right w:type="dxa" w:w="120"/>
            </w:tcMar>
          </w:tcPr>
          <w:p>
            <w:r>
              <w:rPr>
                <w:b w:val="false"/>
                <w:bCs w:val="false"/>
                <w:sz w:val="20"/>
                <w:szCs w:val="20"/>
              </w:rPr>
              <w:t xml:space="preserve">Residential, industrial pockets</w:t>
            </w:r>
          </w:p>
        </w:tc>
      </w:tr>
      <w:tr>
        <w:tc>
          <w:tcPr>
            <w:tcMar>
              <w:top w:type="dxa" w:w="100"/>
              <w:left w:type="dxa" w:w="120"/>
              <w:bottom w:type="dxa" w:w="100"/>
              <w:right w:type="dxa" w:w="120"/>
            </w:tcMar>
          </w:tcPr>
          <w:p>
            <w:r>
              <w:rPr>
                <w:b/>
                <w:bCs/>
                <w:sz w:val="20"/>
                <w:szCs w:val="20"/>
              </w:rPr>
              <w:t xml:space="preserve">East Region</w:t>
            </w:r>
          </w:p>
        </w:tc>
        <w:tc>
          <w:tcPr>
            <w:tcMar>
              <w:top w:type="dxa" w:w="100"/>
              <w:left w:type="dxa" w:w="120"/>
              <w:bottom w:type="dxa" w:w="100"/>
              <w:right w:type="dxa" w:w="120"/>
            </w:tcMar>
          </w:tcPr>
          <w:p>
            <w:r>
              <w:rPr>
                <w:b w:val="false"/>
                <w:bCs w:val="false"/>
                <w:sz w:val="20"/>
                <w:szCs w:val="20"/>
              </w:rPr>
              <w:t xml:space="preserve">$73.19</w:t>
            </w:r>
          </w:p>
        </w:tc>
        <w:tc>
          <w:tcPr>
            <w:tcMar>
              <w:top w:type="dxa" w:w="100"/>
              <w:left w:type="dxa" w:w="120"/>
              <w:bottom w:type="dxa" w:w="100"/>
              <w:right w:type="dxa" w:w="120"/>
            </w:tcMar>
          </w:tcPr>
          <w:p>
            <w:r>
              <w:rPr>
                <w:b w:val="false"/>
                <w:bCs w:val="false"/>
                <w:sz w:val="20"/>
                <w:szCs w:val="20"/>
              </w:rPr>
              <w:t xml:space="preserve">145</w:t>
            </w:r>
          </w:p>
        </w:tc>
        <w:tc>
          <w:tcPr>
            <w:tcMar>
              <w:top w:type="dxa" w:w="100"/>
              <w:left w:type="dxa" w:w="120"/>
              <w:bottom w:type="dxa" w:w="100"/>
              <w:right w:type="dxa" w:w="120"/>
            </w:tcMar>
          </w:tcPr>
          <w:p>
            <w:r>
              <w:rPr>
                <w:b w:val="false"/>
                <w:bCs w:val="false"/>
                <w:sz w:val="20"/>
                <w:szCs w:val="20"/>
              </w:rPr>
              <w:t xml:space="preserve">Residential, Changi Airport corridor</w:t>
            </w:r>
          </w:p>
        </w:tc>
      </w:tr>
      <w:tr>
        <w:tc>
          <w:tcPr>
            <w:tcMar>
              <w:top w:type="dxa" w:w="100"/>
              <w:left w:type="dxa" w:w="120"/>
              <w:bottom w:type="dxa" w:w="100"/>
              <w:right w:type="dxa" w:w="120"/>
            </w:tcMar>
          </w:tcPr>
          <w:p>
            <w:r>
              <w:rPr>
                <w:b/>
                <w:bCs/>
                <w:sz w:val="20"/>
                <w:szCs w:val="20"/>
              </w:rPr>
              <w:t xml:space="preserve">North Region</w:t>
            </w:r>
          </w:p>
        </w:tc>
        <w:tc>
          <w:tcPr>
            <w:tcMar>
              <w:top w:type="dxa" w:w="100"/>
              <w:left w:type="dxa" w:w="120"/>
              <w:bottom w:type="dxa" w:w="100"/>
              <w:right w:type="dxa" w:w="120"/>
            </w:tcMar>
          </w:tcPr>
          <w:p>
            <w:r>
              <w:rPr>
                <w:b w:val="false"/>
                <w:bCs w:val="false"/>
                <w:sz w:val="20"/>
                <w:szCs w:val="20"/>
              </w:rPr>
              <w:t xml:space="preserve">$40.78</w:t>
            </w:r>
          </w:p>
        </w:tc>
        <w:tc>
          <w:tcPr>
            <w:tcMar>
              <w:top w:type="dxa" w:w="100"/>
              <w:left w:type="dxa" w:w="120"/>
              <w:bottom w:type="dxa" w:w="100"/>
              <w:right w:type="dxa" w:w="120"/>
            </w:tcMar>
          </w:tcPr>
          <w:p>
            <w:r>
              <w:rPr>
                <w:b w:val="false"/>
                <w:bCs w:val="false"/>
                <w:sz w:val="20"/>
                <w:szCs w:val="20"/>
              </w:rPr>
              <w:t xml:space="preserve">35</w:t>
            </w:r>
          </w:p>
        </w:tc>
        <w:tc>
          <w:tcPr>
            <w:tcMar>
              <w:top w:type="dxa" w:w="100"/>
              <w:left w:type="dxa" w:w="120"/>
              <w:bottom w:type="dxa" w:w="100"/>
              <w:right w:type="dxa" w:w="120"/>
            </w:tcMar>
          </w:tcPr>
          <w:p>
            <w:r>
              <w:rPr>
                <w:b w:val="false"/>
                <w:bCs w:val="false"/>
                <w:sz w:val="20"/>
                <w:szCs w:val="20"/>
              </w:rPr>
              <w:t xml:space="preserve">Residential, limited tourism</w:t>
            </w:r>
          </w:p>
        </w:tc>
      </w:tr>
    </w:tbl>
    <w:p>
      <w:pPr>
        <w:spacing w:after="200"/>
      </w:pPr>
    </w:p>
    <w:p>
      <w:pPr>
        <w:spacing w:after="160"/>
      </w:pPr>
      <w:r>
        <w:t xml:space="preserve">Central Region alone accounts for 84% of all listings and commands prices 36% above the citywide average — consistent with its concentration of tourist and business-district demand (Marina Bay, Orchard, Downtown Core).</w:t>
      </w:r>
    </w:p>
    <w:p>
      <w:pPr>
        <w:pStyle w:val="Heading2"/>
        <w:spacing w:after="120" w:before="240"/>
      </w:pPr>
      <w:r>
        <w:t xml:space="preserve">2.2  Room type creates a 5x price spread</w:t>
      </w:r>
    </w:p>
    <w:p>
      <w:pPr>
        <w:pStyle w:val="ListParagraph"/>
        <w:numPr>
          <w:ilvl w:val="0"/>
          <w:numId w:val="2"/>
        </w:numPr>
        <w:spacing w:after="100"/>
      </w:pPr>
      <w:r>
        <w:rPr>
          <w:b/>
          <w:bCs/>
        </w:rPr>
        <w:t xml:space="preserve">Entire home/apt:</w:t>
      </w:r>
      <w:r>
        <w:t xml:space="preserve"> Entire home/apartment averages $312.56 per night — the clear premium tier.</w:t>
      </w:r>
    </w:p>
    <w:p>
      <w:pPr>
        <w:pStyle w:val="ListParagraph"/>
        <w:numPr>
          <w:ilvl w:val="0"/>
          <w:numId w:val="2"/>
        </w:numPr>
        <w:spacing w:after="100"/>
      </w:pPr>
      <w:r>
        <w:rPr>
          <w:b/>
          <w:bCs/>
        </w:rPr>
        <w:t xml:space="preserve">Private room:</w:t>
      </w:r>
      <w:r>
        <w:t xml:space="preserve"> averages $126, roughly 40% of an entire home's rate.</w:t>
      </w:r>
    </w:p>
    <w:p>
      <w:pPr>
        <w:pStyle w:val="ListParagraph"/>
        <w:numPr>
          <w:ilvl w:val="0"/>
          <w:numId w:val="2"/>
        </w:numPr>
        <w:spacing w:after="100"/>
      </w:pPr>
      <w:r>
        <w:rPr>
          <w:b/>
          <w:bCs/>
        </w:rPr>
        <w:t xml:space="preserve">Shared room:</w:t>
      </w:r>
      <w:r>
        <w:t xml:space="preserve"> averages just $61, largely a budget/backpacker segment.</w:t>
      </w:r>
    </w:p>
    <w:p>
      <w:pPr>
        <w:spacing w:after="160"/>
      </w:pPr>
      <w:r>
        <w:t xml:space="preserve">Hosts renting a spare room compete on a fundamentally different price tier than entire-unit hosts; the two should not be benchmarked against each other.</w:t>
      </w:r>
    </w:p>
    <w:p>
      <w:pPr>
        <w:pStyle w:val="Heading2"/>
        <w:spacing w:after="120" w:before="240"/>
      </w:pPr>
      <w:r>
        <w:t xml:space="preserve">2.3  Superhosts earn a trust premium — in both price and volume</w:t>
      </w:r>
    </w:p>
    <w:p>
      <w:pPr>
        <w:pStyle w:val="ListParagraph"/>
        <w:numPr>
          <w:ilvl w:val="0"/>
          <w:numId w:val="2"/>
        </w:numPr>
        <w:spacing w:after="100"/>
      </w:pPr>
      <w:r>
        <w:rPr>
          <w:b/>
          <w:bCs/>
        </w:rPr>
        <w:t xml:space="preserve">Price:</w:t>
      </w:r>
      <w:r>
        <w:t xml:space="preserve"> Superhosts charge about 16% more on average ($231 vs. $200).</w:t>
      </w:r>
    </w:p>
    <w:p>
      <w:pPr>
        <w:pStyle w:val="ListParagraph"/>
        <w:numPr>
          <w:ilvl w:val="0"/>
          <w:numId w:val="2"/>
        </w:numPr>
        <w:spacing w:after="100"/>
      </w:pPr>
      <w:r>
        <w:rPr>
          <w:b/>
          <w:bCs/>
        </w:rPr>
        <w:t xml:space="preserve">Review score:</w:t>
      </w:r>
      <w:r>
        <w:t xml:space="preserve"> Superhosts hold a higher average rating (4.79 vs. 4.48).</w:t>
      </w:r>
    </w:p>
    <w:p>
      <w:pPr>
        <w:pStyle w:val="ListParagraph"/>
        <w:numPr>
          <w:ilvl w:val="0"/>
          <w:numId w:val="2"/>
        </w:numPr>
        <w:spacing w:after="100"/>
      </w:pPr>
      <w:r>
        <w:rPr>
          <w:b/>
          <w:bCs/>
        </w:rPr>
        <w:t xml:space="preserve">Review volume:</w:t>
      </w:r>
      <w:r>
        <w:t xml:space="preserve"> Superhosts receive roughly 2.5x more reviews (26.8 vs. 10.4) — evidence of stronger repeat/referral demand, not just higher prices.</w:t>
      </w:r>
    </w:p>
    <w:p>
      <w:pPr>
        <w:spacing w:after="160"/>
      </w:pPr>
      <w:r>
        <w:t xml:space="preserve">The Superhost badge functions as a demand multiplier, not just a pricing lever — it appears to drive more bookings, which is what generates more reviews.</w:t>
      </w:r>
    </w:p>
    <w:p>
      <w:pPr>
        <w:pStyle w:val="Heading2"/>
        <w:spacing w:after="120" w:before="240"/>
      </w:pPr>
      <w:r>
        <w:t xml:space="preserve">2.4  Price does not predict guest satisfaction</w:t>
      </w:r>
    </w:p>
    <w:p>
      <w:pPr>
        <w:spacing w:after="160"/>
      </w:pPr>
      <w:r>
        <w:t xml:space="preserve">The correlation between nightly price and review score across all 2,592 listings is 0.017 — effectively zero. Guests do not rate expensive listings systematically higher than cheap ones. This suggests review scores reflect service and accuracy-of-listing rather than price point, and that budget hosts can realistically compete for top ratings.</w:t>
      </w:r>
    </w:p>
    <w:p>
      <w:pPr>
        <w:pStyle w:val="Heading2"/>
        <w:spacing w:after="120" w:before="240"/>
      </w:pPr>
      <w:r>
        <w:t xml:space="preserve">2.5  Supply outpaces demand outside the Central Region</w:t>
      </w:r>
    </w:p>
    <w:p>
      <w:pPr>
        <w:spacing w:after="160"/>
      </w:pPr>
      <w:r>
        <w:t xml:space="preserve">The average listing is available 307 of 365 days a year, and roughly 70% of listings are available for more than 300 days — a strong signal of oversupply or low booking pressure, particularly outside Central Region. New hosts entering low-demand regions should expect longer ramp-up periods before consistent occupancy.</w:t>
      </w:r>
    </w:p>
    <w:p>
      <w:pPr>
        <w:pStyle w:val="Heading1"/>
        <w:spacing w:after="150" w:before="300"/>
      </w:pPr>
      <w:r>
        <w:t xml:space="preserve">3. Recommendations</w:t>
      </w:r>
    </w:p>
    <w:p>
      <w:pPr>
        <w:pStyle w:val="ListParagraph"/>
        <w:numPr>
          <w:ilvl w:val="0"/>
          <w:numId w:val="2"/>
        </w:numPr>
        <w:spacing w:after="100"/>
      </w:pPr>
      <w:r>
        <w:rPr>
          <w:b/>
          <w:bCs/>
        </w:rPr>
        <w:t xml:space="preserve">For new hosts —</w:t>
      </w:r>
      <w:r>
        <w:t xml:space="preserve"> Central Region carries the highest prices but also the most competition (2,172 listings). Outer regions (North, East) have far less supply and could reward hosts willing to differentiate on space, amenities, or long-stay pricing.</w:t>
      </w:r>
    </w:p>
    <w:p>
      <w:pPr>
        <w:pStyle w:val="ListParagraph"/>
        <w:numPr>
          <w:ilvl w:val="0"/>
          <w:numId w:val="2"/>
        </w:numPr>
        <w:spacing w:after="100"/>
      </w:pPr>
      <w:r>
        <w:rPr>
          <w:b/>
          <w:bCs/>
        </w:rPr>
        <w:t xml:space="preserve">For existing hosts —</w:t>
      </w:r>
      <w:r>
        <w:t xml:space="preserve"> Investing in responsiveness, accuracy, and guest communication to earn Superhost status appears to justify a price increase — the data shows Superhosts sustain both higher prices and higher demand simultaneously.</w:t>
      </w:r>
    </w:p>
    <w:p>
      <w:pPr>
        <w:pStyle w:val="ListParagraph"/>
        <w:numPr>
          <w:ilvl w:val="0"/>
          <w:numId w:val="2"/>
        </w:numPr>
        <w:spacing w:after="100"/>
      </w:pPr>
      <w:r>
        <w:rPr>
          <w:b/>
          <w:bCs/>
        </w:rPr>
        <w:t xml:space="preserve">For pricing strategy —</w:t>
      </w:r>
      <w:r>
        <w:t xml:space="preserve"> Since price and review score are uncorrelated, marketing spend is better directed at highlighting reviews and Superhost status rather than competing purely on discounting.</w:t>
      </w:r>
    </w:p>
    <w:p>
      <w:pPr>
        <w:pStyle w:val="ListParagraph"/>
        <w:numPr>
          <w:ilvl w:val="0"/>
          <w:numId w:val="2"/>
        </w:numPr>
        <w:spacing w:after="100"/>
      </w:pPr>
      <w:r>
        <w:rPr>
          <w:b/>
          <w:bCs/>
        </w:rPr>
        <w:t xml:space="preserve">For platform / policy —</w:t>
      </w:r>
      <w:r>
        <w:t xml:space="preserve"> High average availability (307/365 days) suggests the platform could support dynamic pricing nudges or occupancy-based promotional tools for listings sitting idle outside peak season.</w:t>
      </w:r>
    </w:p>
    <w:p>
      <w:pPr>
        <w:pStyle w:val="Heading1"/>
        <w:spacing w:after="150" w:before="300"/>
      </w:pPr>
      <w:r>
        <w:t xml:space="preserve">4. Methodology</w:t>
      </w:r>
    </w:p>
    <w:p>
      <w:pPr>
        <w:spacing w:after="160"/>
      </w:pPr>
      <w:r>
        <w:t xml:space="preserve">Data was sourced from the Inside Airbnb Singapore export (listings, reviews, calendar, neighbourhoods). The pipeline below was used end-to-end, validating results at each stage against the previous one:</w:t>
      </w:r>
    </w:p>
    <w:p>
      <w:pPr>
        <w:pStyle w:val="ListParagraph"/>
        <w:numPr>
          <w:ilvl w:val="0"/>
          <w:numId w:val="2"/>
        </w:numPr>
        <w:spacing w:after="100"/>
      </w:pPr>
      <w:r>
        <w:rPr>
          <w:b/>
          <w:bCs/>
        </w:rPr>
        <w:t xml:space="preserve">Python (pandas):</w:t>
      </w:r>
      <w:r>
        <w:t xml:space="preserve"> Cleaned 3,097 raw listings to 2,592 (removed rows with missing price; standardised currency, boolean, and date fields; converted the free-text amenities field into an amenity count).</w:t>
      </w:r>
    </w:p>
    <w:p>
      <w:pPr>
        <w:pStyle w:val="ListParagraph"/>
        <w:numPr>
          <w:ilvl w:val="0"/>
          <w:numId w:val="2"/>
        </w:numPr>
        <w:spacing w:after="100"/>
      </w:pPr>
      <w:r>
        <w:rPr>
          <w:b/>
          <w:bCs/>
        </w:rPr>
        <w:t xml:space="preserve">SQL:</w:t>
      </w:r>
      <w:r>
        <w:t xml:space="preserve"> Replicated all core aggregations in MySQL to verify the pipeline was consistent across tools.</w:t>
      </w:r>
    </w:p>
    <w:p>
      <w:pPr>
        <w:pStyle w:val="ListParagraph"/>
        <w:numPr>
          <w:ilvl w:val="0"/>
          <w:numId w:val="2"/>
        </w:numPr>
        <w:spacing w:after="100"/>
      </w:pPr>
      <w:r>
        <w:rPr>
          <w:b/>
          <w:bCs/>
        </w:rPr>
        <w:t xml:space="preserve">Excel:</w:t>
      </w:r>
      <w:r>
        <w:t xml:space="preserve"> Cross-checked region-level pricing via PivotTables as an independent validation layer.</w:t>
      </w:r>
    </w:p>
    <w:p>
      <w:pPr>
        <w:pStyle w:val="ListParagraph"/>
        <w:numPr>
          <w:ilvl w:val="0"/>
          <w:numId w:val="2"/>
        </w:numPr>
        <w:spacing w:after="100"/>
      </w:pPr>
      <w:r>
        <w:rPr>
          <w:b/>
          <w:bCs/>
        </w:rPr>
        <w:t xml:space="preserve">Power BI:</w:t>
      </w:r>
      <w:r>
        <w:t xml:space="preserve"> Built an interactive dashboard (KPI cards, regional/room-type breakdowns, Superhost comparison, and a listings map) with region and room-type slicers for exploration.</w:t>
      </w:r>
    </w:p>
    <w:p>
      <w:pPr>
        <w:pBdr>
          <w:bottom w:val="single" w:color="AAAAAA" w:sz="6" w:space="1"/>
        </w:pBdr>
        <w:spacing w:after="200"/>
      </w:pPr>
    </w:p>
    <w:p>
      <w:r>
        <w:rPr>
          <w:i/>
          <w:iCs/>
          <w:color w:val="888888"/>
          <w:sz w:val="18"/>
          <w:szCs w:val="18"/>
        </w:rPr>
        <w:t xml:space="preserve">Prepared as part of a self-directed data analytics portfolio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2026-09-04T05:47:30.276Z</dcterms:created>
  <dcterms:modified xsi:type="dcterms:W3CDTF">2026-09-04T05:47:30.287Z</dcterms:modified>
</cp:coreProperties>
</file>

<file path=docProps/custom.xml><?xml version="1.0" encoding="utf-8"?>
<Properties xmlns="http://schemas.openxmlformats.org/officeDocument/2006/custom-properties" xmlns:vt="http://schemas.openxmlformats.org/officeDocument/2006/docPropsVTypes"/>
</file>