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Boston Condo Analysis: Pricing Drivers for a Recommendation System</w:t>
      </w:r>
    </w:p>
    <w:p>
      <w:pPr>
        <w:pStyle w:val="Heading1"/>
        <w:spacing w:after="120" w:before="240"/>
      </w:pPr>
      <w:r>
        <w:t xml:space="preserve">Problem</w:t>
      </w:r>
    </w:p>
    <w:p>
      <w:pPr>
        <w:spacing w:after="120"/>
      </w:pPr>
      <w:r>
        <w:t xml:space="preserve">Understand what actually drives condo sale prices in Boston — location, size, bed/bath configuration, tax burden, and commercial proximity — to inform a property recommendation system with neighborhood-aware pricing logic rather than a one-size-fits-all model.</w:t>
      </w:r>
    </w:p>
    <w:p>
      <w:pPr>
        <w:pStyle w:val="Heading1"/>
        <w:spacing w:after="120" w:before="240"/>
      </w:pPr>
      <w:r>
        <w:t xml:space="preserve">Objective</w:t>
      </w:r>
    </w:p>
    <w:p>
      <w:pPr>
        <w:spacing w:after="120"/>
      </w:pPr>
      <w:r>
        <w:t xml:space="preserve">Answer five key questions from the sales data: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How are sale prices distributed across the market?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What bed/bath combinations dominate by neighborhood?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How well does square footage predict price?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How concentrated is the property tax burden by street?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Does proximity to small commercial establishments (RC) affect price?</w:t>
      </w:r>
    </w:p>
    <w:p>
      <w:pPr>
        <w:pStyle w:val="Heading1"/>
        <w:spacing w:after="120" w:before="240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Tool:</w:t>
      </w:r>
      <w:r>
        <w:t xml:space="preserve"> Tableau — 10 worksheets combined into a 5-dashboard storyboard (bubble charts, box plots, histograms, heatmaps, scatter plots)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Method:</w:t>
      </w:r>
      <w:r>
        <w:t xml:space="preserve"> descriptive and correlation analysis across sale price, square footage, bed/bath counts, property tax, and commercial-proximity flag (RC), broken out by neighborhood and street</w:t>
      </w:r>
    </w:p>
    <w:p>
      <w:pPr>
        <w:pStyle w:val="Heading1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Price distribution:</w:t>
      </w:r>
      <w:r>
        <w:t xml:space="preserve"> right-skewed — nearly 90% of sales are under $225K; Neighborhood "E" is a distinct luxury outlier with sales up to $900K+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Bed/bath mix:</w:t>
      </w:r>
      <w:r>
        <w:t xml:space="preserve"> 2-bed/1-bath is the dominant product type (142 sales, nearly double any other combination) — a standardized "starter condo" profile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Size vs. price:</w:t>
      </w:r>
      <w:r>
        <w:t xml:space="preserve"> moderate positive correlation (R² = 0.48) — square footage matters, but isn't sufficient alone (e.g., a ~1,900 sqft unit sold under $250K)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Tax concentration:</w:t>
      </w:r>
      <w:r>
        <w:t xml:space="preserve"> property tax burden is concentrated in ~15 premium streets, led by Cambridge Pkwy ($3,672 avg — 30%+ higher than the next-highest street)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Commercial proximity hurts, not helps:</w:t>
      </w:r>
      <w:r>
        <w:t xml:space="preserve"> properties without nearby small commercial establishments (RC=0) sell for ~26% more on average ($200K vs. $149K) — likely a preference for quieter residential settings</w:t>
      </w:r>
    </w:p>
    <w:p>
      <w:pPr>
        <w:pStyle w:val="Heading1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Treat Neighborhood E as a distinct premium tier with its own pricing pathway in the recommendation engine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Prioritize 2-bed/1-bath inventory sourcing and matching, since it serves the largest buyer segment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Combine square footage with bed/bath and area in the pricing model rather than relying on square footage alone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Flag high-tax streets explicitly in listings to set buyer expectations upfront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Don't assume commercial proximity adds value — apply neighborhood-specific pricing rules instead of one uniform model across Boston</w:t>
      </w:r>
    </w:p>
    <w:p>
      <w:pPr>
        <w:pStyle w:val="Heading1"/>
        <w:spacing w:after="120" w:before="240"/>
      </w:pPr>
      <w:r>
        <w:t xml:space="preserve">Live Dashboard</w:t>
      </w:r>
    </w:p>
    <w:p>
      <w:pPr>
        <w:spacing w:after="120"/>
      </w:pPr>
      <w:r>
        <w:t xml:space="preserve">Interactive version on Tableau Public: </w:t>
      </w:r>
      <w:hyperlink w:history="1" r:id="rId1ln6io7sb0adhn49wta6a">
        <w:r>
          <w:rPr>
            <w:rStyle w:val="Hyperlink"/>
          </w:rPr>
          <w:t xml:space="preserve">Boston Condo Analysis Storyboard</w:t>
        </w:r>
      </w:hyperlink>
    </w:p>
    <w:p>
      <w:pPr>
        <w:pStyle w:val="Heading1"/>
        <w:spacing w:after="120" w:before="240"/>
      </w:pPr>
      <w:r>
        <w:t xml:space="preserve">Files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Boston_Condo_Analysis.twbx:</w:t>
      </w:r>
      <w:r>
        <w:t xml:space="preserve"> packaged Tableau workbook (open in Tableau Desktop or Tableau Public)</w:t>
      </w:r>
    </w:p>
    <w:p>
      <w:pPr>
        <w:pStyle w:val="Heading1"/>
        <w:spacing w:after="120" w:before="240"/>
      </w:pPr>
      <w:r>
        <w:t xml:space="preserve">Tools</w:t>
      </w:r>
    </w:p>
    <w:p>
      <w:pPr>
        <w:spacing w:after="120"/>
      </w:pPr>
      <w:r>
        <w:t xml:space="preserve">Tableau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ln6io7sb0adhn49wta6a" Type="http://schemas.openxmlformats.org/officeDocument/2006/relationships/hyperlink" Target="https://public.tableau.com/app/profile/bharathi.k1055/viz/BostonCondoAnalysis_17856916997730/BostonCondoAnalysisStorybo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2026-08-12T12:10:58.520Z</dcterms:created>
  <dcterms:modified xsi:type="dcterms:W3CDTF">2026-08-12T12:10:58.533Z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