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Car Crash Survival Prediction: Classification Modeling for Road Safety</w:t>
      </w:r>
    </w:p>
    <w:p>
      <w:pPr>
        <w:pStyle w:val="Heading1"/>
        <w:spacing w:after="120" w:before="240"/>
      </w:pPr>
      <w:r>
        <w:t xml:space="preserve">Problem</w:t>
      </w:r>
    </w:p>
    <w:p>
      <w:pPr>
        <w:spacing w:after="120"/>
      </w:pPr>
      <w:r>
        <w:t xml:space="preserve">The Department of Road Transport has seen a 15% year-over-year rise in urban car crashes and wants to move from reactive (post-crash) analysis to proactive risk prediction — identifying which factors most influence survival, to inform road-safety policy.</w:t>
      </w:r>
    </w:p>
    <w:p>
      <w:pPr>
        <w:pStyle w:val="Heading1"/>
        <w:spacing w:after="120" w:before="240"/>
      </w:pPr>
      <w:r>
        <w:t xml:space="preserve">Objective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Analyze historical crash data to uncover patterns in occupant survival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a classification model to predict likelihood of survival in a crash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Identify the most critical, actionable factors driving fatality risk</w:t>
      </w:r>
    </w:p>
    <w:p>
      <w:pPr>
        <w:pStyle w:val="Heading1"/>
        <w:spacing w:after="120" w:before="240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Data:</w:t>
      </w:r>
      <w:r>
        <w:t xml:space="preserve"> 11,217 crash records across 12 variables (speed, seatbelt use, airbag status, impact type, occupant age/sex/role, vehicle age)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Key challenge:</w:t>
      </w:r>
      <w:r>
        <w:t xml:space="preserve"> heavily imbalanced target (~89.5% survived vs. ~10.5% deceased) — Recall chosen as the primary metric, since missing a true fatality risk (false negative) is far costlier than a false alarm in a safety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Modeling:</w:t>
      </w:r>
      <w:r>
        <w:t xml:space="preserve"> Logistic Regression and Decision Tree, each in base and tuned form (threshold optimization via ROC/Youden's J for Logistic Regression; pre-pruning via GridSearchCV for Decision Tree)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Feature engineering:</w:t>
      </w:r>
      <w:r>
        <w:t xml:space="preserve"> derived vehicle age at time of crash (veh_usage_duration) from model year and accident year</w:t>
      </w:r>
    </w:p>
    <w:p>
      <w:pPr>
        <w:pStyle w:val="Heading1"/>
        <w:spacing w:after="120" w:before="24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Speed is the dominant fatality predictor:</w:t>
      </w:r>
      <w:r>
        <w:t xml:space="preserve"> crashes at 55+ km/h show dramatically higher mortality than low-speed impacts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Seatbelt non-use significantly elevates risk:</w:t>
      </w:r>
      <w:r>
        <w:t xml:space="preserve"> ~30% of occupants were unbelted, a major contributor to fatality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Airbag unavailability, not just non-deployment, is the bigger gap:</w:t>
      </w:r>
      <w:r>
        <w:t xml:space="preserve"> over 37% of crashes involved vehicles with no airbag present at all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Compounding effect:</w:t>
      </w:r>
      <w:r>
        <w:t xml:space="preserve"> no seatbelt + no airbag together produces the highest fatality rate in the dataset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Elderly occupants (60+) face disproportionately high risk, with fatality rate rising steadily with 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Final model:</w:t>
      </w:r>
      <w:r>
        <w:t xml:space="preserve"> a pre-pruned Decision Tree, chosen for its balance of recall and generalizability, and for producing transparent, rule-based explanations regulators can act on directly</w:t>
      </w:r>
    </w:p>
    <w:p>
      <w:pPr>
        <w:pStyle w:val="Heading1"/>
        <w:spacing w:after="120" w:before="24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Mandate airbag installation in all new and resale vehicles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Deploy automated speed enforcement in high-risk urban corridors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Introduce camera-based seatbelt compliance enforcement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Require periodic safety inspections for vehicles over 10 years old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Launch targeted safety programs for elderly drivers and behavioral campaigns for male drivers (higher risk-taking correlation)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 future modeling: address class imbalance with SMOTE or cost-sensitive learning, and collect richer features (weather, road type, alcohol involvement)</w:t>
      </w:r>
    </w:p>
    <w:p>
      <w:pPr>
        <w:pStyle w:val="Heading1"/>
        <w:spacing w:after="120" w:before="240"/>
      </w:pPr>
      <w:r>
        <w:t xml:space="preserve">Files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car_crash_survival_prediction.ipynb:</w:t>
      </w:r>
      <w:r>
        <w:t xml:space="preserve"> full analysis and modeling notebook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Business_Report_Car_Crash_Classification.pdf:</w:t>
      </w:r>
      <w:r>
        <w:t xml:space="preserve"> written business report</w:t>
      </w:r>
    </w:p>
    <w:p>
      <w:pPr>
        <w:pStyle w:val="Heading1"/>
        <w:spacing w:after="120" w:before="240"/>
      </w:pPr>
      <w:r>
        <w:t xml:space="preserve">Tools</w:t>
      </w:r>
    </w:p>
    <w:p>
      <w:pPr>
        <w:spacing w:after="120"/>
      </w:pPr>
      <w:r>
        <w:t xml:space="preserve">Python, pandas, NumPy, matplotlib, seaborn, scikit-learn, statsmodels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2026-08-12T11:28:26.989Z</dcterms:created>
  <dcterms:modified xsi:type="dcterms:W3CDTF">2026-08-12T11:28:27.001Z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