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EMPLOYEE BURNOUT RISK</w:t>
      </w:r>
    </w:p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PREDICTION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1A1A2E"/>
          <w:sz w:val="32"/>
          <w:szCs w:val="32"/>
        </w:rPr>
        <w:t xml:space="preserve">Executive Analytics Report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Linear Regression  |  HR Analytics  |  Predictive Workforce Intelligence</w:t>
      </w:r>
    </w:p>
    <w:p>
      <w:pPr>
        <w:pBdr>
          <w:bottom w:val="single" w:color="1B4F72" w:sz="12" w:space="1"/>
        </w:pBdr>
        <w:spacing w:after="400" w:before="0"/>
      </w:pPr>
      <w:r>
        <w:rPr>
          <w:sz w:val="22"/>
          <w:szCs w:val="22"/>
        </w:rPr>
        <w:t xml:space="preserve"> 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Dataset: 1,000 Employee Records   |   Features: 12   |   Model: Linear Regression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Model R²: 0.7472   |   MAE: 3.69   |   RMSE: 5.17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Confidential  |  HR Analytics Division  |  2025</w:t>
      </w:r>
    </w:p>
    <w:p>
      <w:r>
        <w:br w:type="page"/>
      </w:r>
    </w:p>
    <w:p>
      <w:pPr>
        <w:pStyle w:val="Heading1"/>
        <w:pBdr>
          <w:bottom w:val="single" w:color="1B4F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1. Executive Summary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report presents the findings of a comprehensive Machine Learning study designed to quantify and predict employee burnout risk across the organization. Using a dataset of 1,000 employee records and a Linear Regression model, we have built a production-ready system capable of predicting an individual's Burnout Risk Score on a scale of 0 to 100, with a model accuracy of 74.7% (R² = 0.7472).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Key Findings at a Glance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Model Accuracy: </w:t>
      </w:r>
      <w:r>
        <w:rPr>
          <w:rFonts w:ascii="Arial" w:cs="Arial" w:eastAsia="Arial" w:hAnsi="Arial"/>
          <w:sz w:val="22"/>
          <w:szCs w:val="22"/>
        </w:rPr>
        <w:t xml:space="preserve">74.7% variance explained (R² = 0.7472)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Average Prediction Error: </w:t>
      </w:r>
      <w:r>
        <w:rPr>
          <w:rFonts w:ascii="Arial" w:cs="Arial" w:eastAsia="Arial" w:hAnsi="Arial"/>
          <w:sz w:val="22"/>
          <w:szCs w:val="22"/>
        </w:rPr>
        <w:t xml:space="preserve">±3.69 burnout points (MAE)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High-Risk Employees: </w:t>
      </w:r>
      <w:r>
        <w:rPr>
          <w:rFonts w:ascii="Arial" w:cs="Arial" w:eastAsia="Arial" w:hAnsi="Arial"/>
          <w:sz w:val="22"/>
          <w:szCs w:val="22"/>
        </w:rPr>
        <w:t xml:space="preserve">Approximately 18% of workforce (predicted score &gt; 25)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Critical Cases: </w:t>
      </w:r>
      <w:r>
        <w:rPr>
          <w:rFonts w:ascii="Arial" w:cs="Arial" w:eastAsia="Arial" w:hAnsi="Arial"/>
          <w:sz w:val="22"/>
          <w:szCs w:val="22"/>
        </w:rPr>
        <w:t xml:space="preserve">~4% of employees require immediate intervention (score &gt; 45)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Top Burnout Driver: </w:t>
      </w:r>
      <w:r>
        <w:rPr>
          <w:rFonts w:ascii="Arial" w:cs="Arial" w:eastAsia="Arial" w:hAnsi="Arial"/>
          <w:sz w:val="22"/>
          <w:szCs w:val="22"/>
        </w:rPr>
        <w:t xml:space="preserve">Stress Level (strongest positive predictor)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Top Protective Factor: </w:t>
      </w:r>
      <w:r>
        <w:rPr>
          <w:rFonts w:ascii="Arial" w:cs="Arial" w:eastAsia="Arial" w:hAnsi="Arial"/>
          <w:sz w:val="22"/>
          <w:szCs w:val="22"/>
        </w:rPr>
        <w:t xml:space="preserve">Productivity Score (strongest negative predictor)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Strategic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Immediately implement a stress management and Employee Assistance Program (EAP) targeting the 18% high-risk population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 weekly working hours at 45 for high-risk employees — model predicts an 11% reduction in burnout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Launch sleep hygiene and exercise incentive programs for measurable wellbeing gains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this prediction model quarterly to surface emerging risk profiles before they become crises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scenario simulations to budget and prioritise HR interventions by expected ROI</w:t>
      </w:r>
    </w:p>
    <w:p>
      <w:r>
        <w:br w:type="page"/>
      </w:r>
    </w:p>
    <w:p>
      <w:pPr>
        <w:pStyle w:val="Heading1"/>
        <w:pBdr>
          <w:bottom w:val="single" w:color="1B4F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2. Business Problem Statement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Employee burnout has become one of the most significant workforce challenges of the modern era. According to the Harvard Business Review, burnout-related healthcare and productivity losses cost U.S. employers between $125 billion and $190 billion annually. Despite this, most organizations lack a systematic, data-driven mechanism to identify at-risk employees before burnout manifests.</w:t>
      </w:r>
    </w:p>
    <w:p>
      <w:pPr>
        <w:spacing w:after="6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HR department faces several critical knowledge gaps: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Which employees are currently at risk of burnout, and how severe is that risk?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Which workplace and lifestyle factors are the most powerful drivers of burnout?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quantifiable impact would specific HR interventions have on the workforce?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can leadership prioritise limited HR budgets to maximise wellbeing outcomes?</w:t>
      </w:r>
    </w:p>
    <w:p>
      <w:pPr>
        <w:spacing w:after="6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project addresses all four questions by building a supervised Machine Learning model — Linear Regression — that maps employee characteristics to a continuous Burnout Risk Score (0–100). The model provides both individual-level scores and aggregate insights to support strategic HR planning.</w:t>
      </w:r>
    </w:p>
    <w:p>
      <w:r>
        <w:br w:type="page"/>
      </w:r>
    </w:p>
    <w:p>
      <w:pPr>
        <w:pStyle w:val="Heading1"/>
        <w:pBdr>
          <w:bottom w:val="single" w:color="1B4F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3. Methodology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project follows a rigorous, industry-standard data science workflow across ten phases:</w:t>
      </w:r>
    </w:p>
    <w:p>
      <w:pPr>
        <w:spacing w:after="6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Advanced Exploratory Data Analysis (EDA) — 10 visualisation types, statistical summaries, VIF analysis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Preprocessing — Winsorisation, feature engineering, stratified splits, StandardScaler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Development — LinearRegression (sklearn) + OLS (statsmodels) with statistical significance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Assumption Testing — Linearity, normality (Shapiro-Wilk), homoscedasticity, independence (Durbin-Watson)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Evaluation — MAE, MSE, RMSE, R², Adjusted R², 10-fold Cross-Validation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Insights — Risk segmentation, driver analysis, employee profiling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Scenario Simulation — 5 quantified HR interventions with predicted impact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Executive Dashboard — Interactive Plotly dashboard for leadership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 Generation — This consulting-grade document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Presentation — 10-slide executive presentation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Feature Engineering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Three composite features were engineered to capture higher-order relationships not visible in individual variables: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Work-Life Balance Index = sleep_hours + exercise_hours − weekly_work_hours/10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Workload Index = (weekly_work_hours × projects + emails/10) /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Wellness Score = (2×sleep + exercise + productivity/10) / 4</w:t>
      </w:r>
    </w:p>
    <w:p>
      <w:r>
        <w:br w:type="page"/>
      </w:r>
    </w:p>
    <w:p>
      <w:pPr>
        <w:pStyle w:val="Heading1"/>
        <w:pBdr>
          <w:bottom w:val="single" w:color="1B4F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4. Data Understanding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Dataset Profile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Total Records: </w:t>
      </w:r>
      <w:r>
        <w:rPr>
          <w:rFonts w:ascii="Arial" w:cs="Arial" w:eastAsia="Arial" w:hAnsi="Arial"/>
          <w:sz w:val="22"/>
          <w:szCs w:val="22"/>
        </w:rPr>
        <w:t xml:space="preserve">1,000 employee observations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Features: </w:t>
      </w:r>
      <w:r>
        <w:rPr>
          <w:rFonts w:ascii="Arial" w:cs="Arial" w:eastAsia="Arial" w:hAnsi="Arial"/>
          <w:sz w:val="22"/>
          <w:szCs w:val="22"/>
        </w:rPr>
        <w:t xml:space="preserve">12 independent variables (workplace + lifestyle)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Target Variable: </w:t>
      </w:r>
      <w:r>
        <w:rPr>
          <w:rFonts w:ascii="Arial" w:cs="Arial" w:eastAsia="Arial" w:hAnsi="Arial"/>
          <w:sz w:val="22"/>
          <w:szCs w:val="22"/>
        </w:rPr>
        <w:t xml:space="preserve">burnout_risk_score (continuous, 0–100)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Missing Values: </w:t>
      </w:r>
      <w:r>
        <w:rPr>
          <w:rFonts w:ascii="Arial" w:cs="Arial" w:eastAsia="Arial" w:hAnsi="Arial"/>
          <w:sz w:val="22"/>
          <w:szCs w:val="22"/>
        </w:rPr>
        <w:t xml:space="preserve">Zero — dataset is complete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Duplicate Records: </w:t>
      </w:r>
      <w:r>
        <w:rPr>
          <w:rFonts w:ascii="Arial" w:cs="Arial" w:eastAsia="Arial" w:hAnsi="Arial"/>
          <w:sz w:val="22"/>
          <w:szCs w:val="22"/>
        </w:rPr>
        <w:t xml:space="preserve">Zero — all records are unique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Target Variable Statistics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Mean Burnout Score: </w:t>
      </w:r>
      <w:r>
        <w:rPr>
          <w:rFonts w:ascii="Arial" w:cs="Arial" w:eastAsia="Arial" w:hAnsi="Arial"/>
          <w:sz w:val="22"/>
          <w:szCs w:val="22"/>
        </w:rPr>
        <w:t xml:space="preserve">6.57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Median Burnout Score: </w:t>
      </w:r>
      <w:r>
        <w:rPr>
          <w:rFonts w:ascii="Arial" w:cs="Arial" w:eastAsia="Arial" w:hAnsi="Arial"/>
          <w:sz w:val="22"/>
          <w:szCs w:val="22"/>
        </w:rPr>
        <w:t xml:space="preserve">0.15 (right-skewed — most employees show low risk)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Standard Deviation: </w:t>
      </w:r>
      <w:r>
        <w:rPr>
          <w:rFonts w:ascii="Arial" w:cs="Arial" w:eastAsia="Arial" w:hAnsi="Arial"/>
          <w:sz w:val="22"/>
          <w:szCs w:val="22"/>
        </w:rPr>
        <w:t xml:space="preserve">9.46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Range: </w:t>
      </w:r>
      <w:r>
        <w:rPr>
          <w:rFonts w:ascii="Arial" w:cs="Arial" w:eastAsia="Arial" w:hAnsi="Arial"/>
          <w:sz w:val="22"/>
          <w:szCs w:val="22"/>
        </w:rPr>
        <w:t xml:space="preserve">0.00 to 51.78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75th Percentile: </w:t>
      </w:r>
      <w:r>
        <w:rPr>
          <w:rFonts w:ascii="Arial" w:cs="Arial" w:eastAsia="Arial" w:hAnsi="Arial"/>
          <w:sz w:val="22"/>
          <w:szCs w:val="22"/>
        </w:rPr>
        <w:t xml:space="preserve">11.43 (majority of employees below 11.5)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Key Observations from EDA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Burnout score is heavily right-skewed. Most employees show scores near zero, while a tail of highly burned-out individuals exists. This aligns with real-world burnout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Stress level and weekly work hours show the strongest positive correlations with burnout (r = 0.35 and 0.32 respectively).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Productivity score and exercise hours show the strongest negative correlations (r = −0.37 and −0.33 respectively).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VIF analysis confirms no severe multicollinearity — all features have VIF &lt; 5, validating their use in Linear Regression.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Outlier analysis (IQR method) shows moderate outliers in emails_sent_per_day and sick_leaves_year, addressed through Winsorisation.</w:t>
      </w:r>
    </w:p>
    <w:p>
      <w:r>
        <w:br w:type="page"/>
      </w:r>
    </w:p>
    <w:p>
      <w:pPr>
        <w:pStyle w:val="Heading1"/>
        <w:pBdr>
          <w:bottom w:val="single" w:color="1B4F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5. Model Development &amp; Evaluation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Performance Metrics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3.6943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Average prediction error of ±3.7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26.6814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Mean of squared prediction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RMSE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5.1654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Root mean squared error on test 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R²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0.7472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 explains 74.7% of burnout variance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Adjusted R²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0.7266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Accounts for all 15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CV R² (10-fold)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0.638 ± 0.037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Stable cross-validation performance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model demonstrates strong predictive capability with an R² of 0.7472, meaning it explains 74.7% of the variance in employee burnout scores. The MAE of 3.69 indicates that on a 0–100 scale, predictions are within approximately 4 points on average — a clinically and operationally meaningful level of precision for workforce intervention decisions.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Regression Assumption Verification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Linearity: </w:t>
      </w:r>
      <w:r>
        <w:rPr>
          <w:rFonts w:ascii="Arial" w:cs="Arial" w:eastAsia="Arial" w:hAnsi="Arial"/>
          <w:sz w:val="22"/>
          <w:szCs w:val="22"/>
        </w:rPr>
        <w:t xml:space="preserve">Confirmed via residuals vs fitted plot — no systematic curvature observed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Normality of Residuals: </w:t>
      </w:r>
      <w:r>
        <w:rPr>
          <w:rFonts w:ascii="Arial" w:cs="Arial" w:eastAsia="Arial" w:hAnsi="Arial"/>
          <w:sz w:val="22"/>
          <w:szCs w:val="22"/>
        </w:rPr>
        <w:t xml:space="preserve">Shapiro-Wilk p-value &gt; 0.05 for sampled residuals — assumption satisfied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Homoscedasticity: </w:t>
      </w:r>
      <w:r>
        <w:rPr>
          <w:rFonts w:ascii="Arial" w:cs="Arial" w:eastAsia="Arial" w:hAnsi="Arial"/>
          <w:sz w:val="22"/>
          <w:szCs w:val="22"/>
        </w:rPr>
        <w:t xml:space="preserve">Scale-location plot shows relatively uniform spread across fitted values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Independence of Errors: </w:t>
      </w:r>
      <w:r>
        <w:rPr>
          <w:rFonts w:ascii="Arial" w:cs="Arial" w:eastAsia="Arial" w:hAnsi="Arial"/>
          <w:sz w:val="22"/>
          <w:szCs w:val="22"/>
        </w:rPr>
        <w:t xml:space="preserve">Durbin-Watson statistic = 1.98 (ideal: 2.0) — no autocorrelation detected</w:t>
      </w:r>
    </w:p>
    <w:p>
      <w:r>
        <w:br w:type="page"/>
      </w:r>
    </w:p>
    <w:p>
      <w:pPr>
        <w:pStyle w:val="Heading1"/>
        <w:pBdr>
          <w:bottom w:val="single" w:color="1B4F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6. Business Insights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Burnout Drivers &amp; Protective Factors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Coefficient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Implication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Stress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Increases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+1.50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burnout trigger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 Work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Increases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+0.89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Overwork drives exhaustion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Emails/Day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Increases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+0.61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Digital overload reduces focus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Workload Index*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Increases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+0.55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Combined workload pressure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Productivity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Reduces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-1.12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Engagement protects against burnout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Exercise Hours/Week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Reduces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-0.85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Physical activity is protective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Sleep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Reduces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-0.58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is a critical buffer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Work-Life Balance*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Reduces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-0.48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Composite wellness signal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*Engineered composite features. These aggregate signals improve model performance and business interpretability.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Employee Risk Segmentation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Based on predicted burnout scores, employees are segmented into four risk tiers:</w:t>
      </w:r>
    </w:p>
    <w:p>
      <w:pPr>
        <w:spacing w:after="6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Risk (Score 0–10): Approximately 65% of employees. Continue standard monitoring with quarterly check-ins.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Moderate Risk (Score 10–25): Approximately 17% of employees. Schedule workload reviews and preventive manager conversations.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 Risk (Score 25–45): Approximately 14% of employees. Escalate to HR for stress audit and workload reduction plan.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Critical Risk (Score &gt;45): Approximately 4% of employees. Immediate HR escalation and Employee Assistance Program (EAP) referral required.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High-Risk vs Low-Risk Employee Profiles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High-Risk Profile: </w:t>
      </w:r>
      <w:r>
        <w:rPr>
          <w:rFonts w:ascii="Arial" w:cs="Arial" w:eastAsia="Arial" w:hAnsi="Arial"/>
          <w:sz w:val="22"/>
          <w:szCs w:val="22"/>
        </w:rPr>
        <w:t xml:space="preserve">Stress level 7.8+, 62+ hrs/week, 5.1h sleep, 2.5h exercise, productivity score 55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Low-Risk Profile: </w:t>
      </w:r>
      <w:r>
        <w:rPr>
          <w:rFonts w:ascii="Arial" w:cs="Arial" w:eastAsia="Arial" w:hAnsi="Arial"/>
          <w:sz w:val="22"/>
          <w:szCs w:val="22"/>
        </w:rPr>
        <w:t xml:space="preserve">Stress level 3.2, 42h/week, 7.5h sleep, 7.8h exercise, productivity score 82</w:t>
      </w:r>
    </w:p>
    <w:p>
      <w:r>
        <w:br w:type="page"/>
      </w:r>
    </w:p>
    <w:p>
      <w:pPr>
        <w:pStyle w:val="Heading1"/>
        <w:pBdr>
          <w:bottom w:val="single" w:color="1B4F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7. Scenario Simulation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model was used to simulate the quantified impact of five HR interventions. All changes were applied to the full 1,000-employee dataset and predicted burnout scores were recalculated to estimate population-level impact.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Intervention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Avg 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Change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Reduce work hours by 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−0.73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−11.1%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Increase sleep +1 hr/day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−0.38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−5.8%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Exercise +3 hrs/week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−0.44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−6.7%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Reduce stress level by 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−0.92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−14.0%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Productivity +10%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−0.47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−7.1%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most impactful single intervention is reducing stress levels by 20%, yielding a predicted 14% reduction in average burnout scores. This can be achieved through a combination of mindfulness programs, EAP services, and manager training.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Combining all five interventions simultaneously could theoretically reduce average burnout by 30–40%, representing a substantial improvement in workforce wellbeing and a measurable reduction in attrition, absenteeism, and healthcare costs.</w:t>
      </w:r>
    </w:p>
    <w:p>
      <w:r>
        <w:br w:type="page"/>
      </w:r>
    </w:p>
    <w:p>
      <w:pPr>
        <w:pStyle w:val="Heading1"/>
        <w:pBdr>
          <w:bottom w:val="single" w:color="1B4F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8. HR Recommendations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Immediate Actions (0–3 Months)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this model to score all current employees. Flag and prioritise the ~180 high-risk individuals for immediate manager outreach.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Launch a Stress Management Initiative: partner with an EAP provider for confidential counselling, mindfulness workshops, and resilience training.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a Workload Review Protocol: HR Business Partners should conduct 1:1 workload audits with all employees scoring above 25.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Short-Term Actions (3–6 Months)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Introduce a Working Hours Policy capping work at 45 hours/week for individual contributors and 50 hours for managers. Model predicts 11% average burnout reduction.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Launch a Sleep &amp; Recovery Campaign: educational materials, flexible start times, and a no-emails-after-8pm culture policy.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Introduce an Exercise Incentive Program: subsidise gym memberships or on-site fitness facilities. The model predicts a 6.7% burnout reduction per 3 additional weekly exercise hours.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Long-Term Actions (6–12 Months)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real-time Burnout Early Warning Dashboard using this model, refreshed monthly with updated employee survey data and system metrics.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model prediction accuracy quarterly and retrain with new data every six months to capture evolving workforce patterns.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Investigate non-linear model extensions (Random Forest, Gradient Boosting) to capture interaction effects and improve predictive accuracy.</w:t>
      </w:r>
    </w:p>
    <w:p>
      <w:r>
        <w:br w:type="page"/>
      </w:r>
    </w:p>
    <w:p>
      <w:pPr>
        <w:pStyle w:val="Heading1"/>
        <w:pBdr>
          <w:bottom w:val="single" w:color="1B4F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9. Future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Advanced Models: Explore Ridge Regression, Lasso, Random Forest, and Gradient Boosting to capture non-linearities and interaction effects.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Temporal Analysis: Incorporate time-series data to track burnout trajectories and predict trends rather than point-in-time scores.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Segmented Models: Build department-specific or role-specific models, as burnout drivers may differ significantly across functions.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Natural Language Processing: Integrate employee survey text data and performance review sentiment as additional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Integration: Connect the model to HR Information Systems (HRIS) for automated monthly scoring and alert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Causal Inference: Use Difference-in-Differences or Propensity Score Matching to estimate the true causal impact of interventions rather than correlational effects.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1B4F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10. Conclusion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project demonstrates that employee burnout is a measurable, predictable phenomenon. Using only 12 readily available workplace and lifestyle data points, a Linear Regression model can explain 74.7% of burnout variance — a performance level that is directly actionable for HR leadership.</w:t>
      </w:r>
    </w:p>
    <w:p>
      <w:pPr>
        <w:spacing w:after="6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most important takeaway is not the model itself, but what it enables: a shift from reactive burnout management to proactive workforce wellbeing. By identifying at-risk employees months before burnout becomes a resignation or medical event, organizations can intervene early, protect their people, and preserve organizational productivity.</w:t>
      </w:r>
    </w:p>
    <w:p>
      <w:pPr>
        <w:spacing w:after="6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scenario simulations provide HR leadership with a data-backed prioritisation framework. Investments in stress reduction and workload management yield the highest predicted returns. Combined, the five simulated interventions could reduce average organizational burnout by 30–40%.</w:t>
      </w:r>
    </w:p>
    <w:p>
      <w:pPr>
        <w:spacing w:after="6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recommend immediate deployment of this system, starting with a pilot in the highest-risk business unit, followed by quarterly model refresh cycles to maintain prediction accuracy as workforce conditions evolve.</w:t>
      </w:r>
    </w:p>
    <w:p>
      <w:pPr>
        <w:spacing w:after="60" w:before="12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Report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Employee Burnout Risk Prediction System  |  HR Analytics Report  |  Page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2026-06-05T08:36:10.354Z</dcterms:created>
  <dcterms:modified xsi:type="dcterms:W3CDTF">2026-06-05T08:36:10.354Z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