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C0F5" w14:textId="77777777" w:rsidR="00394727" w:rsidRDefault="00394727" w:rsidP="0039472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
        <w:rPr>
          <w:rFonts w:ascii="Segoe UI" w:hAnsi="Segoe UI" w:cs="Segoe UI"/>
          <w:color w:val="70AD47" w:themeColor="accent6"/>
          <w:sz w:val="36"/>
          <w:szCs w:val="36"/>
        </w:rPr>
      </w:pPr>
    </w:p>
    <w:p w14:paraId="5808F4A7" w14:textId="77777777" w:rsidR="00394727" w:rsidRPr="00452558" w:rsidRDefault="00394727" w:rsidP="00394727">
      <w:pPr>
        <w:tabs>
          <w:tab w:val="left" w:pos="3735"/>
        </w:tabs>
        <w:jc w:val="center"/>
        <w:rPr>
          <w:rFonts w:ascii="Times New Roman" w:hAnsi="Times New Roman" w:cs="Times New Roman"/>
          <w:b/>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558">
        <w:rPr>
          <w:rFonts w:ascii="Times New Roman" w:hAnsi="Times New Roman" w:cs="Times New Roman"/>
          <w:b/>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Disaster Recovery with IBM Cloud Virtual Servers</w:t>
      </w:r>
    </w:p>
    <w:p w14:paraId="2A8E0500" w14:textId="59296DF8" w:rsidR="00394727" w:rsidRPr="00A50707" w:rsidRDefault="00A50707" w:rsidP="0039472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
        <w:rPr>
          <w:rFonts w:ascii="Segoe UI" w:hAnsi="Segoe UI" w:cs="Segoe UI"/>
          <w:color w:val="4472C4" w:themeColor="accent1"/>
          <w:sz w:val="52"/>
          <w:szCs w:val="52"/>
        </w:rPr>
      </w:pPr>
      <w:r w:rsidRPr="00A50707">
        <w:rPr>
          <w:color w:val="4472C4" w:themeColor="accent1"/>
          <w:sz w:val="40"/>
          <w:szCs w:val="40"/>
        </w:rPr>
        <w:t>Project Documentation &amp; Submission</w:t>
      </w:r>
    </w:p>
    <w:p w14:paraId="52F94608" w14:textId="77777777" w:rsidR="00394727" w:rsidRDefault="00394727" w:rsidP="0039472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
        <w:rPr>
          <w:rFonts w:ascii="Segoe UI" w:hAnsi="Segoe UI" w:cs="Segoe UI"/>
          <w:color w:val="70AD47" w:themeColor="accent6"/>
          <w:sz w:val="36"/>
          <w:szCs w:val="36"/>
        </w:rPr>
      </w:pPr>
    </w:p>
    <w:p w14:paraId="27E62DC3" w14:textId="25629BA1" w:rsidR="00D24E1B" w:rsidRPr="00D24E1B" w:rsidRDefault="00D24E1B" w:rsidP="0039472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70AD47" w:themeColor="accent6"/>
          <w:sz w:val="36"/>
          <w:szCs w:val="36"/>
        </w:rPr>
      </w:pPr>
      <w:r w:rsidRPr="00D24E1B">
        <w:rPr>
          <w:rFonts w:ascii="Segoe UI" w:hAnsi="Segoe UI" w:cs="Segoe UI"/>
          <w:color w:val="70AD47" w:themeColor="accent6"/>
          <w:sz w:val="36"/>
          <w:szCs w:val="36"/>
        </w:rPr>
        <w:t>Disaster Recovery Strategy:</w:t>
      </w:r>
    </w:p>
    <w:p w14:paraId="44764A1C"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Assessment and Risk Analysis</w:t>
      </w:r>
      <w:r>
        <w:rPr>
          <w:rFonts w:ascii="Segoe UI" w:hAnsi="Segoe UI" w:cs="Segoe UI"/>
          <w:color w:val="374151"/>
        </w:rPr>
        <w:t>: Begin by assessing your organization's critical IT systems and data. Identify potential risks and vulnerabilities that could lead to disasters.</w:t>
      </w:r>
    </w:p>
    <w:p w14:paraId="0905FDD3"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Business Impact Analysis (BIA)</w:t>
      </w:r>
      <w:r>
        <w:rPr>
          <w:rFonts w:ascii="Segoe UI" w:hAnsi="Segoe UI" w:cs="Segoe UI"/>
          <w:color w:val="374151"/>
        </w:rPr>
        <w:t>: Determine the impact of various disaster scenarios on your business operations, including financial, operational, and reputational consequences.</w:t>
      </w:r>
    </w:p>
    <w:p w14:paraId="45E73F79"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Recovery Objectives</w:t>
      </w:r>
      <w:r>
        <w:rPr>
          <w:rFonts w:ascii="Segoe UI" w:hAnsi="Segoe UI" w:cs="Segoe UI"/>
          <w:color w:val="374151"/>
        </w:rPr>
        <w:t>: Define recovery time objectives (RTO) and recovery point objectives (RPO) for each critical system. RTO is the maximum allowable downtime, while RPO is the maximum data loss your organization can tolerate.</w:t>
      </w:r>
    </w:p>
    <w:p w14:paraId="537AEB29"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Resource Allocation</w:t>
      </w:r>
      <w:r>
        <w:rPr>
          <w:rFonts w:ascii="Segoe UI" w:hAnsi="Segoe UI" w:cs="Segoe UI"/>
          <w:color w:val="374151"/>
        </w:rPr>
        <w:t>: Allocate necessary resources, including budget, personnel, and technology, to implement the disaster recovery plan.</w:t>
      </w:r>
    </w:p>
    <w:p w14:paraId="2D9C5472"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e. </w:t>
      </w:r>
      <w:r>
        <w:rPr>
          <w:rStyle w:val="Strong"/>
          <w:rFonts w:ascii="Segoe UI" w:hAnsi="Segoe UI" w:cs="Segoe UI"/>
          <w:color w:val="374151"/>
          <w:bdr w:val="single" w:sz="2" w:space="0" w:color="D9D9E3" w:frame="1"/>
        </w:rPr>
        <w:t>Plan Development</w:t>
      </w:r>
      <w:r>
        <w:rPr>
          <w:rFonts w:ascii="Segoe UI" w:hAnsi="Segoe UI" w:cs="Segoe UI"/>
          <w:color w:val="374151"/>
        </w:rPr>
        <w:t>: Create a detailed disaster recovery plan that outlines specific strategies for various disaster scenarios. Ensure this plan aligns with IBM-specific technologies and tools.</w:t>
      </w:r>
    </w:p>
    <w:p w14:paraId="61605701" w14:textId="77777777" w:rsidR="00D24E1B" w:rsidRPr="00D24E1B" w:rsidRDefault="00D24E1B" w:rsidP="00D24E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70AD47" w:themeColor="accent6"/>
          <w:sz w:val="36"/>
          <w:szCs w:val="36"/>
        </w:rPr>
      </w:pPr>
      <w:r w:rsidRPr="00D24E1B">
        <w:rPr>
          <w:rFonts w:ascii="Segoe UI" w:hAnsi="Segoe UI" w:cs="Segoe UI"/>
          <w:color w:val="70AD47" w:themeColor="accent6"/>
          <w:sz w:val="36"/>
          <w:szCs w:val="36"/>
        </w:rPr>
        <w:t>Backup Configuration:</w:t>
      </w:r>
    </w:p>
    <w:p w14:paraId="47F6A70A"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Data Classification</w:t>
      </w:r>
      <w:r>
        <w:rPr>
          <w:rFonts w:ascii="Segoe UI" w:hAnsi="Segoe UI" w:cs="Segoe UI"/>
          <w:color w:val="374151"/>
        </w:rPr>
        <w:t>: Identify and classify data based on its criticality. This will help in determining the appropriate backup frequency and retention policies.</w:t>
      </w:r>
    </w:p>
    <w:p w14:paraId="5C731721"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Backup Tools</w:t>
      </w:r>
      <w:r>
        <w:rPr>
          <w:rFonts w:ascii="Segoe UI" w:hAnsi="Segoe UI" w:cs="Segoe UI"/>
          <w:color w:val="374151"/>
        </w:rPr>
        <w:t>: Choose IBM backup solutions like IBM Spectrum Protect (formerly Tivoli Storage Manager) or other suitable products for data backup. Configure these tools to perform regular backups of critical data and systems.</w:t>
      </w:r>
    </w:p>
    <w:p w14:paraId="464B276D"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Backup Storage</w:t>
      </w:r>
      <w:r>
        <w:rPr>
          <w:rFonts w:ascii="Segoe UI" w:hAnsi="Segoe UI" w:cs="Segoe UI"/>
          <w:color w:val="374151"/>
        </w:rPr>
        <w:t>: Ensure backups are stored securely in offsite or cloud storage locations to protect against on-premises disasters.</w:t>
      </w:r>
    </w:p>
    <w:p w14:paraId="4C3463A7"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 xml:space="preserve">d. </w:t>
      </w:r>
      <w:r>
        <w:rPr>
          <w:rStyle w:val="Strong"/>
          <w:rFonts w:ascii="Segoe UI" w:hAnsi="Segoe UI" w:cs="Segoe UI"/>
          <w:color w:val="374151"/>
          <w:bdr w:val="single" w:sz="2" w:space="0" w:color="D9D9E3" w:frame="1"/>
        </w:rPr>
        <w:t>Backup Frequency</w:t>
      </w:r>
      <w:r>
        <w:rPr>
          <w:rFonts w:ascii="Segoe UI" w:hAnsi="Segoe UI" w:cs="Segoe UI"/>
          <w:color w:val="374151"/>
        </w:rPr>
        <w:t>: Define backup schedules based on RPO requirements. Critical systems might require more frequent backups.</w:t>
      </w:r>
    </w:p>
    <w:p w14:paraId="10DFDC75" w14:textId="77777777" w:rsidR="00D24E1B" w:rsidRPr="00D24E1B" w:rsidRDefault="00D24E1B" w:rsidP="00D24E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70AD47" w:themeColor="accent6"/>
          <w:sz w:val="36"/>
          <w:szCs w:val="36"/>
        </w:rPr>
      </w:pPr>
      <w:r w:rsidRPr="00D24E1B">
        <w:rPr>
          <w:rFonts w:ascii="Segoe UI" w:hAnsi="Segoe UI" w:cs="Segoe UI"/>
          <w:color w:val="70AD47" w:themeColor="accent6"/>
          <w:sz w:val="36"/>
          <w:szCs w:val="36"/>
        </w:rPr>
        <w:t>Replication Setup:</w:t>
      </w:r>
    </w:p>
    <w:p w14:paraId="77191F5C"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Data Replication Technologies</w:t>
      </w:r>
      <w:r>
        <w:rPr>
          <w:rFonts w:ascii="Segoe UI" w:hAnsi="Segoe UI" w:cs="Segoe UI"/>
          <w:color w:val="374151"/>
        </w:rPr>
        <w:t>: IBM offers various replication solutions, such as IBM Global Mirror for disaster recovery in storage environments. Configure data replication to maintain up-to-date copies of critical data in a secondary location.</w:t>
      </w:r>
    </w:p>
    <w:p w14:paraId="19D508BB"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Secondary Site</w:t>
      </w:r>
      <w:r>
        <w:rPr>
          <w:rFonts w:ascii="Segoe UI" w:hAnsi="Segoe UI" w:cs="Segoe UI"/>
          <w:color w:val="374151"/>
        </w:rPr>
        <w:t>: Establish a secondary site or data center where replicated data can be stored and accessed in case of a disaster.</w:t>
      </w:r>
    </w:p>
    <w:p w14:paraId="1CBCAE99"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Network Connectivity</w:t>
      </w:r>
      <w:r>
        <w:rPr>
          <w:rFonts w:ascii="Segoe UI" w:hAnsi="Segoe UI" w:cs="Segoe UI"/>
          <w:color w:val="374151"/>
        </w:rPr>
        <w:t>: Ensure reliable network connectivity between primary and secondary sites to support data replication.</w:t>
      </w:r>
    </w:p>
    <w:p w14:paraId="0D82F40F"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Monitoring and Failover</w:t>
      </w:r>
      <w:r>
        <w:rPr>
          <w:rFonts w:ascii="Segoe UI" w:hAnsi="Segoe UI" w:cs="Segoe UI"/>
          <w:color w:val="374151"/>
        </w:rPr>
        <w:t>: Implement monitoring tools and automated failover processes to switch to the secondary site when a disaster occurs.</w:t>
      </w:r>
    </w:p>
    <w:p w14:paraId="73D99A12" w14:textId="77777777" w:rsidR="00D24E1B" w:rsidRDefault="00D24E1B" w:rsidP="00D24E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D24E1B">
        <w:rPr>
          <w:rFonts w:ascii="Segoe UI" w:hAnsi="Segoe UI" w:cs="Segoe UI"/>
          <w:color w:val="70AD47" w:themeColor="accent6"/>
          <w:sz w:val="36"/>
          <w:szCs w:val="36"/>
        </w:rPr>
        <w:t>Recovery Testing Procedures</w:t>
      </w:r>
      <w:r>
        <w:rPr>
          <w:rFonts w:ascii="Segoe UI" w:hAnsi="Segoe UI" w:cs="Segoe UI"/>
          <w:color w:val="374151"/>
        </w:rPr>
        <w:t>:</w:t>
      </w:r>
    </w:p>
    <w:p w14:paraId="7DF88E56"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Test Plan</w:t>
      </w:r>
      <w:r>
        <w:rPr>
          <w:rFonts w:ascii="Segoe UI" w:hAnsi="Segoe UI" w:cs="Segoe UI"/>
          <w:color w:val="374151"/>
        </w:rPr>
        <w:t>: Develop a comprehensive testing plan that outlines the scope, objectives, and methods of disaster recovery testing.</w:t>
      </w:r>
    </w:p>
    <w:p w14:paraId="4379655D"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Testing Types</w:t>
      </w:r>
      <w:r>
        <w:rPr>
          <w:rFonts w:ascii="Segoe UI" w:hAnsi="Segoe UI" w:cs="Segoe UI"/>
          <w:color w:val="374151"/>
        </w:rPr>
        <w:t>: Conduct various types of tests, including full-scale disaster recovery tests, partial failover tests, and data restoration tests.</w:t>
      </w:r>
    </w:p>
    <w:p w14:paraId="23327ED2"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Regular Testing</w:t>
      </w:r>
      <w:r>
        <w:rPr>
          <w:rFonts w:ascii="Segoe UI" w:hAnsi="Segoe UI" w:cs="Segoe UI"/>
          <w:color w:val="374151"/>
        </w:rPr>
        <w:t>: Schedule and perform disaster recovery tests at regular intervals to ensure the plan's effectiveness.</w:t>
      </w:r>
    </w:p>
    <w:p w14:paraId="6338168E"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Documentation</w:t>
      </w:r>
      <w:r>
        <w:rPr>
          <w:rFonts w:ascii="Segoe UI" w:hAnsi="Segoe UI" w:cs="Segoe UI"/>
          <w:color w:val="374151"/>
        </w:rPr>
        <w:t>: Keep detailed records of test results and any issues encountered during testing. Use this information to refine and improve the disaster recovery plan.</w:t>
      </w:r>
    </w:p>
    <w:p w14:paraId="79C61E5F" w14:textId="77777777" w:rsidR="00D24E1B" w:rsidRDefault="00D24E1B" w:rsidP="00D24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e. </w:t>
      </w:r>
      <w:r>
        <w:rPr>
          <w:rStyle w:val="Strong"/>
          <w:rFonts w:ascii="Segoe UI" w:hAnsi="Segoe UI" w:cs="Segoe UI"/>
          <w:color w:val="374151"/>
          <w:bdr w:val="single" w:sz="2" w:space="0" w:color="D9D9E3" w:frame="1"/>
        </w:rPr>
        <w:t>Training</w:t>
      </w:r>
      <w:r>
        <w:rPr>
          <w:rFonts w:ascii="Segoe UI" w:hAnsi="Segoe UI" w:cs="Segoe UI"/>
          <w:color w:val="374151"/>
        </w:rPr>
        <w:t>: Ensure that your IT staff is well-trained on disaster recovery procedures and can execute the plan effectively during a real disaster.</w:t>
      </w:r>
    </w:p>
    <w:p w14:paraId="40882C15" w14:textId="77777777" w:rsidR="00D24E1B" w:rsidRDefault="00D24E1B" w:rsidP="00D24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crucial to keep your disaster recovery plan up to date as your IT environment evolves and to periodically review and adjust your backup configuration, replication setup, and testing procedures to meet your organization's changing needs and emerging IBM technologies</w:t>
      </w:r>
    </w:p>
    <w:p w14:paraId="53A24E24" w14:textId="77777777" w:rsidR="00394727" w:rsidRDefault="00394727" w:rsidP="0039472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lastRenderedPageBreak/>
        <w:t>The "Primary Site" and "Secondary Site" are two separate locations representing your primary production data center and your secondary disaster recovery site.</w:t>
      </w:r>
    </w:p>
    <w:p w14:paraId="149CA854" w14:textId="77777777" w:rsidR="00394727" w:rsidRDefault="00394727" w:rsidP="0039472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Each "Server" represents individual servers in both the primary and secondary sites. The IP addresses are provided for reference.</w:t>
      </w:r>
    </w:p>
    <w:p w14:paraId="58F24B8C" w14:textId="77777777" w:rsidR="00394727" w:rsidRDefault="00394727" w:rsidP="003947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perform a ping test from the Primary Site to the Secondary Site, you can use the following format:</w:t>
      </w:r>
    </w:p>
    <w:p w14:paraId="59A027CD" w14:textId="62491A11" w:rsidR="00394727" w:rsidRDefault="00394727" w:rsidP="003947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sz w:val="21"/>
          <w:szCs w:val="21"/>
        </w:rPr>
        <w:br/>
      </w:r>
    </w:p>
    <w:p w14:paraId="47165F93" w14:textId="0242D485" w:rsidR="00896B35" w:rsidRDefault="00394727" w:rsidP="00D24E1B">
      <w:r>
        <w:rPr>
          <w:noProof/>
        </w:rPr>
        <w:drawing>
          <wp:anchor distT="0" distB="0" distL="114300" distR="114300" simplePos="0" relativeHeight="251658240" behindDoc="1" locked="0" layoutInCell="1" allowOverlap="1" wp14:anchorId="58DFAC62" wp14:editId="16AC493D">
            <wp:simplePos x="0" y="0"/>
            <wp:positionH relativeFrom="margin">
              <wp:align>center</wp:align>
            </wp:positionH>
            <wp:positionV relativeFrom="paragraph">
              <wp:posOffset>95058</wp:posOffset>
            </wp:positionV>
            <wp:extent cx="5443855" cy="3505200"/>
            <wp:effectExtent l="0" t="0" r="4445" b="0"/>
            <wp:wrapTight wrapText="bothSides">
              <wp:wrapPolygon edited="0">
                <wp:start x="0" y="0"/>
                <wp:lineTo x="0" y="21483"/>
                <wp:lineTo x="21542" y="21483"/>
                <wp:lineTo x="21542" y="0"/>
                <wp:lineTo x="0" y="0"/>
              </wp:wrapPolygon>
            </wp:wrapTight>
            <wp:docPr id="210730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06529" name="Picture 2107306529"/>
                    <pic:cNvPicPr/>
                  </pic:nvPicPr>
                  <pic:blipFill>
                    <a:blip r:embed="rId7">
                      <a:extLst>
                        <a:ext uri="{28A0092B-C50C-407E-A947-70E740481C1C}">
                          <a14:useLocalDpi xmlns:a14="http://schemas.microsoft.com/office/drawing/2010/main" val="0"/>
                        </a:ext>
                      </a:extLst>
                    </a:blip>
                    <a:stretch>
                      <a:fillRect/>
                    </a:stretch>
                  </pic:blipFill>
                  <pic:spPr>
                    <a:xfrm>
                      <a:off x="0" y="0"/>
                      <a:ext cx="5443855" cy="3505200"/>
                    </a:xfrm>
                    <a:prstGeom prst="rect">
                      <a:avLst/>
                    </a:prstGeom>
                  </pic:spPr>
                </pic:pic>
              </a:graphicData>
            </a:graphic>
          </wp:anchor>
        </w:drawing>
      </w:r>
    </w:p>
    <w:p w14:paraId="65171CE5" w14:textId="77777777" w:rsidR="00394727" w:rsidRPr="00394727" w:rsidRDefault="00394727" w:rsidP="00394727"/>
    <w:p w14:paraId="51B6794C" w14:textId="77777777" w:rsidR="00394727" w:rsidRPr="00394727" w:rsidRDefault="00394727" w:rsidP="00394727"/>
    <w:p w14:paraId="33ADEAC7" w14:textId="77777777" w:rsidR="00394727" w:rsidRPr="00394727" w:rsidRDefault="00394727" w:rsidP="00394727"/>
    <w:p w14:paraId="5B4FC3B7" w14:textId="77777777" w:rsidR="00394727" w:rsidRPr="00394727" w:rsidRDefault="00394727" w:rsidP="00394727"/>
    <w:p w14:paraId="085EBA4E" w14:textId="77777777" w:rsidR="00394727" w:rsidRPr="00394727" w:rsidRDefault="00394727" w:rsidP="00394727"/>
    <w:p w14:paraId="593E004D" w14:textId="77777777" w:rsidR="00394727" w:rsidRPr="00394727" w:rsidRDefault="00394727" w:rsidP="00394727"/>
    <w:p w14:paraId="6D78856A" w14:textId="77777777" w:rsidR="00394727" w:rsidRPr="00394727" w:rsidRDefault="00394727" w:rsidP="00394727"/>
    <w:p w14:paraId="67991823" w14:textId="77777777" w:rsidR="00394727" w:rsidRPr="00394727" w:rsidRDefault="00394727" w:rsidP="00394727"/>
    <w:p w14:paraId="698C2296" w14:textId="77777777" w:rsidR="00394727" w:rsidRPr="00394727" w:rsidRDefault="00394727" w:rsidP="00394727"/>
    <w:p w14:paraId="6C89CADE" w14:textId="77777777" w:rsidR="00394727" w:rsidRPr="00394727" w:rsidRDefault="00394727" w:rsidP="00394727"/>
    <w:p w14:paraId="01D8C5C6" w14:textId="77777777" w:rsidR="00394727" w:rsidRPr="00394727" w:rsidRDefault="00394727" w:rsidP="00394727"/>
    <w:p w14:paraId="3A869FBC" w14:textId="77777777" w:rsidR="00394727" w:rsidRDefault="00394727" w:rsidP="00394727"/>
    <w:p w14:paraId="04DF78D3" w14:textId="466F7881" w:rsidR="00394727" w:rsidRPr="00394727" w:rsidRDefault="00394727" w:rsidP="00394727">
      <w:pPr>
        <w:tabs>
          <w:tab w:val="left" w:pos="2780"/>
        </w:tabs>
      </w:pPr>
      <w:r>
        <w:tab/>
      </w:r>
      <w:r>
        <w:rPr>
          <w:rFonts w:ascii="Segoe UI" w:hAnsi="Segoe UI" w:cs="Segoe UI"/>
          <w:color w:val="374151"/>
          <w:shd w:val="clear" w:color="auto" w:fill="F7F7F8"/>
        </w:rPr>
        <w:t xml:space="preserve">This command will send ICMP (Internet Control Message Protocol) echo requests from the primary site to the IP address of a server in the secondary site (in this case, "Server A" with IP 192.168.2.1). The response time and success of the </w:t>
      </w:r>
      <w:r>
        <w:rPr>
          <w:rFonts w:ascii="Segoe UI" w:hAnsi="Segoe UI" w:cs="Segoe UI"/>
          <w:color w:val="374151"/>
          <w:shd w:val="clear" w:color="auto" w:fill="F7F7F8"/>
        </w:rPr>
        <w:lastRenderedPageBreak/>
        <w:t>ping requests can help you assess the network connectivity between the two sites. You can use similar ping commands for other servers in the secondary site to test their connectivity from the primary site.</w:t>
      </w:r>
    </w:p>
    <w:sectPr w:rsidR="00394727" w:rsidRPr="00394727" w:rsidSect="00D24E1B">
      <w:pgSz w:w="15840" w:h="12240" w:orient="landscape"/>
      <w:pgMar w:top="1440" w:right="1440" w:bottom="1440" w:left="144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830B" w14:textId="77777777" w:rsidR="00F07A1B" w:rsidRDefault="00F07A1B" w:rsidP="00D24E1B">
      <w:pPr>
        <w:spacing w:after="0" w:line="240" w:lineRule="auto"/>
      </w:pPr>
      <w:r>
        <w:separator/>
      </w:r>
    </w:p>
  </w:endnote>
  <w:endnote w:type="continuationSeparator" w:id="0">
    <w:p w14:paraId="24EE5AE1" w14:textId="77777777" w:rsidR="00F07A1B" w:rsidRDefault="00F07A1B" w:rsidP="00D2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CFE57" w14:textId="77777777" w:rsidR="00F07A1B" w:rsidRDefault="00F07A1B" w:rsidP="00D24E1B">
      <w:pPr>
        <w:spacing w:after="0" w:line="240" w:lineRule="auto"/>
      </w:pPr>
      <w:r>
        <w:separator/>
      </w:r>
    </w:p>
  </w:footnote>
  <w:footnote w:type="continuationSeparator" w:id="0">
    <w:p w14:paraId="2CD35B17" w14:textId="77777777" w:rsidR="00F07A1B" w:rsidRDefault="00F07A1B" w:rsidP="00D2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BD9"/>
    <w:multiLevelType w:val="hybridMultilevel"/>
    <w:tmpl w:val="F2E8736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9D22E6"/>
    <w:multiLevelType w:val="multilevel"/>
    <w:tmpl w:val="0C7EB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656F2"/>
    <w:multiLevelType w:val="multilevel"/>
    <w:tmpl w:val="2D961B9C"/>
    <w:lvl w:ilvl="0">
      <w:start w:val="1"/>
      <w:numFmt w:val="bullet"/>
      <w:lvlText w:val=""/>
      <w:lvlJc w:val="left"/>
      <w:pPr>
        <w:tabs>
          <w:tab w:val="num" w:pos="540"/>
        </w:tabs>
        <w:ind w:left="540" w:hanging="360"/>
      </w:pPr>
      <w:rPr>
        <w:rFonts w:ascii="Wingdings" w:hAnsi="Wingdings" w:hint="default"/>
        <w:color w:val="70AD47" w:themeColor="accent6"/>
        <w:sz w:val="28"/>
        <w:szCs w:val="28"/>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517B1391"/>
    <w:multiLevelType w:val="multilevel"/>
    <w:tmpl w:val="982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265438">
    <w:abstractNumId w:val="1"/>
  </w:num>
  <w:num w:numId="2" w16cid:durableId="1099446625">
    <w:abstractNumId w:val="2"/>
  </w:num>
  <w:num w:numId="3" w16cid:durableId="1439593626">
    <w:abstractNumId w:val="0"/>
  </w:num>
  <w:num w:numId="4" w16cid:durableId="1254435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7B"/>
    <w:rsid w:val="00394727"/>
    <w:rsid w:val="005C5A7B"/>
    <w:rsid w:val="00896B35"/>
    <w:rsid w:val="008A2F7B"/>
    <w:rsid w:val="008E2962"/>
    <w:rsid w:val="009E22CF"/>
    <w:rsid w:val="00A50707"/>
    <w:rsid w:val="00D24E1B"/>
    <w:rsid w:val="00E570F5"/>
    <w:rsid w:val="00F0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33A3"/>
  <w15:chartTrackingRefBased/>
  <w15:docId w15:val="{B1DE55E7-716C-4C34-A2F0-ADD23DE2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4E1B"/>
    <w:rPr>
      <w:b/>
      <w:bCs/>
    </w:rPr>
  </w:style>
  <w:style w:type="paragraph" w:styleId="Header">
    <w:name w:val="header"/>
    <w:basedOn w:val="Normal"/>
    <w:link w:val="HeaderChar"/>
    <w:uiPriority w:val="99"/>
    <w:unhideWhenUsed/>
    <w:rsid w:val="00D24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E1B"/>
  </w:style>
  <w:style w:type="paragraph" w:styleId="Footer">
    <w:name w:val="footer"/>
    <w:basedOn w:val="Normal"/>
    <w:link w:val="FooterChar"/>
    <w:uiPriority w:val="99"/>
    <w:unhideWhenUsed/>
    <w:rsid w:val="00D24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52889">
      <w:bodyDiv w:val="1"/>
      <w:marLeft w:val="0"/>
      <w:marRight w:val="0"/>
      <w:marTop w:val="0"/>
      <w:marBottom w:val="0"/>
      <w:divBdr>
        <w:top w:val="none" w:sz="0" w:space="0" w:color="auto"/>
        <w:left w:val="none" w:sz="0" w:space="0" w:color="auto"/>
        <w:bottom w:val="none" w:sz="0" w:space="0" w:color="auto"/>
        <w:right w:val="none" w:sz="0" w:space="0" w:color="auto"/>
      </w:divBdr>
    </w:div>
    <w:div w:id="1186291921">
      <w:bodyDiv w:val="1"/>
      <w:marLeft w:val="0"/>
      <w:marRight w:val="0"/>
      <w:marTop w:val="0"/>
      <w:marBottom w:val="0"/>
      <w:divBdr>
        <w:top w:val="none" w:sz="0" w:space="0" w:color="auto"/>
        <w:left w:val="none" w:sz="0" w:space="0" w:color="auto"/>
        <w:bottom w:val="none" w:sz="0" w:space="0" w:color="auto"/>
        <w:right w:val="none" w:sz="0" w:space="0" w:color="auto"/>
      </w:divBdr>
    </w:div>
    <w:div w:id="19872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dc:creator>
  <cp:keywords/>
  <dc:description/>
  <cp:lastModifiedBy>BHARATHI</cp:lastModifiedBy>
  <cp:revision>2</cp:revision>
  <dcterms:created xsi:type="dcterms:W3CDTF">2023-11-02T06:09:00Z</dcterms:created>
  <dcterms:modified xsi:type="dcterms:W3CDTF">2023-11-02T06:34:00Z</dcterms:modified>
</cp:coreProperties>
</file>