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Project management changelog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Version history for the PRD, the product backlog and the execution tracker. Newest first. Each entry records what changed and why.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Artifacts are versioned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together</w:t>
      </w:r>
      <w:r>
        <w:rPr>
          <w:rFonts w:ascii="Helvetica" w:hAnsi="Helvetica" w:cs="Helvetica"/>
          <w:sz w:val="29"/>
          <w:sz-cs w:val="29"/>
          <w:spacing w:val="0"/>
        </w:rPr>
        <w:t xml:space="preserve"> under one release number, so a given version of the PRD always corresponds to a known state of the backlog.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v1.1 — 2026-08-29 — Phase 1 delivered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Phase 1 (Manual Ingestion + Application Management) built, validated against a live Supabase database, and pushed.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PRD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§9.1</w:t>
      </w:r>
      <w:r>
        <w:rPr>
          <w:rFonts w:ascii="Helvetica" w:hAnsi="Helvetica" w:cs="Helvetica"/>
          <w:sz w:val="29"/>
          <w:sz-cs w:val="29"/>
          <w:spacing w:val="0"/>
        </w:rPr>
        <w:t xml:space="preserve"> Application status model. Three source documents disagreed on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naming and on whether </w:t>
      </w:r>
      <w:r>
        <w:rPr>
          <w:rFonts w:ascii="Menlo" w:hAnsi="Menlo" w:cs="Menlo"/>
          <w:sz w:val="25"/>
          <w:sz-cs w:val="25"/>
          <w:spacing w:val="0"/>
        </w:rPr>
        <w:t xml:space="preserve">Offer</w:t>
      </w:r>
      <w:r>
        <w:rPr>
          <w:rFonts w:ascii="Helvetica" w:hAnsi="Helvetica" w:cs="Helvetica"/>
          <w:sz w:val="29"/>
          <w:sz-cs w:val="29"/>
          <w:spacing w:val="0"/>
        </w:rPr>
        <w:t xml:space="preserve"> exists. Resolved to the design-document naming with </w:t>
      </w:r>
      <w:r>
        <w:rPr>
          <w:rFonts w:ascii="Menlo" w:hAnsi="Menlo" w:cs="Menlo"/>
          <w:sz w:val="25"/>
          <w:sz-cs w:val="25"/>
          <w:spacing w:val="0"/>
        </w:rPr>
        <w:t xml:space="preserve">Offer</w:t>
      </w:r>
      <w:r>
        <w:rPr>
          <w:rFonts w:ascii="Helvetica" w:hAnsi="Helvetica" w:cs="Helvetica"/>
          <w:sz w:val="29"/>
          <w:sz-cs w:val="29"/>
          <w:spacing w:val="0"/>
        </w:rPr>
        <w:t xml:space="preserve"> restored, because Conversion Rate has no terminal success state without it.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§9.2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Menlo" w:hAnsi="Menlo" w:cs="Menlo"/>
          <w:sz w:val="25"/>
          <w:sz-cs w:val="25"/>
          <w:spacing w:val="0"/>
        </w:rPr>
        <w:t xml:space="preserve">Deemed Pending</w:t>
      </w:r>
      <w:r>
        <w:rPr>
          <w:rFonts w:ascii="Helvetica" w:hAnsi="Helvetica" w:cs="Helvetica"/>
          <w:sz w:val="29"/>
          <w:sz-cs w:val="29"/>
          <w:spacing w:val="0"/>
        </w:rPr>
        <w:t xml:space="preserve"> is derived, never stored. Prevents the future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Ghost Rate from inheriting forgotten status updates.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§9.3</w:t>
      </w:r>
      <w:r>
        <w:rPr>
          <w:rFonts w:ascii="Helvetica" w:hAnsi="Helvetica" w:cs="Helvetica"/>
          <w:sz w:val="29"/>
          <w:sz-cs w:val="29"/>
          <w:spacing w:val="0"/>
        </w:rPr>
        <w:t xml:space="preserve"> Job-to-application creation rule, distinguishing MVP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(auto-create, since uploads are pre-filtered externally) from Phase 2 (create on passing pre-qualification).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§9.4</w:t>
      </w:r>
      <w:r>
        <w:rPr>
          <w:rFonts w:ascii="Helvetica" w:hAnsi="Helvetica" w:cs="Helvetica"/>
          <w:sz w:val="29"/>
          <w:sz-cs w:val="29"/>
          <w:spacing w:val="0"/>
        </w:rPr>
        <w:t xml:space="preserve"> AI execution mechanism, with the correction that **Claude Pro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does not include API access**. Four mechanisms assessed; local Claude Code worker chosen. Indicative metered cost recorded for the alternative.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§9.5</w:t>
      </w:r>
      <w:r>
        <w:rPr>
          <w:rFonts w:ascii="Helvetica" w:hAnsi="Helvetica" w:cs="Helvetica"/>
          <w:sz w:val="29"/>
          <w:sz-cs w:val="29"/>
          <w:spacing w:val="0"/>
        </w:rPr>
        <w:t xml:space="preserve"> Per-task model selection — Sonnet 5 for scoring, Opus 5 for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CV and cover letter, both at high effort.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§9.6</w:t>
      </w:r>
      <w:r>
        <w:rPr>
          <w:rFonts w:ascii="Helvetica" w:hAnsi="Helvetica" w:cs="Helvetica"/>
          <w:sz w:val="29"/>
          <w:sz-cs w:val="29"/>
          <w:spacing w:val="0"/>
        </w:rPr>
        <w:t xml:space="preserve"> Hosting and access control — Vercel with a single-password gate;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all database access server-side through Drizzle.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§10</w:t>
      </w:r>
      <w:r>
        <w:rPr>
          <w:rFonts w:ascii="Helvetica" w:hAnsi="Helvetica" w:cs="Helvetica"/>
          <w:sz w:val="29"/>
          <w:sz-cs w:val="29"/>
          <w:spacing w:val="0"/>
        </w:rPr>
        <w:t xml:space="preserve"> Data model. Six tables rather than the four originally scoped;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document storage and an AI queue were required by P0 items.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§11</w:t>
      </w:r>
      <w:r>
        <w:rPr>
          <w:rFonts w:ascii="Helvetica" w:hAnsi="Helvetica" w:cs="Helvetica"/>
          <w:sz w:val="29"/>
          <w:sz-cs w:val="29"/>
          <w:spacing w:val="0"/>
        </w:rPr>
        <w:t xml:space="preserve"> Five open conflicts (C1–C5), recorded rather than reconciled.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Added §12</w:t>
      </w:r>
      <w:r>
        <w:rPr>
          <w:rFonts w:ascii="Helvetica" w:hAnsi="Helvetica" w:cs="Helvetica"/>
          <w:sz w:val="29"/>
          <w:sz-cs w:val="29"/>
          <w:spacing w:val="0"/>
        </w:rPr>
        <w:t xml:space="preserve"> Phase boundaries.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Clarified §3 and §4</w:t>
      </w:r>
      <w:r>
        <w:rPr>
          <w:rFonts w:ascii="Helvetica" w:hAnsi="Helvetica" w:cs="Helvetica"/>
          <w:sz w:val="29"/>
          <w:sz-cs w:val="29"/>
          <w:spacing w:val="0"/>
        </w:rPr>
        <w:t xml:space="preserve"> that the existing Claude workflows are project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instructions, not executable Skills, and must be exported to </w:t>
      </w:r>
      <w:r>
        <w:rPr>
          <w:rFonts w:ascii="Menlo" w:hAnsi="Menlo" w:cs="Menlo"/>
          <w:sz w:val="25"/>
          <w:sz-cs w:val="25"/>
          <w:spacing w:val="0"/>
        </w:rPr>
        <w:t xml:space="preserve">/prompts/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Product backlog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Added </w:t>
      </w:r>
      <w:r>
        <w:rPr>
          <w:rFonts w:ascii="Menlo" w:hAnsi="Menlo" w:cs="Menlo"/>
          <w:sz w:val="25"/>
          <w:sz-cs w:val="25"/>
          <w:spacing w:val="0"/>
        </w:rPr>
        <w:t xml:space="preserve">Phase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5"/>
          <w:sz-cs w:val="25"/>
          <w:spacing w:val="0"/>
        </w:rPr>
        <w:t xml:space="preserve">Status</w:t>
      </w:r>
      <w:r>
        <w:rPr>
          <w:rFonts w:ascii="Helvetica" w:hAnsi="Helvetica" w:cs="Helvetica"/>
          <w:sz w:val="29"/>
          <w:sz-cs w:val="29"/>
          <w:spacing w:val="0"/>
        </w:rPr>
        <w:t xml:space="preserve"> and </w:t>
      </w:r>
      <w:r>
        <w:rPr>
          <w:rFonts w:ascii="Menlo" w:hAnsi="Menlo" w:cs="Menlo"/>
          <w:sz w:val="25"/>
          <w:sz-cs w:val="25"/>
          <w:spacing w:val="0"/>
        </w:rPr>
        <w:t xml:space="preserve">Notes</w:t>
      </w:r>
      <w:r>
        <w:rPr>
          <w:rFonts w:ascii="Helvetica" w:hAnsi="Helvetica" w:cs="Helvetica"/>
          <w:sz w:val="29"/>
          <w:sz-cs w:val="29"/>
          <w:spacing w:val="0"/>
        </w:rPr>
        <w:t xml:space="preserve"> columns to all 124 items.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33 items → Completed.</w:t>
      </w:r>
      <w:r>
        <w:rPr>
          <w:rFonts w:ascii="Helvetica" w:hAnsi="Helvetica" w:cs="Helvetica"/>
          <w:sz w:val="29"/>
          <w:sz-cs w:val="29"/>
          <w:spacing w:val="0"/>
        </w:rPr>
        <w:t xml:space="preserve"> JSV2S1007–1009, 1031–1034, 1036, 1039, 1041,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1047–1048, 1061, 1074–1088, 1094–1098.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5 items → Deferred.</w:t>
      </w:r>
      <w:r>
        <w:rPr>
          <w:rFonts w:ascii="Helvetica" w:hAnsi="Helvetica" w:cs="Helvetica"/>
          <w:sz w:val="29"/>
          <w:sz-cs w:val="29"/>
          <w:spacing w:val="0"/>
        </w:rPr>
        <w:t xml:space="preserve"> JSV2S1089–1093 (outreach), pending C4.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Remaining 86 assigned to Phase 2 or Phase 3.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Recorded that several Phase 2 items already have their foundations in place —</w:t>
      </w:r>
    </w:p>
    <w:p>
      <w:pPr>
        <w:spacing w:after="213"/>
      </w:pPr>
      <w:r>
        <w:rPr>
          <w:rFonts w:ascii="Menlo" w:hAnsi="Menlo" w:cs="Menlo"/>
          <w:sz w:val="25"/>
          <w:sz-cs w:val="25"/>
          <w:spacing w:val="0"/>
        </w:rPr>
        <w:t xml:space="preserve">raw_jobs</w:t>
      </w:r>
      <w:r>
        <w:rPr>
          <w:rFonts w:ascii="Helvetica" w:hAnsi="Helvetica" w:cs="Helvetica"/>
          <w:sz w:val="29"/>
          <w:sz-cs w:val="29"/>
          <w:spacing w:val="0"/>
        </w:rPr>
        <w:t xml:space="preserve"> columns for LinkedIn extraction, retry behaviour in </w:t>
      </w:r>
      <w:r>
        <w:rPr>
          <w:rFonts w:ascii="Menlo" w:hAnsi="Menlo" w:cs="Menlo"/>
          <w:sz w:val="25"/>
          <w:sz-cs w:val="25"/>
          <w:spacing w:val="0"/>
        </w:rPr>
        <w:t xml:space="preserve">ai_jobs</w:t>
      </w:r>
      <w:r>
        <w:rPr>
          <w:rFonts w:ascii="Helvetica" w:hAnsi="Helvetica" w:cs="Helvetica"/>
          <w:sz w:val="29"/>
          <w:sz-cs w:val="29"/>
          <w:spacing w:val="0"/>
        </w:rPr>
        <w:t xml:space="preserve">, row-level failure isolation from the upload path.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Execution tracker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Created. 56 subtasks against Phase 1 product items, typed and status-tracked.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51 Completed, 3 Blocked (all needing user action), 2 Not Started (Vercel deploy).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Notable corrections during the build</w:t>
      </w:r>
    </w:p>
    <w:p>
      <w:pPr>
        <w:ind w:left="720" w:first-line="-720"/>
        <w:spacing w:after="80"/>
      </w:pPr>
      <w:r>
        <w:rPr>
          <w:rFonts w:ascii="Menlo" w:hAnsi="Menlo" w:cs="Menlo"/>
          <w:sz w:val="25"/>
          <w:sz-cs w:val="25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</w:rPr>
        <w:t xml:space="preserve">getEnv</w:t>
      </w:r>
      <w:r>
        <w:rPr>
          <w:rFonts w:ascii="Helvetica" w:hAnsi="Helvetica" w:cs="Helvetica"/>
          <w:sz w:val="29"/>
          <w:sz-cs w:val="29"/>
          <w:spacing w:val="0"/>
        </w:rPr>
        <w:t xml:space="preserve"> treated an empty environment value as present-but-invalid rather than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unset, so a fresh checkout following the README failed at startup. Caught by the new integration suite.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Switched from </w:t>
      </w:r>
      <w:r>
        <w:rPr>
          <w:rFonts w:ascii="Menlo" w:hAnsi="Menlo" w:cs="Menlo"/>
          <w:sz w:val="25"/>
          <w:sz-cs w:val="25"/>
          <w:spacing w:val="0"/>
        </w:rPr>
        <w:t xml:space="preserve">drizzle-kit push</w:t>
      </w:r>
      <w:r>
        <w:rPr>
          <w:rFonts w:ascii="Helvetica" w:hAnsi="Helvetica" w:cs="Helvetica"/>
          <w:sz w:val="29"/>
          <w:sz-cs w:val="29"/>
          <w:spacing w:val="0"/>
        </w:rPr>
        <w:t xml:space="preserve"> to </w:t>
      </w:r>
      <w:r>
        <w:rPr>
          <w:rFonts w:ascii="Menlo" w:hAnsi="Menlo" w:cs="Menlo"/>
          <w:sz w:val="25"/>
          <w:sz-cs w:val="25"/>
          <w:spacing w:val="0"/>
        </w:rPr>
        <w:t xml:space="preserve">drizzle-kit migrate</w:t>
      </w:r>
      <w:r>
        <w:rPr>
          <w:rFonts w:ascii="Helvetica" w:hAnsi="Helvetica" w:cs="Helvetica"/>
          <w:sz w:val="29"/>
          <w:sz-cs w:val="29"/>
          <w:spacing w:val="0"/>
        </w:rPr>
        <w:t xml:space="preserve">. The committed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migration is versioned and reproducible; </w:t>
      </w:r>
      <w:r>
        <w:rPr>
          <w:rFonts w:ascii="Menlo" w:hAnsi="Menlo" w:cs="Menlo"/>
          <w:sz w:val="25"/>
          <w:sz-cs w:val="25"/>
          <w:spacing w:val="0"/>
        </w:rPr>
        <w:t xml:space="preserve">push</w:t>
      </w:r>
      <w:r>
        <w:rPr>
          <w:rFonts w:ascii="Helvetica" w:hAnsi="Helvetica" w:cs="Helvetica"/>
          <w:sz w:val="29"/>
          <w:sz-cs w:val="29"/>
          <w:spacing w:val="0"/>
        </w:rPr>
        <w:t xml:space="preserve"> also requires an interactive terminal.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Documented three Supabase setup facts learned the hard way: the connection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string moved to the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Connect</w:t>
      </w:r>
      <w:r>
        <w:rPr>
          <w:rFonts w:ascii="Helvetica" w:hAnsi="Helvetica" w:cs="Helvetica"/>
          <w:sz w:val="29"/>
          <w:sz-cs w:val="29"/>
          <w:spacing w:val="0"/>
        </w:rPr>
        <w:t xml:space="preserve"> button; </w:t>
      </w:r>
      <w:r>
        <w:rPr>
          <w:rFonts w:ascii="Menlo" w:hAnsi="Menlo" w:cs="Menlo"/>
          <w:sz w:val="25"/>
          <w:sz-cs w:val="25"/>
          <w:spacing w:val="0"/>
        </w:rPr>
        <w:t xml:space="preserve">DIRECT_URL</w:t>
      </w:r>
      <w:r>
        <w:rPr>
          <w:rFonts w:ascii="Helvetica" w:hAnsi="Helvetica" w:cs="Helvetica"/>
          <w:sz w:val="29"/>
          <w:sz-cs w:val="29"/>
          <w:spacing w:val="0"/>
        </w:rPr>
        <w:t xml:space="preserve"> should use the session pooler because the direct host is IPv6-only on new free projects; and a password containing </w:t>
      </w:r>
      <w:r>
        <w:rPr>
          <w:rFonts w:ascii="Menlo" w:hAnsi="Menlo" w:cs="Menlo"/>
          <w:sz w:val="25"/>
          <w:sz-cs w:val="25"/>
          <w:spacing w:val="0"/>
        </w:rPr>
        <w:t xml:space="preserve">%</w:t>
      </w:r>
      <w:r>
        <w:rPr>
          <w:rFonts w:ascii="Helvetica" w:hAnsi="Helvetica" w:cs="Helvetica"/>
          <w:sz w:val="29"/>
          <w:sz-cs w:val="29"/>
          <w:spacing w:val="0"/>
        </w:rPr>
        <w:t xml:space="preserve"> must be percent-encoded or the driver fails with a bare </w:t>
      </w:r>
      <w:r>
        <w:rPr>
          <w:rFonts w:ascii="Menlo" w:hAnsi="Menlo" w:cs="Menlo"/>
          <w:sz w:val="25"/>
          <w:sz-cs w:val="25"/>
          <w:spacing w:val="0"/>
        </w:rPr>
        <w:t xml:space="preserve">URIError: URI malformed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v1.0 — 2026-08 — Baseline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PRD as originally written: vision, principles, subscriptions, journey so far,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journey ahead, high-level user flow, tech and infra architecture, project structure, module architecture.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Product backlog as originally written: 124 items, JSV2S1001–JSV2S1124, with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Layer, Module, Epic, Story, Task and Description. Priority set to P0 on the 23 Application Management items; blank elsewhere. No status tracking.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Application Management and Application Analytics design documents.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 execution tracker.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