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i w:val="0"/>
          <w:color w:val="111827"/>
          <w:sz w:val="34"/>
        </w:rPr>
        <w:t>BHARATH MYSORE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4B5563"/>
          <w:sz w:val="18"/>
        </w:rPr>
        <w:t>Bothell, WA | +1 (425) 503-6839 | bharathkumarmn@hotmail.com</w:t>
      </w:r>
    </w:p>
    <w:p>
      <w:pPr>
        <w:spacing w:after="100"/>
        <w:jc w:val="center"/>
      </w:pPr>
      <w:r>
        <w:rPr>
          <w:rFonts w:ascii="Arial" w:hAnsi="Arial"/>
          <w:b/>
          <w:i w:val="0"/>
          <w:color w:val="111827"/>
          <w:sz w:val="18"/>
        </w:rPr>
        <w:t>Target Role: NVIDIA Storage Services Software Engineer - Block and File Storage</w:t>
      </w:r>
    </w:p>
    <w:p>
      <w:pPr>
        <w:spacing w:before="120" w:after="40"/>
        <w:keepNext/>
        <w:pBdr>
          <w:bottom w:val="single" w:sz="5" w:space="4" w:color="9CA3AF"/>
        </w:pBdr>
      </w:pPr>
      <w:r>
        <w:rPr>
          <w:rFonts w:ascii="Arial" w:hAnsi="Arial"/>
          <w:b/>
          <w:i w:val="0"/>
          <w:color w:val="111827"/>
          <w:sz w:val="19"/>
        </w:rPr>
        <w:t>PROFILE</w:t>
      </w:r>
    </w:p>
    <w:p>
      <w:pPr>
        <w:spacing w:after="40" w:line="247" w:lineRule="auto"/>
      </w:pPr>
      <w:r>
        <w:rPr>
          <w:rFonts w:ascii="Arial" w:hAnsi="Arial"/>
          <w:b w:val="0"/>
          <w:i w:val="0"/>
          <w:color w:val="111827"/>
          <w:sz w:val="18"/>
        </w:rPr>
        <w:t>Hands-on storage and systems software engineer with 20+ years across cloud object, block, and file storage; distributed storage services; high-performance I/O; Linux and Windows kernel paths; device drivers; RDMA; iSCSI; NVMe device bring-up; and production root-cause debugging. At Oracle Cloud Infrastructure, set architecture and execution direction for a unified storage platform and shared replication layer while personally delivering C++ storage data-path work across erasure coding, custom SSD/HDD filesystems, snapshots, checkpoints, failover, recovery, and operational automation.</w:t>
      </w:r>
    </w:p>
    <w:p>
      <w:pPr>
        <w:spacing w:before="120" w:after="40"/>
        <w:keepNext/>
        <w:pBdr>
          <w:bottom w:val="single" w:sz="5" w:space="4" w:color="9CA3AF"/>
        </w:pBdr>
      </w:pPr>
      <w:r>
        <w:rPr>
          <w:rFonts w:ascii="Arial" w:hAnsi="Arial"/>
          <w:b/>
          <w:i w:val="0"/>
          <w:color w:val="111827"/>
          <w:sz w:val="19"/>
        </w:rPr>
        <w:t>NVIDIA-ALIGNED TECHNICAL STRENGTHS</w:t>
      </w:r>
    </w:p>
    <w:p>
      <w:pPr>
        <w:spacing w:after="40" w:line="247" w:lineRule="auto"/>
      </w:pPr>
      <w:r>
        <w:rPr>
          <w:rFonts w:ascii="Arial" w:hAnsi="Arial"/>
          <w:b w:val="0"/>
          <w:i w:val="0"/>
          <w:color w:val="111827"/>
          <w:sz w:val="18"/>
        </w:rPr>
        <w:t>Storage and distributed systems: block storage, file storage, object storage, replication, snapshots, checkpoints, write ordering, erasure coding, quorum leader election, custom SSD/HDD filesystems, archival, backup, disaster recovery, failover, recovery, fault containment, capacity efficiency.</w:t>
      </w:r>
    </w:p>
    <w:p>
      <w:pPr>
        <w:spacing w:after="40" w:line="247" w:lineRule="auto"/>
      </w:pPr>
      <w:r>
        <w:rPr>
          <w:rFonts w:ascii="Arial" w:hAnsi="Arial"/>
          <w:b w:val="0"/>
          <w:i w:val="0"/>
          <w:color w:val="111827"/>
          <w:sz w:val="18"/>
        </w:rPr>
        <w:t>Systems code and I/O: C/C++, Folly fiber asynchronous concurrency, SPDK, io_uring, Linux kernel I/O, Linux kernel programming, kernel-mode drivers, NVMe device bring-up, RDMA, iSCSI, gdb, Valgrind, network-card management software.</w:t>
      </w:r>
    </w:p>
    <w:p>
      <w:pPr>
        <w:spacing w:after="40" w:line="247" w:lineRule="auto"/>
      </w:pPr>
      <w:r>
        <w:rPr>
          <w:rFonts w:ascii="Arial" w:hAnsi="Arial"/>
          <w:b w:val="0"/>
          <w:i w:val="0"/>
          <w:color w:val="111827"/>
          <w:sz w:val="18"/>
        </w:rPr>
        <w:t>Production operations: customer-facing kernel dump analysis, filesystem and disk root cause, reverse engineering, code review, corruption detection, recovery metrics, failed-disk automation, host-failure automation, automated qualification, deployment, and region buildout.</w:t>
      </w:r>
    </w:p>
    <w:p>
      <w:pPr>
        <w:spacing w:after="40" w:line="247" w:lineRule="auto"/>
      </w:pPr>
      <w:r>
        <w:rPr>
          <w:rFonts w:ascii="Arial" w:hAnsi="Arial"/>
          <w:b w:val="0"/>
          <w:i w:val="0"/>
          <w:color w:val="111827"/>
          <w:sz w:val="18"/>
        </w:rPr>
        <w:t>Platform collaboration: cross-team architecture with Block Storage, Object Storage, Networking, Product Management, vendors, storage architects, and operations; hands-on implementation with ownership from ambiguous V1 or migration through production maintenance.</w:t>
      </w:r>
    </w:p>
    <w:p>
      <w:pPr>
        <w:spacing w:before="120" w:after="40"/>
        <w:keepNext/>
        <w:pBdr>
          <w:bottom w:val="single" w:sz="5" w:space="4" w:color="9CA3AF"/>
        </w:pBdr>
      </w:pPr>
      <w:r>
        <w:rPr>
          <w:rFonts w:ascii="Arial" w:hAnsi="Arial"/>
          <w:b/>
          <w:i w:val="0"/>
          <w:color w:val="111827"/>
          <w:sz w:val="19"/>
        </w:rPr>
        <w:t>PROFESSIONAL EXPERIENCE</w:t>
      </w:r>
    </w:p>
    <w:p>
      <w:pPr>
        <w:spacing w:before="80" w:after="20"/>
        <w:keepNext/>
      </w:pPr>
      <w:r>
        <w:rPr>
          <w:rFonts w:ascii="Arial" w:hAnsi="Arial"/>
          <w:b/>
          <w:i w:val="0"/>
          <w:color w:val="111827"/>
          <w:sz w:val="19"/>
        </w:rPr>
        <w:t>Oracle Corporation</w:t>
      </w:r>
      <w:r>
        <w:rPr>
          <w:rFonts w:ascii="Arial" w:hAnsi="Arial"/>
          <w:b w:val="0"/>
          <w:i w:val="0"/>
          <w:color w:val="4B5563"/>
          <w:sz w:val="18"/>
        </w:rPr>
        <w:t xml:space="preserve"> | Jun 2016 - Present</w:t>
      </w:r>
      <w:r>
        <w:br/>
      </w:r>
      <w:r>
        <w:rPr>
          <w:rFonts w:ascii="Arial" w:hAnsi="Arial"/>
          <w:b w:val="0"/>
          <w:i/>
          <w:color w:val="4B5563"/>
          <w:sz w:val="18"/>
        </w:rPr>
        <w:t>Cloud Storage Platforms - Unified Storage, Object Storage, and Block Storage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Set architecture and execution direction for a unified storage platform serving object, block, and file workloads, including a replication layer shared across storage services.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Designed and implemented production C++ erasure coding for Unified Storage Pool, including quorum-based leader election and writes to a custom SSD/HDD filesystem.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Drove Block Storage bring-up on the new unified stack and migration from the legacy stack, aligning data-plane, control-plane, replication, and cross-service dependencies.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Built asynchronous cross-region replication for block volumes and volume groups with snapshots/checkpoints, write ordering, failover, and recovery across OCI Block Storage.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Developed fully asynchronous erasure-coded and mirrored-replication paths using Folly fibers; integrated SPDK and io_uring for SSD/NVMe devices and Linux kernel I/O paths for HDD-backed object storage.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Scaled Block Storage backup and access paths by introducing multi-process iSCSI serving and re-architecting networking to reduce hops and increase attached-volume scale.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Improved service resilience through feature, volume, and device fault containment; designed fault-injection direction for storage-server components and implemented checkpoint/restart recovery, corruption detection, recovery metrics, and automated disk/host handling.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Designed and drove a deep archival proof of concept with a vendor, Product Management, and Storage leadership to establish feasibility, architecture, and execution path.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Delivered measurable capacity efficiency: cold-data compression reclaimed 20-30% of space, trimmed-block reclamation addressed 6-7% of unreferenced data, and idle-volume optimization produced U.S. Patent 11,412,043.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Drove CI/CD automation for qualification and deployment, including touchless region buildout, turning recurring operational work into repeatable platform capabilities.</w:t>
      </w:r>
    </w:p>
    <w:p>
      <w:pPr>
        <w:spacing w:before="80" w:after="20"/>
        <w:keepNext/>
      </w:pPr>
      <w:r>
        <w:rPr>
          <w:rFonts w:ascii="Arial" w:hAnsi="Arial"/>
          <w:b/>
          <w:i w:val="0"/>
          <w:color w:val="111827"/>
          <w:sz w:val="19"/>
        </w:rPr>
        <w:t>Microsoft Corporation</w:t>
      </w:r>
      <w:r>
        <w:rPr>
          <w:rFonts w:ascii="Arial" w:hAnsi="Arial"/>
          <w:b w:val="0"/>
          <w:i w:val="0"/>
          <w:color w:val="4B5563"/>
          <w:sz w:val="18"/>
        </w:rPr>
        <w:t xml:space="preserve"> | Sep 2005 - May 2016</w:t>
      </w:r>
      <w:r>
        <w:br/>
      </w:r>
      <w:r>
        <w:rPr>
          <w:rFonts w:ascii="Arial" w:hAnsi="Arial"/>
          <w:b w:val="0"/>
          <w:i/>
          <w:color w:val="4B5563"/>
          <w:sz w:val="18"/>
        </w:rPr>
        <w:t>Azure Storage, Windows Kernel/File Systems, Developer Tools, and Hardware Platforms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Designed and implemented an RDMA library for proof-of-concept Azure Storage backend infrastructure, applying low-latency transport behavior to cloud storage backend design.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Served as a Windows OS, filesystem, disk, and cluster subject-matter expert, leading kernel-dump analysis, root-cause investigation, reverse engineering, code reviews, and customer issue resolution.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Led Visual Studio Cluster Debugger for HPC/MPI, Parallel Debugger for concurrency, and GPU Debugger for CUDA, OpenGL, and DirectX; built reusable engine and UI test libraries and led local and remote teams.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Developed hardware-verification drivers and tools for Surface Hub and Kinect; owned HoloLens depth-camera functionality from prototype through public announcement; built graphics-emulation and frame-capture tooling for Xbox.</w:t>
      </w:r>
    </w:p>
    <w:p>
      <w:pPr>
        <w:spacing w:before="80" w:after="20"/>
        <w:keepNext/>
      </w:pPr>
      <w:r>
        <w:rPr>
          <w:rFonts w:ascii="Arial" w:hAnsi="Arial"/>
          <w:b/>
          <w:i w:val="0"/>
          <w:color w:val="111827"/>
          <w:sz w:val="19"/>
        </w:rPr>
        <w:t>Intel Technology India Private Limited</w:t>
      </w:r>
      <w:r>
        <w:rPr>
          <w:rFonts w:ascii="Arial" w:hAnsi="Arial"/>
          <w:b w:val="0"/>
          <w:i w:val="0"/>
          <w:color w:val="4B5563"/>
          <w:sz w:val="18"/>
        </w:rPr>
        <w:t xml:space="preserve"> | Mar 2002 - Sep 2005</w:t>
      </w:r>
      <w:r>
        <w:br/>
      </w:r>
      <w:r>
        <w:rPr>
          <w:rFonts w:ascii="Arial" w:hAnsi="Arial"/>
          <w:b w:val="0"/>
          <w:i/>
          <w:color w:val="4B5563"/>
          <w:sz w:val="18"/>
        </w:rPr>
        <w:t>Systems Software and Hardware Validation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Designed validation tools for CPU cores and cache/memory subsystems, including Linux kernel programming and drivers for test cards and chipsets.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Debugged hardware and operating-system failures, drove issues to closure, wrote targeted patches where needed, and built network-card management, configuration, and manageability software for Windows and Linux.</w:t>
      </w:r>
    </w:p>
    <w:p>
      <w:pPr>
        <w:spacing w:before="80" w:after="20"/>
        <w:keepNext/>
      </w:pPr>
      <w:r>
        <w:rPr>
          <w:rFonts w:ascii="Arial" w:hAnsi="Arial"/>
          <w:b/>
          <w:i w:val="0"/>
          <w:color w:val="111827"/>
          <w:sz w:val="19"/>
        </w:rPr>
        <w:t>Infineon Technologies</w:t>
      </w:r>
      <w:r>
        <w:rPr>
          <w:rFonts w:ascii="Arial" w:hAnsi="Arial"/>
          <w:b w:val="0"/>
          <w:i w:val="0"/>
          <w:color w:val="4B5563"/>
          <w:sz w:val="18"/>
        </w:rPr>
        <w:t xml:space="preserve"> | Mar 2000 - Mar 2002</w:t>
      </w:r>
      <w:r>
        <w:br/>
      </w:r>
      <w:r>
        <w:rPr>
          <w:rFonts w:ascii="Arial" w:hAnsi="Arial"/>
          <w:b w:val="0"/>
          <w:i/>
          <w:color w:val="4B5563"/>
          <w:sz w:val="18"/>
        </w:rPr>
        <w:t>Systems Software Engineer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Developed software to configure, monitor, and control telephone-exchange cards at the hardware and telecommunications interface.</w:t>
      </w:r>
    </w:p>
    <w:p>
      <w:pPr>
        <w:spacing w:before="120" w:after="40"/>
        <w:keepNext/>
        <w:pBdr>
          <w:bottom w:val="single" w:sz="5" w:space="4" w:color="9CA3AF"/>
        </w:pBdr>
      </w:pPr>
      <w:r>
        <w:rPr>
          <w:rFonts w:ascii="Arial" w:hAnsi="Arial"/>
          <w:b/>
          <w:i w:val="0"/>
          <w:color w:val="111827"/>
          <w:sz w:val="19"/>
        </w:rPr>
        <w:t>LEADERSHIP AND OPERATING MODEL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Owns architecture and implementation outcomes for ambiguous storage initiatives spanning data paths, reliability, migration, operations, and production launch.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Aligns Block Storage, Object Storage, Networking, Product Management, vendors, storage architects, and operations around ownership boundaries, priorities, and measurable outcomes.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Built and led local and remote engineering teams, assisted hiring, mentored engineers, and raised quality through reusable test infrastructure, design reviews, code reviews, and operational readiness.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Turns production issues into durable engineering leverage through qualification gates, automated remediation, clearer runbooks, failure handling, and rollout automation.</w:t>
      </w:r>
    </w:p>
    <w:p>
      <w:pPr>
        <w:spacing w:before="120" w:after="40"/>
        <w:keepNext/>
        <w:pBdr>
          <w:bottom w:val="single" w:sz="5" w:space="4" w:color="9CA3AF"/>
        </w:pBdr>
      </w:pPr>
      <w:r>
        <w:rPr>
          <w:rFonts w:ascii="Arial" w:hAnsi="Arial"/>
          <w:b/>
          <w:i w:val="0"/>
          <w:color w:val="111827"/>
          <w:sz w:val="19"/>
        </w:rPr>
        <w:t>ADDITIONAL DELIVERY</w:t>
      </w:r>
    </w:p>
    <w:p>
      <w:pPr>
        <w:spacing w:after="24" w:line="245" w:lineRule="auto"/>
        <w:numPr>
          <w:ilvl w:val="0"/>
          <w:numId w:val="73"/>
        </w:numPr>
      </w:pPr>
      <w:r>
        <w:rPr>
          <w:rFonts w:ascii="Arial" w:hAnsi="Arial"/>
          <w:b w:val="0"/>
          <w:i w:val="0"/>
          <w:color w:val="111827"/>
          <w:sz w:val="18"/>
        </w:rPr>
        <w:t>Built a near-real-time marketplace metering service from prototype to public-facing release and helped take a data-processing service from prototype to internal release.</w:t>
      </w:r>
    </w:p>
    <w:p>
      <w:pPr>
        <w:spacing w:before="120" w:after="40"/>
        <w:keepNext/>
        <w:pBdr>
          <w:bottom w:val="single" w:sz="5" w:space="4" w:color="9CA3AF"/>
        </w:pBdr>
      </w:pPr>
      <w:r>
        <w:rPr>
          <w:rFonts w:ascii="Arial" w:hAnsi="Arial"/>
          <w:b/>
          <w:i w:val="0"/>
          <w:color w:val="111827"/>
          <w:sz w:val="19"/>
        </w:rPr>
        <w:t>EDUCATION AND PATENT</w:t>
      </w:r>
    </w:p>
    <w:p>
      <w:pPr>
        <w:spacing w:after="40" w:line="247" w:lineRule="auto"/>
      </w:pPr>
      <w:r>
        <w:rPr>
          <w:rFonts w:ascii="Arial" w:hAnsi="Arial"/>
          <w:b w:val="0"/>
          <w:i w:val="0"/>
          <w:color w:val="111827"/>
          <w:sz w:val="18"/>
        </w:rPr>
        <w:t>B.E., Computer Science and Engineering, Mangalore University | U.S. Patent 11,412,043 - idle-volume backend capacity optimization.</w:t>
      </w:r>
    </w:p>
    <w:sectPr w:rsidR="00FC693F" w:rsidRPr="0006063C" w:rsidSect="00034616">
      <w:pgSz w:w="12240" w:h="15840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3">
    <w:lvl w:ilvl="0">
      <w:start w:val="1"/>
      <w:numFmt w:val="bullet"/>
      <w:lvlText w:val="•"/>
      <w:lvlJc w:val="left"/>
      <w:pPr>
        <w:tabs>
          <w:tab w:val="num" w:pos="270"/>
        </w:tabs>
        <w:ind w:left="270" w:hanging="135"/>
      </w:pPr>
    </w:lvl>
  </w:abstract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