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F2206" w14:textId="1BC8C97E" w:rsidR="00952F7D" w:rsidRDefault="00952F7D" w:rsidP="007735A6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 w:themeFill="accent1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99"/>
        <w:gridCol w:w="4495"/>
        <w:gridCol w:w="899"/>
        <w:gridCol w:w="3597"/>
        <w:gridCol w:w="900"/>
      </w:tblGrid>
      <w:tr w:rsidR="007735A6" w14:paraId="346F6E48" w14:textId="77777777" w:rsidTr="0054426D">
        <w:trPr>
          <w:trHeight w:val="10512"/>
        </w:trPr>
        <w:tc>
          <w:tcPr>
            <w:tcW w:w="10790" w:type="dxa"/>
            <w:gridSpan w:val="5"/>
            <w:shd w:val="clear" w:color="auto" w:fill="FFC000" w:themeFill="accent1"/>
          </w:tcPr>
          <w:p w14:paraId="3DE9264F" w14:textId="12FEA246" w:rsidR="007735A6" w:rsidRDefault="007735A6" w:rsidP="00575FDF"/>
        </w:tc>
      </w:tr>
      <w:tr w:rsidR="007735A6" w14:paraId="0AF86093" w14:textId="77777777" w:rsidTr="0054426D">
        <w:trPr>
          <w:trHeight w:val="3333"/>
        </w:trPr>
        <w:tc>
          <w:tcPr>
            <w:tcW w:w="899" w:type="dxa"/>
            <w:shd w:val="clear" w:color="auto" w:fill="FFC000" w:themeFill="accent1"/>
          </w:tcPr>
          <w:p w14:paraId="31E681DF" w14:textId="77777777" w:rsidR="007735A6" w:rsidRDefault="007735A6" w:rsidP="00575FDF"/>
        </w:tc>
        <w:tc>
          <w:tcPr>
            <w:tcW w:w="4495" w:type="dxa"/>
            <w:tcBorders>
              <w:top w:val="single" w:sz="48" w:space="0" w:color="E66914" w:themeColor="accent2"/>
            </w:tcBorders>
            <w:shd w:val="clear" w:color="auto" w:fill="FFC000" w:themeFill="accent1"/>
          </w:tcPr>
          <w:p w14:paraId="731106F3" w14:textId="6481C7E3" w:rsidR="007735A6" w:rsidRPr="005E56CC" w:rsidRDefault="005E56CC" w:rsidP="0043454C">
            <w:pPr>
              <w:pStyle w:val="Title"/>
              <w:rPr>
                <w:color w:val="0D0D0D" w:themeColor="text1" w:themeTint="F2"/>
              </w:rPr>
            </w:pPr>
            <w:r w:rsidRPr="005E56CC">
              <w:rPr>
                <w:color w:val="0D0D0D" w:themeColor="text1" w:themeTint="F2"/>
              </w:rPr>
              <w:t>SHOPNEST STORE</w:t>
            </w:r>
          </w:p>
          <w:p w14:paraId="6F44884B" w14:textId="5277D6C1" w:rsidR="007735A6" w:rsidRDefault="007735A6" w:rsidP="00575FDF"/>
          <w:p w14:paraId="332D945E" w14:textId="3FBA57DC" w:rsidR="007735A6" w:rsidRPr="007735A6" w:rsidRDefault="005E56CC" w:rsidP="00247BED">
            <w:pPr>
              <w:pStyle w:val="Subtitle"/>
            </w:pPr>
            <w:r w:rsidRPr="005E56CC">
              <w:t>POWER BI CAPSTONE PROJECT REPORT</w:t>
            </w:r>
          </w:p>
          <w:p w14:paraId="76A19C02" w14:textId="222D6965" w:rsidR="007735A6" w:rsidRPr="00247BED" w:rsidRDefault="005E56CC" w:rsidP="00247BED">
            <w:pPr>
              <w:pStyle w:val="Heading2"/>
              <w:spacing w:before="200" w:line="276" w:lineRule="auto"/>
              <w:rPr>
                <w:color w:val="000000" w:themeColor="text1"/>
                <w:sz w:val="24"/>
              </w:rPr>
            </w:pPr>
            <w:r w:rsidRPr="00247BED">
              <w:rPr>
                <w:color w:val="000000" w:themeColor="text1"/>
                <w:sz w:val="24"/>
              </w:rPr>
              <w:t>1</w:t>
            </w:r>
            <w:r w:rsidR="005134CD">
              <w:rPr>
                <w:color w:val="000000" w:themeColor="text1"/>
                <w:sz w:val="24"/>
              </w:rPr>
              <w:t>6</w:t>
            </w:r>
            <w:r w:rsidRPr="00247BED">
              <w:rPr>
                <w:color w:val="000000" w:themeColor="text1"/>
                <w:sz w:val="24"/>
              </w:rPr>
              <w:t>/03/2025</w:t>
            </w:r>
          </w:p>
          <w:p w14:paraId="30EAEBF8" w14:textId="36EB030D" w:rsidR="007735A6" w:rsidRDefault="005E56CC" w:rsidP="00247BED">
            <w:pPr>
              <w:pStyle w:val="Heading2"/>
              <w:spacing w:line="276" w:lineRule="auto"/>
            </w:pPr>
            <w:r w:rsidRPr="00247BED">
              <w:rPr>
                <w:color w:val="000000" w:themeColor="text1"/>
                <w:sz w:val="24"/>
              </w:rPr>
              <w:t>BHARATH N</w:t>
            </w:r>
            <w:r w:rsidR="00247BED" w:rsidRPr="00247BED">
              <w:rPr>
                <w:color w:val="000000" w:themeColor="text1"/>
                <w:sz w:val="24"/>
              </w:rPr>
              <w:t xml:space="preserve">  bharathachar0911@gmail.com</w:t>
            </w:r>
          </w:p>
        </w:tc>
        <w:tc>
          <w:tcPr>
            <w:tcW w:w="899" w:type="dxa"/>
            <w:shd w:val="clear" w:color="auto" w:fill="FFC000" w:themeFill="accent1"/>
          </w:tcPr>
          <w:p w14:paraId="3F6B4AA8" w14:textId="6E2DD249" w:rsidR="007735A6" w:rsidRDefault="007735A6" w:rsidP="00575FDF"/>
        </w:tc>
        <w:tc>
          <w:tcPr>
            <w:tcW w:w="3597" w:type="dxa"/>
            <w:shd w:val="clear" w:color="auto" w:fill="FFC000" w:themeFill="accent1"/>
            <w:vAlign w:val="center"/>
          </w:tcPr>
          <w:p w14:paraId="121BE667" w14:textId="138221D9" w:rsidR="007735A6" w:rsidRDefault="007735A6" w:rsidP="007735A6">
            <w:pPr>
              <w:jc w:val="center"/>
            </w:pPr>
          </w:p>
        </w:tc>
        <w:tc>
          <w:tcPr>
            <w:tcW w:w="900" w:type="dxa"/>
            <w:shd w:val="clear" w:color="auto" w:fill="FFC000" w:themeFill="accent1"/>
          </w:tcPr>
          <w:p w14:paraId="5362A8F3" w14:textId="43D09D2E" w:rsidR="007735A6" w:rsidRDefault="007735A6" w:rsidP="00575FDF"/>
        </w:tc>
      </w:tr>
    </w:tbl>
    <w:p w14:paraId="759DA943" w14:textId="77777777" w:rsidR="007735A6" w:rsidRDefault="007735A6"/>
    <w:p w14:paraId="3C736295" w14:textId="77777777" w:rsidR="007735A6" w:rsidRDefault="007735A6" w:rsidP="0032399A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6914" w:themeFill="accent2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99"/>
        <w:gridCol w:w="8991"/>
        <w:gridCol w:w="900"/>
      </w:tblGrid>
      <w:tr w:rsidR="0032399A" w14:paraId="6FF5F0AA" w14:textId="77777777" w:rsidTr="0054426D">
        <w:trPr>
          <w:trHeight w:val="8586"/>
        </w:trPr>
        <w:tc>
          <w:tcPr>
            <w:tcW w:w="10790" w:type="dxa"/>
            <w:gridSpan w:val="3"/>
            <w:shd w:val="clear" w:color="auto" w:fill="E66914" w:themeFill="accent2"/>
            <w:vAlign w:val="bottom"/>
          </w:tcPr>
          <w:p w14:paraId="3199AFB1" w14:textId="041CA10E" w:rsidR="0032399A" w:rsidRDefault="00D40B17" w:rsidP="003239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5B40DE" wp14:editId="5B7D43AB">
                      <wp:simplePos x="0" y="0"/>
                      <wp:positionH relativeFrom="column">
                        <wp:posOffset>2968625</wp:posOffset>
                      </wp:positionH>
                      <wp:positionV relativeFrom="paragraph">
                        <wp:posOffset>1758950</wp:posOffset>
                      </wp:positionV>
                      <wp:extent cx="3467100" cy="211455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21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B2564" w14:textId="668725B4" w:rsidR="00D40B17" w:rsidRPr="00C2711A" w:rsidRDefault="00B40E94" w:rsidP="00D40B17">
                                  <w:pPr>
                                    <w:pStyle w:val="Title"/>
                                    <w:rPr>
                                      <w:rFonts w:asciiTheme="minorHAnsi" w:hAnsiTheme="minorHAnsi" w:cstheme="minorHAnsi"/>
                                      <w:color w:val="FFC91D"/>
                                    </w:rPr>
                                  </w:pPr>
                                  <w:r w:rsidRPr="00C2711A">
                                    <w:rPr>
                                      <w:rFonts w:asciiTheme="minorHAnsi" w:hAnsiTheme="minorHAnsi" w:cstheme="minorHAnsi"/>
                                      <w:color w:val="FFC91D"/>
                                    </w:rPr>
                                    <w:t>SHOPNEST STORE</w:t>
                                  </w:r>
                                </w:p>
                                <w:p w14:paraId="5799583C" w14:textId="23B74AFD" w:rsidR="00B40E94" w:rsidRPr="00A55E14" w:rsidRDefault="00B40E94" w:rsidP="00B40E94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A55E14">
                                    <w:rPr>
                                      <w:rFonts w:ascii="Calibri" w:hAnsi="Calibri"/>
                                    </w:rPr>
                                    <w:t>Leading Department Store in E-Commerce Marketplace</w:t>
                                  </w:r>
                                  <w:r w:rsidR="00356303" w:rsidRPr="00A55E14">
                                    <w:rPr>
                                      <w:rFonts w:ascii="Calibri" w:hAnsi="Calibri"/>
                                    </w:rPr>
                                    <w:t>s</w:t>
                                  </w:r>
                                  <w:r w:rsidRPr="00A55E14">
                                    <w:rPr>
                                      <w:rFonts w:ascii="Calibri" w:hAnsi="Calibri"/>
                                    </w:rPr>
                                    <w:t xml:space="preserve"> in Portugal</w:t>
                                  </w:r>
                                </w:p>
                                <w:p w14:paraId="1E58A39F" w14:textId="77777777" w:rsidR="00D40B17" w:rsidRDefault="00D40B17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B40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2" o:spid="_x0000_s1026" type="#_x0000_t202" style="position:absolute;margin-left:233.75pt;margin-top:138.5pt;width:273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" filled="f" stroked="f">
                      <v:textbox style="mso-fit-shape-to-text:t" inset="4pt,4pt,4pt,4pt">
                        <w:txbxContent>
                          <w:p w14:paraId="43EB2564" w14:textId="668725B4" w:rsidR="00D40B17" w:rsidRPr="00C2711A" w:rsidRDefault="00B40E94" w:rsidP="00D40B17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C91D"/>
                              </w:rPr>
                            </w:pPr>
                            <w:r w:rsidRPr="00C2711A">
                              <w:rPr>
                                <w:rFonts w:asciiTheme="minorHAnsi" w:hAnsiTheme="minorHAnsi" w:cstheme="minorHAnsi"/>
                                <w:color w:val="FFC91D"/>
                              </w:rPr>
                              <w:t>SHOPNEST STORE</w:t>
                            </w:r>
                          </w:p>
                          <w:p w14:paraId="5799583C" w14:textId="23B74AFD" w:rsidR="00B40E94" w:rsidRPr="00A55E14" w:rsidRDefault="00B40E94" w:rsidP="00B40E94">
                            <w:pPr>
                              <w:rPr>
                                <w:rFonts w:ascii="Calibri" w:hAnsi="Calibri"/>
                              </w:rPr>
                            </w:pPr>
                            <w:r w:rsidRPr="00A55E14">
                              <w:rPr>
                                <w:rFonts w:ascii="Calibri" w:hAnsi="Calibri"/>
                              </w:rPr>
                              <w:t>Leading Department Store in E-Commerce Marketplace</w:t>
                            </w:r>
                            <w:r w:rsidR="00356303" w:rsidRPr="00A55E14">
                              <w:rPr>
                                <w:rFonts w:ascii="Calibri" w:hAnsi="Calibri"/>
                              </w:rPr>
                              <w:t>s</w:t>
                            </w:r>
                            <w:r w:rsidRPr="00A55E14">
                              <w:rPr>
                                <w:rFonts w:ascii="Calibri" w:hAnsi="Calibri"/>
                              </w:rPr>
                              <w:t xml:space="preserve"> in Portugal</w:t>
                            </w:r>
                          </w:p>
                          <w:p w14:paraId="1E58A39F" w14:textId="77777777" w:rsidR="00D40B17" w:rsidRDefault="00D40B17"/>
                        </w:txbxContent>
                      </v:textbox>
                    </v:shape>
                  </w:pict>
                </mc:Fallback>
              </mc:AlternateContent>
            </w:r>
            <w:r w:rsidR="00A47D59">
              <w:rPr>
                <w:noProof/>
              </w:rPr>
              <w:drawing>
                <wp:inline distT="0" distB="0" distL="0" distR="0" wp14:anchorId="53E6C967" wp14:editId="20187445">
                  <wp:extent cx="6909758" cy="4572000"/>
                  <wp:effectExtent l="0" t="0" r="5715" b="0"/>
                  <wp:docPr id="41" name="Picture 41" descr="Ecommerce Background Images - Free Download on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commerce Background Images - Free Download on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8528" cy="459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99A" w14:paraId="177E2EE5" w14:textId="77777777" w:rsidTr="0054426D">
        <w:trPr>
          <w:trHeight w:val="4689"/>
        </w:trPr>
        <w:tc>
          <w:tcPr>
            <w:tcW w:w="899" w:type="dxa"/>
            <w:shd w:val="clear" w:color="auto" w:fill="E66914" w:themeFill="accent2"/>
          </w:tcPr>
          <w:p w14:paraId="491EA204" w14:textId="77777777" w:rsidR="0032399A" w:rsidRDefault="0032399A"/>
        </w:tc>
        <w:tc>
          <w:tcPr>
            <w:tcW w:w="8991" w:type="dxa"/>
            <w:shd w:val="clear" w:color="auto" w:fill="E66914" w:themeFill="accent2"/>
            <w:vAlign w:val="center"/>
          </w:tcPr>
          <w:p w14:paraId="373A61D3" w14:textId="51079EA1" w:rsidR="0032399A" w:rsidRPr="00713546" w:rsidRDefault="008E40F2" w:rsidP="00AF4F54">
            <w:pPr>
              <w:pStyle w:val="Heading2"/>
              <w:rPr>
                <w:rFonts w:ascii="Lato Black" w:hAnsi="Lato Black"/>
                <w:sz w:val="32"/>
              </w:rPr>
            </w:pPr>
            <w:r>
              <w:rPr>
                <w:rFonts w:ascii="Lato Black" w:hAnsi="Lato Black"/>
                <w:sz w:val="32"/>
              </w:rPr>
              <w:t>ABSTRACT</w:t>
            </w:r>
          </w:p>
          <w:p w14:paraId="55C7A47B" w14:textId="77777777" w:rsidR="0032399A" w:rsidRPr="00AF4F54" w:rsidRDefault="0032399A" w:rsidP="00AF4F54">
            <w:pPr>
              <w:pStyle w:val="TextWhite"/>
            </w:pPr>
          </w:p>
          <w:p w14:paraId="12A83A1D" w14:textId="1451D6FE" w:rsidR="0032399A" w:rsidRPr="00A55E14" w:rsidRDefault="00640DA2" w:rsidP="00A55E14">
            <w:pPr>
              <w:pStyle w:val="TextWhite"/>
              <w:jc w:val="both"/>
              <w:rPr>
                <w:rFonts w:ascii="Calibri" w:hAnsi="Calibri"/>
              </w:rPr>
            </w:pPr>
            <w:r w:rsidRPr="00A55E14">
              <w:rPr>
                <w:rFonts w:ascii="Calibri" w:hAnsi="Calibri"/>
              </w:rPr>
              <w:t xml:space="preserve">The Power BI dashboard for </w:t>
            </w:r>
            <w:proofErr w:type="spellStart"/>
            <w:r w:rsidRPr="00A55E14">
              <w:rPr>
                <w:rFonts w:ascii="Calibri" w:hAnsi="Calibri"/>
              </w:rPr>
              <w:t>ShopNest</w:t>
            </w:r>
            <w:proofErr w:type="spellEnd"/>
            <w:r w:rsidRPr="00A55E14">
              <w:rPr>
                <w:rFonts w:ascii="Calibri" w:hAnsi="Calibri"/>
              </w:rPr>
              <w:t xml:space="preserve"> </w:t>
            </w:r>
            <w:r w:rsidR="0090550B" w:rsidRPr="00A55E14">
              <w:rPr>
                <w:rFonts w:ascii="Calibri" w:hAnsi="Calibri"/>
              </w:rPr>
              <w:t xml:space="preserve">store </w:t>
            </w:r>
            <w:r w:rsidRPr="00A55E14">
              <w:rPr>
                <w:rFonts w:ascii="Calibri" w:hAnsi="Calibri"/>
              </w:rPr>
              <w:t>is designed to provide a comprehensive analysis of key business metrics, enabling data-driven decision-making. The dashboard consolidates multiple visualizations to offer insights into sales performance, order trends, customer behavior, and revenue analysis.</w:t>
            </w:r>
          </w:p>
          <w:p w14:paraId="73BD4A19" w14:textId="77777777" w:rsidR="00E52256" w:rsidRPr="00A55E14" w:rsidRDefault="00E52256" w:rsidP="00A55E14">
            <w:pPr>
              <w:pStyle w:val="TextWhite"/>
              <w:jc w:val="both"/>
              <w:rPr>
                <w:rFonts w:ascii="Calibri" w:hAnsi="Calibri"/>
              </w:rPr>
            </w:pPr>
          </w:p>
          <w:p w14:paraId="39FC8257" w14:textId="77777777" w:rsidR="00E52256" w:rsidRPr="00E52256" w:rsidRDefault="00E52256" w:rsidP="00A55E14">
            <w:pPr>
              <w:jc w:val="both"/>
              <w:rPr>
                <w:sz w:val="28"/>
                <w:szCs w:val="28"/>
              </w:rPr>
            </w:pPr>
            <w:r w:rsidRPr="00A55E14">
              <w:rPr>
                <w:rFonts w:ascii="Calibri" w:hAnsi="Calibri"/>
                <w:sz w:val="28"/>
                <w:szCs w:val="28"/>
              </w:rPr>
              <w:t xml:space="preserve">This dashboard provides a holistic view of </w:t>
            </w:r>
            <w:proofErr w:type="spellStart"/>
            <w:r w:rsidRPr="00A55E14">
              <w:rPr>
                <w:rFonts w:ascii="Calibri" w:hAnsi="Calibri"/>
                <w:sz w:val="28"/>
                <w:szCs w:val="28"/>
              </w:rPr>
              <w:t>ShopNest’s</w:t>
            </w:r>
            <w:proofErr w:type="spellEnd"/>
            <w:r w:rsidRPr="00A55E14">
              <w:rPr>
                <w:rFonts w:ascii="Calibri" w:hAnsi="Calibri"/>
                <w:sz w:val="28"/>
                <w:szCs w:val="28"/>
              </w:rPr>
              <w:t xml:space="preserve"> business performance, helping stakeholders make informed strategic decisions</w:t>
            </w:r>
            <w:r w:rsidRPr="00E52256">
              <w:rPr>
                <w:sz w:val="28"/>
                <w:szCs w:val="28"/>
              </w:rPr>
              <w:t>.</w:t>
            </w:r>
          </w:p>
          <w:p w14:paraId="1B0D1909" w14:textId="35ED82BD" w:rsidR="00E52256" w:rsidRDefault="00E52256" w:rsidP="00640DA2">
            <w:pPr>
              <w:pStyle w:val="TextWhite"/>
            </w:pPr>
          </w:p>
        </w:tc>
        <w:tc>
          <w:tcPr>
            <w:tcW w:w="900" w:type="dxa"/>
            <w:shd w:val="clear" w:color="auto" w:fill="E66914" w:themeFill="accent2"/>
          </w:tcPr>
          <w:p w14:paraId="608633CD" w14:textId="77777777" w:rsidR="0032399A" w:rsidRDefault="0032399A"/>
        </w:tc>
      </w:tr>
    </w:tbl>
    <w:p w14:paraId="5ED9BE7D" w14:textId="77777777" w:rsidR="0032399A" w:rsidRDefault="003239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50"/>
        <w:gridCol w:w="453"/>
        <w:gridCol w:w="899"/>
        <w:gridCol w:w="899"/>
        <w:gridCol w:w="899"/>
        <w:gridCol w:w="900"/>
        <w:gridCol w:w="900"/>
        <w:gridCol w:w="4496"/>
        <w:gridCol w:w="900"/>
      </w:tblGrid>
      <w:tr w:rsidR="004A0DED" w14:paraId="6C3415B3" w14:textId="77777777" w:rsidTr="009E5698">
        <w:trPr>
          <w:gridBefore w:val="1"/>
          <w:wBefore w:w="450" w:type="dxa"/>
          <w:trHeight w:val="3333"/>
        </w:trPr>
        <w:tc>
          <w:tcPr>
            <w:tcW w:w="453" w:type="dxa"/>
          </w:tcPr>
          <w:p w14:paraId="69B8CC8F" w14:textId="2E4DF8E1" w:rsidR="004A0DED" w:rsidRDefault="004A0DED"/>
        </w:tc>
        <w:tc>
          <w:tcPr>
            <w:tcW w:w="8993" w:type="dxa"/>
            <w:gridSpan w:val="6"/>
            <w:tcBorders>
              <w:top w:val="single" w:sz="18" w:space="0" w:color="44546A" w:themeColor="text2"/>
            </w:tcBorders>
          </w:tcPr>
          <w:p w14:paraId="2116E9FB" w14:textId="77777777" w:rsidR="00A55E14" w:rsidRPr="00A55E14" w:rsidRDefault="00A55E14" w:rsidP="00A55E14">
            <w:pPr>
              <w:pStyle w:val="Heading3"/>
              <w:spacing w:before="0"/>
              <w:rPr>
                <w:rFonts w:ascii="Lato Black" w:hAnsi="Lato Black"/>
                <w:sz w:val="16"/>
                <w:szCs w:val="16"/>
              </w:rPr>
            </w:pPr>
          </w:p>
          <w:p w14:paraId="718C783E" w14:textId="43BF6873" w:rsidR="004A0DED" w:rsidRPr="00D910DE" w:rsidRDefault="00CE0518" w:rsidP="004A0DED">
            <w:pPr>
              <w:pStyle w:val="Heading3"/>
              <w:rPr>
                <w:rFonts w:ascii="Lato Black" w:hAnsi="Lato Black"/>
              </w:rPr>
            </w:pPr>
            <w:r w:rsidRPr="00D910DE">
              <w:rPr>
                <w:rFonts w:ascii="Lato Black" w:hAnsi="Lato Black"/>
              </w:rPr>
              <w:t>TOP CATEGORIES BY TOTAL PR</w:t>
            </w:r>
            <w:bookmarkStart w:id="0" w:name="_GoBack"/>
            <w:bookmarkEnd w:id="0"/>
            <w:r w:rsidRPr="00D910DE">
              <w:rPr>
                <w:rFonts w:ascii="Lato Black" w:hAnsi="Lato Black"/>
              </w:rPr>
              <w:t>ICE</w:t>
            </w:r>
          </w:p>
          <w:p w14:paraId="34EDCAC0" w14:textId="77777777" w:rsidR="004A0DED" w:rsidRDefault="004A0DED" w:rsidP="004A0DED"/>
          <w:p w14:paraId="16A04991" w14:textId="77777777" w:rsidR="00A55E14" w:rsidRPr="00A55E14" w:rsidRDefault="00A55E14" w:rsidP="00A55E14">
            <w:pPr>
              <w:pStyle w:val="Text"/>
              <w:numPr>
                <w:ilvl w:val="0"/>
                <w:numId w:val="3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A55E14">
              <w:rPr>
                <w:rFonts w:ascii="Calibri" w:hAnsi="Calibri"/>
                <w:sz w:val="30"/>
                <w:szCs w:val="30"/>
                <w:lang w:val="en-IN"/>
              </w:rPr>
              <w:t xml:space="preserve">The </w:t>
            </w:r>
            <w:r w:rsidRPr="00A55E1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Health &amp; Beauty</w:t>
            </w:r>
            <w:r w:rsidRPr="00A55E14">
              <w:rPr>
                <w:rFonts w:ascii="Calibri" w:hAnsi="Calibri"/>
                <w:sz w:val="30"/>
                <w:szCs w:val="30"/>
                <w:lang w:val="en-IN"/>
              </w:rPr>
              <w:t xml:space="preserve"> category is the top-selling, generating </w:t>
            </w:r>
            <w:r w:rsidRPr="00A55E1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1.26M</w:t>
            </w:r>
            <w:r w:rsidRPr="00A55E14">
              <w:rPr>
                <w:rFonts w:ascii="Calibri" w:hAnsi="Calibri"/>
                <w:sz w:val="30"/>
                <w:szCs w:val="30"/>
                <w:lang w:val="en-IN"/>
              </w:rPr>
              <w:t xml:space="preserve"> in sales, followed by </w:t>
            </w:r>
            <w:r w:rsidRPr="00A55E1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Watches &amp; Gifts</w:t>
            </w:r>
            <w:r w:rsidRPr="00A55E14">
              <w:rPr>
                <w:rFonts w:ascii="Calibri" w:hAnsi="Calibri"/>
                <w:sz w:val="30"/>
                <w:szCs w:val="30"/>
                <w:lang w:val="en-IN"/>
              </w:rPr>
              <w:t xml:space="preserve"> at </w:t>
            </w:r>
            <w:r w:rsidRPr="00A55E1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1.21M</w:t>
            </w:r>
            <w:r w:rsidRPr="00A55E14">
              <w:rPr>
                <w:rFonts w:ascii="Calibri" w:hAnsi="Calibri"/>
                <w:sz w:val="30"/>
                <w:szCs w:val="30"/>
                <w:lang w:val="en-IN"/>
              </w:rPr>
              <w:t>.</w:t>
            </w:r>
          </w:p>
          <w:p w14:paraId="1E32F0AE" w14:textId="77777777" w:rsidR="00A55E14" w:rsidRPr="00A55E14" w:rsidRDefault="00A55E14" w:rsidP="00A55E14">
            <w:pPr>
              <w:pStyle w:val="Text"/>
              <w:numPr>
                <w:ilvl w:val="0"/>
                <w:numId w:val="3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A55E1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Bed, Bath &amp; Table, Sports &amp; Leisure, and Computers &amp; Accessories</w:t>
            </w:r>
            <w:r w:rsidRPr="00A55E14">
              <w:rPr>
                <w:rFonts w:ascii="Calibri" w:hAnsi="Calibri"/>
                <w:sz w:val="30"/>
                <w:szCs w:val="30"/>
                <w:lang w:val="en-IN"/>
              </w:rPr>
              <w:t xml:space="preserve"> also show strong performance, each exceeding </w:t>
            </w:r>
            <w:r w:rsidRPr="00A55E1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900K</w:t>
            </w:r>
            <w:r w:rsidRPr="00A55E14">
              <w:rPr>
                <w:rFonts w:ascii="Calibri" w:hAnsi="Calibri"/>
                <w:sz w:val="30"/>
                <w:szCs w:val="30"/>
                <w:lang w:val="en-IN"/>
              </w:rPr>
              <w:t xml:space="preserve"> in sales.</w:t>
            </w:r>
          </w:p>
          <w:p w14:paraId="2348151C" w14:textId="77777777" w:rsidR="00A55E14" w:rsidRPr="00A55E14" w:rsidRDefault="00A55E14" w:rsidP="00A55E14">
            <w:pPr>
              <w:pStyle w:val="Text"/>
              <w:numPr>
                <w:ilvl w:val="0"/>
                <w:numId w:val="3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A55E1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Furniture &amp; Decor, Cool Stuff, Housewares, Auto, and Garden Tools</w:t>
            </w:r>
            <w:r w:rsidRPr="00A55E14">
              <w:rPr>
                <w:rFonts w:ascii="Calibri" w:hAnsi="Calibri"/>
                <w:sz w:val="30"/>
                <w:szCs w:val="30"/>
                <w:lang w:val="en-IN"/>
              </w:rPr>
              <w:t xml:space="preserve"> complete the top 10 list, with sales ranging between </w:t>
            </w:r>
            <w:r w:rsidRPr="00A55E1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0.49M - 0.73M</w:t>
            </w:r>
            <w:r w:rsidRPr="00A55E14">
              <w:rPr>
                <w:rFonts w:ascii="Calibri" w:hAnsi="Calibri"/>
                <w:sz w:val="30"/>
                <w:szCs w:val="30"/>
                <w:lang w:val="en-IN"/>
              </w:rPr>
              <w:t>.</w:t>
            </w:r>
          </w:p>
          <w:p w14:paraId="4EE091A1" w14:textId="183FB185" w:rsidR="00A55E14" w:rsidRPr="00A55E14" w:rsidRDefault="00A55E14" w:rsidP="00902345">
            <w:pPr>
              <w:pStyle w:val="Text"/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A55E14">
              <w:rPr>
                <w:rFonts w:ascii="Calibri" w:hAnsi="Calibri"/>
                <w:sz w:val="30"/>
                <w:szCs w:val="30"/>
                <w:lang w:val="en-IN"/>
              </w:rPr>
              <w:t>This analysis highlights customer preferences, with personal care, home essentials, and electronics driving the highest sales. Businesses can use this insight to focus on high-demand categories while improving marketing strategies for lower-performing ones.</w:t>
            </w:r>
          </w:p>
          <w:p w14:paraId="15AF357E" w14:textId="0051AAB5" w:rsidR="00700E81" w:rsidRDefault="00902345" w:rsidP="00700E81">
            <w:pPr>
              <w:pStyle w:val="Text"/>
              <w:spacing w:line="276" w:lineRule="auto"/>
              <w:jc w:val="both"/>
            </w:pPr>
            <w:r w:rsidRPr="006F519C">
              <w:drawing>
                <wp:anchor distT="0" distB="0" distL="114300" distR="114300" simplePos="0" relativeHeight="251661312" behindDoc="0" locked="0" layoutInCell="1" allowOverlap="1" wp14:anchorId="6704FE3F" wp14:editId="3FB12A70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128905</wp:posOffset>
                  </wp:positionV>
                  <wp:extent cx="5650230" cy="3869690"/>
                  <wp:effectExtent l="76200" t="76200" r="83820" b="7366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386969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E66914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D24D43" w14:textId="2ABFC85F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3EE9F0C9" w14:textId="77777777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0699D00C" w14:textId="77777777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01E4AA56" w14:textId="77777777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61117B8E" w14:textId="77777777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6D10FED3" w14:textId="77777777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47E88BFF" w14:textId="77777777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6C4E1553" w14:textId="77777777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0FEDAE18" w14:textId="77777777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276734D5" w14:textId="77777777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07F23558" w14:textId="77777777" w:rsidR="00700E81" w:rsidRDefault="00700E81" w:rsidP="00700E81">
            <w:pPr>
              <w:pStyle w:val="Text"/>
              <w:spacing w:line="276" w:lineRule="auto"/>
              <w:jc w:val="both"/>
            </w:pPr>
          </w:p>
          <w:p w14:paraId="6B538860" w14:textId="3D62876D" w:rsidR="00700E81" w:rsidRDefault="00700E81" w:rsidP="00700E81">
            <w:pPr>
              <w:pStyle w:val="Text"/>
              <w:spacing w:line="276" w:lineRule="auto"/>
              <w:jc w:val="both"/>
            </w:pPr>
          </w:p>
        </w:tc>
        <w:tc>
          <w:tcPr>
            <w:tcW w:w="900" w:type="dxa"/>
          </w:tcPr>
          <w:p w14:paraId="7EA3C7C7" w14:textId="19609710" w:rsidR="004A0DED" w:rsidRDefault="004A0DED"/>
        </w:tc>
      </w:tr>
      <w:tr w:rsidR="00E901A6" w14:paraId="5C30FE11" w14:textId="77777777" w:rsidTr="009E5698">
        <w:trPr>
          <w:gridBefore w:val="1"/>
          <w:wBefore w:w="450" w:type="dxa"/>
          <w:trHeight w:val="8118"/>
        </w:trPr>
        <w:tc>
          <w:tcPr>
            <w:tcW w:w="453" w:type="dxa"/>
          </w:tcPr>
          <w:p w14:paraId="5C0EF83A" w14:textId="77777777" w:rsidR="00E901A6" w:rsidRDefault="00E901A6" w:rsidP="0041251A"/>
          <w:p w14:paraId="15D4269B" w14:textId="4676F12C" w:rsidR="00700E81" w:rsidRDefault="00700E81" w:rsidP="0041251A"/>
        </w:tc>
        <w:tc>
          <w:tcPr>
            <w:tcW w:w="8993" w:type="dxa"/>
            <w:gridSpan w:val="6"/>
            <w:tcBorders>
              <w:top w:val="single" w:sz="18" w:space="0" w:color="44546A" w:themeColor="text2"/>
            </w:tcBorders>
          </w:tcPr>
          <w:p w14:paraId="5CC9F1A4" w14:textId="77777777" w:rsidR="00A55E14" w:rsidRPr="00A55E14" w:rsidRDefault="00A55E14" w:rsidP="00CE0518">
            <w:pPr>
              <w:pStyle w:val="Heading3"/>
              <w:rPr>
                <w:sz w:val="16"/>
                <w:szCs w:val="16"/>
              </w:rPr>
            </w:pPr>
          </w:p>
          <w:p w14:paraId="5EB8EB5B" w14:textId="2283E1B3" w:rsidR="00CE0518" w:rsidRPr="00D910DE" w:rsidRDefault="00CE0518" w:rsidP="00713546">
            <w:pPr>
              <w:pStyle w:val="Heading3"/>
              <w:spacing w:before="0"/>
              <w:rPr>
                <w:rFonts w:ascii="Lato Black" w:hAnsi="Lato Black"/>
              </w:rPr>
            </w:pPr>
            <w:r w:rsidRPr="00D910DE">
              <w:rPr>
                <w:rFonts w:ascii="Lato Black" w:hAnsi="Lato Black"/>
              </w:rPr>
              <w:t>DELAYED ORDERS ANALYSIS</w:t>
            </w:r>
            <w:r w:rsidRPr="00D910DE">
              <w:rPr>
                <w:rFonts w:ascii="Lato Black" w:hAnsi="Lato Black"/>
              </w:rPr>
              <w:t xml:space="preserve"> </w:t>
            </w:r>
          </w:p>
          <w:p w14:paraId="3239C952" w14:textId="77777777" w:rsidR="00354B98" w:rsidRPr="00354B98" w:rsidRDefault="00354B98" w:rsidP="00390039">
            <w:pPr>
              <w:pStyle w:val="Text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Bed, Bath &amp; Table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 has the highest number of delayed orders (</w:t>
            </w: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689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), followed by </w:t>
            </w: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Health &amp; Beauty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 (</w:t>
            </w: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650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>).</w:t>
            </w:r>
          </w:p>
          <w:p w14:paraId="6DED0DF3" w14:textId="77777777" w:rsidR="00354B98" w:rsidRPr="00354B98" w:rsidRDefault="00354B98" w:rsidP="00390039">
            <w:pPr>
              <w:pStyle w:val="Text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Sports &amp; Leisure, Furniture &amp; Decor, and Computers &amp; Accessories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 also face significant delays, ranging from </w:t>
            </w: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400 to 500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 orders.</w:t>
            </w:r>
          </w:p>
          <w:p w14:paraId="3A3D2833" w14:textId="77777777" w:rsidR="00354B98" w:rsidRPr="00354B98" w:rsidRDefault="00354B98" w:rsidP="00390039">
            <w:pPr>
              <w:pStyle w:val="Text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Categories like </w:t>
            </w: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Watches &amp; Gifts, Housewares, and Telephony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 see moderate delays (</w:t>
            </w: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300-400 orders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>).</w:t>
            </w:r>
          </w:p>
          <w:p w14:paraId="573C0F5B" w14:textId="77777777" w:rsidR="00354B98" w:rsidRPr="00354B98" w:rsidRDefault="00354B98" w:rsidP="00390039">
            <w:pPr>
              <w:pStyle w:val="Text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Lower delays are observed in </w:t>
            </w: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Toys, Baby Products, Garden Tools, and Cool Stuff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, all below </w:t>
            </w: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250 orders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>.</w:t>
            </w:r>
          </w:p>
          <w:p w14:paraId="3626064D" w14:textId="77777777" w:rsidR="00354B98" w:rsidRPr="00354B98" w:rsidRDefault="00354B98" w:rsidP="00390039">
            <w:pPr>
              <w:pStyle w:val="Text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The </w:t>
            </w: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Pet Shop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 xml:space="preserve"> category experiences the fewest delays, with only </w:t>
            </w:r>
            <w:r w:rsidRPr="00354B98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86 orders affected</w:t>
            </w: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>.</w:t>
            </w:r>
          </w:p>
          <w:p w14:paraId="6BCC958E" w14:textId="77777777" w:rsidR="00354B98" w:rsidRPr="00354B98" w:rsidRDefault="00354B98" w:rsidP="00390039">
            <w:pPr>
              <w:pStyle w:val="Text"/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354B98">
              <w:rPr>
                <w:rFonts w:ascii="Calibri" w:hAnsi="Calibri"/>
                <w:sz w:val="30"/>
                <w:szCs w:val="30"/>
                <w:lang w:val="en-IN"/>
              </w:rPr>
              <w:t>This analysis highlights areas where logistics and supply chain improvements could reduce delivery delays, especially in high-demand categories.</w:t>
            </w:r>
          </w:p>
          <w:p w14:paraId="037ED7BC" w14:textId="25DB5932" w:rsidR="00390039" w:rsidRDefault="00390039" w:rsidP="00354B98">
            <w:pPr>
              <w:pStyle w:val="Text"/>
              <w:spacing w:before="240" w:line="276" w:lineRule="auto"/>
              <w:jc w:val="both"/>
              <w:rPr>
                <w:b/>
                <w:bCs/>
                <w:lang w:val="en-IN"/>
              </w:rPr>
            </w:pPr>
            <w:r w:rsidRPr="00390039">
              <w:rPr>
                <w:b/>
                <w:bCs/>
              </w:rPr>
              <w:drawing>
                <wp:inline distT="0" distB="0" distL="0" distR="0" wp14:anchorId="6AF9A2A9" wp14:editId="2C567B8B">
                  <wp:extent cx="5559334" cy="3171967"/>
                  <wp:effectExtent l="76200" t="76200" r="80010" b="66675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259B13-1A11-43AC-92C3-B9D6D44B88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4259B13-1A11-43AC-92C3-B9D6D44B88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215" cy="3187304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E66914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3AEF6" w14:textId="6A24091F" w:rsidR="00E901A6" w:rsidRDefault="00A55E14" w:rsidP="00354B98">
            <w:pPr>
              <w:pStyle w:val="Text"/>
              <w:spacing w:before="240" w:line="276" w:lineRule="auto"/>
              <w:jc w:val="both"/>
            </w:pPr>
            <w:r w:rsidRPr="00A55E14"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900" w:type="dxa"/>
          </w:tcPr>
          <w:p w14:paraId="1BDBD96D" w14:textId="77777777" w:rsidR="00E901A6" w:rsidRDefault="00E901A6" w:rsidP="0041251A"/>
        </w:tc>
      </w:tr>
      <w:tr w:rsidR="00E901A6" w14:paraId="2A6B85A6" w14:textId="77777777" w:rsidTr="009E5698">
        <w:trPr>
          <w:gridBefore w:val="1"/>
          <w:wBefore w:w="450" w:type="dxa"/>
          <w:trHeight w:val="12978"/>
        </w:trPr>
        <w:tc>
          <w:tcPr>
            <w:tcW w:w="453" w:type="dxa"/>
          </w:tcPr>
          <w:p w14:paraId="6911DC4D" w14:textId="77777777" w:rsidR="00E901A6" w:rsidRDefault="00E901A6" w:rsidP="0041251A"/>
        </w:tc>
        <w:tc>
          <w:tcPr>
            <w:tcW w:w="8993" w:type="dxa"/>
            <w:gridSpan w:val="6"/>
            <w:tcBorders>
              <w:top w:val="single" w:sz="18" w:space="0" w:color="44546A" w:themeColor="text2"/>
            </w:tcBorders>
          </w:tcPr>
          <w:p w14:paraId="3602C6FD" w14:textId="77777777" w:rsidR="00D910DE" w:rsidRPr="00D910DE" w:rsidRDefault="00D910DE" w:rsidP="00D910DE">
            <w:pPr>
              <w:pStyle w:val="Heading3"/>
              <w:spacing w:before="0"/>
              <w:rPr>
                <w:sz w:val="16"/>
                <w:szCs w:val="16"/>
              </w:rPr>
            </w:pPr>
          </w:p>
          <w:p w14:paraId="44182030" w14:textId="6C97B444" w:rsidR="00D910DE" w:rsidRPr="00D910DE" w:rsidRDefault="00CE0518" w:rsidP="00D910DE">
            <w:pPr>
              <w:pStyle w:val="Heading3"/>
              <w:spacing w:after="240"/>
              <w:rPr>
                <w:rFonts w:ascii="Lato Black" w:hAnsi="Lato Black"/>
              </w:rPr>
            </w:pPr>
            <w:r w:rsidRPr="00D910DE">
              <w:rPr>
                <w:rFonts w:ascii="Lato Black" w:hAnsi="Lato Black"/>
              </w:rPr>
              <w:t>MONTHLY COMPARISON OF DELAYED AND ON-TIME ORDERS</w:t>
            </w:r>
          </w:p>
          <w:p w14:paraId="3B836672" w14:textId="1709947B" w:rsidR="00D910DE" w:rsidRPr="00D910DE" w:rsidRDefault="00D910DE" w:rsidP="008543B0">
            <w:pPr>
              <w:pStyle w:val="Text"/>
              <w:numPr>
                <w:ilvl w:val="0"/>
                <w:numId w:val="5"/>
              </w:numPr>
              <w:spacing w:before="240"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Peak On-Time Orders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: August had the highest on-time order count (</w:t>
            </w: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10.3K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), followed by May and July (</w:t>
            </w: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10K each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).</w:t>
            </w:r>
          </w:p>
          <w:p w14:paraId="3AFDE9B3" w14:textId="77777777" w:rsidR="00D910DE" w:rsidRPr="00D910DE" w:rsidRDefault="00D910DE" w:rsidP="008543B0">
            <w:pPr>
              <w:pStyle w:val="Text"/>
              <w:numPr>
                <w:ilvl w:val="0"/>
                <w:numId w:val="5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Peak Delayed Orders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: March had the highest delayed orders (</w:t>
            </w: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1.4K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), followed by February (</w:t>
            </w: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1K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) and November (</w:t>
            </w: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0.9K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).</w:t>
            </w:r>
          </w:p>
          <w:p w14:paraId="39FB3A0A" w14:textId="77777777" w:rsidR="00D910DE" w:rsidRPr="00D910DE" w:rsidRDefault="00D910DE" w:rsidP="008543B0">
            <w:pPr>
              <w:pStyle w:val="Text"/>
              <w:numPr>
                <w:ilvl w:val="0"/>
                <w:numId w:val="5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Months with Lowest Delays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: June, September, and October had minimal delays (</w:t>
            </w: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0.2K each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).</w:t>
            </w:r>
          </w:p>
          <w:p w14:paraId="75EE6C71" w14:textId="77777777" w:rsidR="00D910DE" w:rsidRPr="00D910DE" w:rsidRDefault="00D910DE" w:rsidP="008543B0">
            <w:pPr>
              <w:pStyle w:val="Text"/>
              <w:numPr>
                <w:ilvl w:val="0"/>
                <w:numId w:val="5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End of Year Trend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: On-time orders dropped in November (</w:t>
            </w: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6.6K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) and December (</w:t>
            </w: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5.3K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), while delayed orders slightly increased in November (</w:t>
            </w:r>
            <w:r w:rsidRPr="00D910DE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0.9K</w:t>
            </w: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).</w:t>
            </w:r>
          </w:p>
          <w:p w14:paraId="56C330F2" w14:textId="77777777" w:rsidR="00D910DE" w:rsidRPr="00D910DE" w:rsidRDefault="00D910DE" w:rsidP="008543B0">
            <w:pPr>
              <w:pStyle w:val="Text"/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D910DE">
              <w:rPr>
                <w:rFonts w:ascii="Calibri" w:hAnsi="Calibri"/>
                <w:sz w:val="30"/>
                <w:szCs w:val="30"/>
                <w:lang w:val="en-IN"/>
              </w:rPr>
              <w:t>This suggests potential operational challenges in the first quarter and during the holiday season, possibly due to demand surges or logistical constraints.</w:t>
            </w:r>
          </w:p>
          <w:p w14:paraId="12B211B3" w14:textId="7EE38E02" w:rsidR="00E901A6" w:rsidRDefault="008543B0" w:rsidP="0041251A">
            <w:pPr>
              <w:pStyle w:val="Text"/>
            </w:pPr>
            <w:r w:rsidRPr="008543B0">
              <w:drawing>
                <wp:inline distT="0" distB="0" distL="0" distR="0" wp14:anchorId="7ACBF0B6" wp14:editId="5E86FE6D">
                  <wp:extent cx="5572853" cy="3772469"/>
                  <wp:effectExtent l="76200" t="76200" r="66040" b="76200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955488-05E5-4089-8FCC-BD1E3A8A516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77955488-05E5-4089-8FCC-BD1E3A8A516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06" cy="378469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E66914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545DB813" w14:textId="77777777" w:rsidR="00E901A6" w:rsidRDefault="00E901A6" w:rsidP="0041251A"/>
        </w:tc>
      </w:tr>
      <w:tr w:rsidR="00E901A6" w14:paraId="68C70BBE" w14:textId="77777777" w:rsidTr="009E5698">
        <w:trPr>
          <w:gridBefore w:val="1"/>
          <w:wBefore w:w="450" w:type="dxa"/>
          <w:trHeight w:val="3333"/>
        </w:trPr>
        <w:tc>
          <w:tcPr>
            <w:tcW w:w="453" w:type="dxa"/>
          </w:tcPr>
          <w:p w14:paraId="0A82C6E9" w14:textId="77777777" w:rsidR="00E901A6" w:rsidRDefault="00E901A6" w:rsidP="0041251A"/>
        </w:tc>
        <w:tc>
          <w:tcPr>
            <w:tcW w:w="8993" w:type="dxa"/>
            <w:gridSpan w:val="6"/>
            <w:tcBorders>
              <w:top w:val="single" w:sz="18" w:space="0" w:color="44546A" w:themeColor="text2"/>
            </w:tcBorders>
          </w:tcPr>
          <w:p w14:paraId="73F92BD1" w14:textId="77777777" w:rsidR="00DC5478" w:rsidRPr="00DC5478" w:rsidRDefault="00DC5478" w:rsidP="00DC5478">
            <w:pPr>
              <w:pStyle w:val="Heading3"/>
              <w:spacing w:before="0"/>
              <w:rPr>
                <w:sz w:val="16"/>
                <w:szCs w:val="16"/>
              </w:rPr>
            </w:pPr>
          </w:p>
          <w:p w14:paraId="13C17208" w14:textId="40816F9A" w:rsidR="00E901A6" w:rsidRPr="00DC5478" w:rsidRDefault="00CE0518" w:rsidP="00DC5478">
            <w:pPr>
              <w:pStyle w:val="Heading3"/>
              <w:rPr>
                <w:rFonts w:ascii="Lato Black" w:hAnsi="Lato Black"/>
              </w:rPr>
            </w:pPr>
            <w:r w:rsidRPr="00DC5478">
              <w:rPr>
                <w:rFonts w:ascii="Lato Black" w:hAnsi="Lato Black"/>
              </w:rPr>
              <w:t>PAYMENT METHOD ANALYSIS</w:t>
            </w:r>
          </w:p>
          <w:p w14:paraId="3E0BCE81" w14:textId="77777777" w:rsidR="009A58B2" w:rsidRDefault="009A58B2" w:rsidP="009A58B2">
            <w:pPr>
              <w:pStyle w:val="Text"/>
              <w:numPr>
                <w:ilvl w:val="0"/>
                <w:numId w:val="5"/>
              </w:numPr>
              <w:spacing w:before="240"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9A58B2">
              <w:rPr>
                <w:rFonts w:ascii="Calibri" w:hAnsi="Calibri"/>
                <w:b/>
                <w:bCs/>
                <w:sz w:val="30"/>
                <w:szCs w:val="30"/>
              </w:rPr>
              <w:t>Most Used Payment Method:</w:t>
            </w:r>
            <w:r w:rsidRPr="009A58B2">
              <w:rPr>
                <w:rFonts w:ascii="Calibri" w:hAnsi="Calibri"/>
                <w:sz w:val="30"/>
                <w:szCs w:val="30"/>
              </w:rPr>
              <w:t xml:space="preserve"> Credit card transactions dominated, accounting for </w:t>
            </w:r>
            <w:r w:rsidRPr="009A58B2">
              <w:rPr>
                <w:rFonts w:ascii="Calibri" w:hAnsi="Calibri"/>
                <w:b/>
                <w:bCs/>
                <w:sz w:val="30"/>
                <w:szCs w:val="30"/>
              </w:rPr>
              <w:t>73.92% (76.80K transactions)</w:t>
            </w:r>
            <w:r w:rsidRPr="009A58B2">
              <w:rPr>
                <w:rFonts w:ascii="Calibri" w:hAnsi="Calibri"/>
                <w:sz w:val="30"/>
                <w:szCs w:val="30"/>
              </w:rPr>
              <w:t xml:space="preserve"> of all payments.</w:t>
            </w:r>
          </w:p>
          <w:p w14:paraId="356E86A3" w14:textId="77777777" w:rsidR="009A58B2" w:rsidRDefault="009A58B2" w:rsidP="009A58B2">
            <w:pPr>
              <w:pStyle w:val="Text"/>
              <w:numPr>
                <w:ilvl w:val="0"/>
                <w:numId w:val="5"/>
              </w:numPr>
              <w:spacing w:before="240"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9A58B2">
              <w:rPr>
                <w:rFonts w:ascii="Calibri" w:hAnsi="Calibri"/>
                <w:b/>
                <w:bCs/>
                <w:sz w:val="30"/>
                <w:szCs w:val="30"/>
              </w:rPr>
              <w:t>Popular Alternative:</w:t>
            </w:r>
            <w:r w:rsidRPr="009A58B2">
              <w:rPr>
                <w:rFonts w:ascii="Calibri" w:hAnsi="Calibri"/>
                <w:sz w:val="30"/>
                <w:szCs w:val="30"/>
              </w:rPr>
              <w:t xml:space="preserve"> </w:t>
            </w:r>
            <w:proofErr w:type="spellStart"/>
            <w:r w:rsidRPr="009A58B2">
              <w:rPr>
                <w:rFonts w:ascii="Calibri" w:hAnsi="Calibri"/>
                <w:sz w:val="30"/>
                <w:szCs w:val="30"/>
              </w:rPr>
              <w:t>Boleto</w:t>
            </w:r>
            <w:proofErr w:type="spellEnd"/>
            <w:r w:rsidRPr="009A58B2">
              <w:rPr>
                <w:rFonts w:ascii="Calibri" w:hAnsi="Calibri"/>
                <w:sz w:val="30"/>
                <w:szCs w:val="30"/>
              </w:rPr>
              <w:t xml:space="preserve"> was the second most preferred method, making up </w:t>
            </w:r>
            <w:r w:rsidRPr="009A58B2">
              <w:rPr>
                <w:rFonts w:ascii="Calibri" w:hAnsi="Calibri"/>
                <w:b/>
                <w:bCs/>
                <w:sz w:val="30"/>
                <w:szCs w:val="30"/>
              </w:rPr>
              <w:t>19.04% (19.78K transactions)</w:t>
            </w:r>
            <w:r w:rsidRPr="009A58B2">
              <w:rPr>
                <w:rFonts w:ascii="Calibri" w:hAnsi="Calibri"/>
                <w:sz w:val="30"/>
                <w:szCs w:val="30"/>
              </w:rPr>
              <w:t xml:space="preserve"> of total transactions.</w:t>
            </w:r>
          </w:p>
          <w:p w14:paraId="373C992F" w14:textId="77777777" w:rsidR="009A58B2" w:rsidRDefault="009A58B2" w:rsidP="009A58B2">
            <w:pPr>
              <w:pStyle w:val="Text"/>
              <w:numPr>
                <w:ilvl w:val="0"/>
                <w:numId w:val="5"/>
              </w:numPr>
              <w:spacing w:before="240"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9A58B2">
              <w:rPr>
                <w:rFonts w:ascii="Calibri" w:hAnsi="Calibri"/>
                <w:b/>
                <w:bCs/>
                <w:sz w:val="30"/>
                <w:szCs w:val="30"/>
              </w:rPr>
              <w:t>Growing Payment Type:</w:t>
            </w:r>
            <w:r w:rsidRPr="009A58B2">
              <w:rPr>
                <w:rFonts w:ascii="Calibri" w:hAnsi="Calibri"/>
                <w:sz w:val="30"/>
                <w:szCs w:val="30"/>
              </w:rPr>
              <w:t xml:space="preserve"> Voucher payments saw </w:t>
            </w:r>
            <w:r w:rsidRPr="009A58B2">
              <w:rPr>
                <w:rFonts w:ascii="Calibri" w:hAnsi="Calibri"/>
                <w:b/>
                <w:bCs/>
                <w:sz w:val="30"/>
                <w:szCs w:val="30"/>
              </w:rPr>
              <w:t>5.56% (5.78K transactions)</w:t>
            </w:r>
            <w:r w:rsidRPr="009A58B2">
              <w:rPr>
                <w:rFonts w:ascii="Calibri" w:hAnsi="Calibri"/>
                <w:sz w:val="30"/>
                <w:szCs w:val="30"/>
              </w:rPr>
              <w:t xml:space="preserve"> of total payments, with a notable </w:t>
            </w:r>
            <w:r w:rsidRPr="009A58B2">
              <w:rPr>
                <w:rFonts w:ascii="Calibri" w:hAnsi="Calibri"/>
                <w:b/>
                <w:bCs/>
                <w:sz w:val="30"/>
                <w:szCs w:val="30"/>
              </w:rPr>
              <w:t>47% increase</w:t>
            </w:r>
            <w:r w:rsidRPr="009A58B2">
              <w:rPr>
                <w:rFonts w:ascii="Calibri" w:hAnsi="Calibri"/>
                <w:sz w:val="30"/>
                <w:szCs w:val="30"/>
              </w:rPr>
              <w:t>, indicating a rising trend.</w:t>
            </w:r>
          </w:p>
          <w:p w14:paraId="0B10A418" w14:textId="4FB6EA05" w:rsidR="009A58B2" w:rsidRPr="009A58B2" w:rsidRDefault="009A58B2" w:rsidP="009A58B2">
            <w:pPr>
              <w:pStyle w:val="Text"/>
              <w:numPr>
                <w:ilvl w:val="0"/>
                <w:numId w:val="5"/>
              </w:numPr>
              <w:spacing w:before="240"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9A58B2">
              <w:rPr>
                <w:rFonts w:ascii="Calibri" w:hAnsi="Calibri"/>
                <w:b/>
                <w:bCs/>
                <w:sz w:val="30"/>
                <w:szCs w:val="30"/>
              </w:rPr>
              <w:t>Least Used Payment Method:</w:t>
            </w:r>
            <w:r w:rsidRPr="009A58B2">
              <w:rPr>
                <w:rFonts w:ascii="Calibri" w:hAnsi="Calibri"/>
                <w:sz w:val="30"/>
                <w:szCs w:val="30"/>
              </w:rPr>
              <w:t xml:space="preserve"> Debit card transactions were minimal, totaling </w:t>
            </w:r>
            <w:r w:rsidRPr="009A58B2">
              <w:rPr>
                <w:rFonts w:ascii="Calibri" w:hAnsi="Calibri"/>
                <w:b/>
                <w:bCs/>
                <w:sz w:val="30"/>
                <w:szCs w:val="30"/>
              </w:rPr>
              <w:t>1.53K</w:t>
            </w:r>
            <w:r w:rsidRPr="009A58B2">
              <w:rPr>
                <w:rFonts w:ascii="Calibri" w:hAnsi="Calibri"/>
                <w:sz w:val="30"/>
                <w:szCs w:val="30"/>
              </w:rPr>
              <w:t>, making it the least preferred payment option.</w:t>
            </w:r>
          </w:p>
          <w:p w14:paraId="045B644C" w14:textId="28FB89F2" w:rsidR="00DC5478" w:rsidRPr="00DC5478" w:rsidRDefault="009A58B2" w:rsidP="00DC5478">
            <w:pPr>
              <w:pStyle w:val="Text"/>
              <w:spacing w:after="240"/>
              <w:jc w:val="both"/>
              <w:rPr>
                <w:rFonts w:ascii="Calibri" w:hAnsi="Calibri"/>
                <w:sz w:val="30"/>
                <w:szCs w:val="30"/>
              </w:rPr>
            </w:pPr>
            <w:r w:rsidRPr="009A58B2">
              <w:rPr>
                <w:rFonts w:ascii="Calibri" w:hAnsi="Calibri"/>
                <w:sz w:val="30"/>
                <w:szCs w:val="30"/>
              </w:rPr>
              <w:t>The dominance of credit cards suggests a strong preference for flexible payments, while the growth in voucher payments may indicate increasing adoption due to promotions or corporate benefits.</w:t>
            </w:r>
          </w:p>
          <w:p w14:paraId="1A6E0F25" w14:textId="49E45576" w:rsidR="009A58B2" w:rsidRDefault="00DC5478" w:rsidP="00DC5478">
            <w:pPr>
              <w:pStyle w:val="Text"/>
              <w:spacing w:before="240"/>
            </w:pPr>
            <w:r w:rsidRPr="00DC5478">
              <w:drawing>
                <wp:inline distT="0" distB="0" distL="0" distR="0" wp14:anchorId="57AF79E4" wp14:editId="6755CEDA">
                  <wp:extent cx="5476874" cy="2762534"/>
                  <wp:effectExtent l="76200" t="76200" r="67310" b="7620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CF330B-503E-4E99-A2C0-7F46ABC622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31CF330B-503E-4E99-A2C0-7F46ABC622A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492" cy="2783022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E66914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F7955" w14:textId="77777777" w:rsidR="009A58B2" w:rsidRDefault="009A58B2" w:rsidP="0041251A">
            <w:pPr>
              <w:pStyle w:val="Text"/>
            </w:pPr>
          </w:p>
          <w:p w14:paraId="1671DA35" w14:textId="77777777" w:rsidR="009A58B2" w:rsidRDefault="009A58B2" w:rsidP="0041251A">
            <w:pPr>
              <w:pStyle w:val="Text"/>
            </w:pPr>
          </w:p>
          <w:p w14:paraId="56CC44CB" w14:textId="77777777" w:rsidR="009A58B2" w:rsidRDefault="009A58B2" w:rsidP="0041251A">
            <w:pPr>
              <w:pStyle w:val="Text"/>
            </w:pPr>
          </w:p>
          <w:p w14:paraId="16D13F9D" w14:textId="77777777" w:rsidR="009A58B2" w:rsidRDefault="009A58B2" w:rsidP="0041251A">
            <w:pPr>
              <w:pStyle w:val="Text"/>
            </w:pPr>
          </w:p>
          <w:p w14:paraId="42BDCDB4" w14:textId="77777777" w:rsidR="009A58B2" w:rsidRDefault="009A58B2" w:rsidP="0041251A">
            <w:pPr>
              <w:pStyle w:val="Text"/>
            </w:pPr>
          </w:p>
          <w:p w14:paraId="61B9923E" w14:textId="7482387B" w:rsidR="009A58B2" w:rsidRDefault="009A58B2" w:rsidP="0041251A">
            <w:pPr>
              <w:pStyle w:val="Text"/>
            </w:pPr>
          </w:p>
        </w:tc>
        <w:tc>
          <w:tcPr>
            <w:tcW w:w="900" w:type="dxa"/>
          </w:tcPr>
          <w:p w14:paraId="272C47B1" w14:textId="77777777" w:rsidR="00E901A6" w:rsidRDefault="00E901A6" w:rsidP="0041251A"/>
        </w:tc>
      </w:tr>
      <w:tr w:rsidR="00E901A6" w14:paraId="31663F7F" w14:textId="77777777" w:rsidTr="009E5698">
        <w:trPr>
          <w:gridBefore w:val="1"/>
          <w:wBefore w:w="450" w:type="dxa"/>
          <w:trHeight w:val="3333"/>
        </w:trPr>
        <w:tc>
          <w:tcPr>
            <w:tcW w:w="453" w:type="dxa"/>
          </w:tcPr>
          <w:p w14:paraId="19F64B59" w14:textId="77777777" w:rsidR="00E901A6" w:rsidRDefault="00E901A6" w:rsidP="0041251A"/>
        </w:tc>
        <w:tc>
          <w:tcPr>
            <w:tcW w:w="8993" w:type="dxa"/>
            <w:gridSpan w:val="6"/>
            <w:tcBorders>
              <w:top w:val="single" w:sz="18" w:space="0" w:color="44546A" w:themeColor="text2"/>
            </w:tcBorders>
          </w:tcPr>
          <w:p w14:paraId="1656B454" w14:textId="77777777" w:rsidR="009E5698" w:rsidRPr="009E5698" w:rsidRDefault="009E5698" w:rsidP="009E5698">
            <w:pPr>
              <w:pStyle w:val="Heading3"/>
              <w:spacing w:before="0"/>
              <w:rPr>
                <w:rFonts w:ascii="Lato Black" w:hAnsi="Lato Black"/>
                <w:sz w:val="16"/>
                <w:szCs w:val="16"/>
              </w:rPr>
            </w:pPr>
          </w:p>
          <w:p w14:paraId="18B5509A" w14:textId="30DFD763" w:rsidR="00E901A6" w:rsidRPr="009E5698" w:rsidRDefault="00CE0518" w:rsidP="0041251A">
            <w:pPr>
              <w:pStyle w:val="Heading3"/>
              <w:rPr>
                <w:rFonts w:ascii="Lato Black" w:hAnsi="Lato Black"/>
              </w:rPr>
            </w:pPr>
            <w:r w:rsidRPr="009E5698">
              <w:rPr>
                <w:rFonts w:ascii="Lato Black" w:hAnsi="Lato Black"/>
              </w:rPr>
              <w:t>PRODUCT RATING ANALYSIS</w:t>
            </w:r>
          </w:p>
          <w:p w14:paraId="7EE1F16B" w14:textId="77777777" w:rsidR="00E901A6" w:rsidRDefault="00E901A6" w:rsidP="0041251A"/>
          <w:p w14:paraId="11EA9745" w14:textId="77777777" w:rsidR="007747E6" w:rsidRDefault="007747E6" w:rsidP="007747E6">
            <w:pPr>
              <w:pStyle w:val="Text"/>
              <w:numPr>
                <w:ilvl w:val="0"/>
                <w:numId w:val="5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7747E6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Highest Rated Product Category:</w:t>
            </w:r>
            <w:r w:rsidRPr="007747E6">
              <w:rPr>
                <w:rFonts w:ascii="Calibri" w:hAnsi="Calibri"/>
                <w:sz w:val="30"/>
                <w:szCs w:val="30"/>
                <w:lang w:val="en-IN"/>
              </w:rPr>
              <w:t xml:space="preserve"> CDs, DVDs, and Musicals had the highest average rating </w:t>
            </w:r>
            <w:r w:rsidRPr="007747E6">
              <w:rPr>
                <w:rFonts w:ascii="Calibri" w:hAnsi="Calibri"/>
                <w:b/>
                <w:sz w:val="30"/>
                <w:szCs w:val="30"/>
                <w:lang w:val="en-IN"/>
              </w:rPr>
              <w:t>(4.67),</w:t>
            </w:r>
            <w:r w:rsidRPr="007747E6">
              <w:rPr>
                <w:rFonts w:ascii="Calibri" w:hAnsi="Calibri"/>
                <w:sz w:val="30"/>
                <w:szCs w:val="30"/>
                <w:lang w:val="en-IN"/>
              </w:rPr>
              <w:t xml:space="preserve"> followed by Fashion - Children's Clothes (4.50) and Books - General Interest </w:t>
            </w:r>
            <w:r w:rsidRPr="007747E6">
              <w:rPr>
                <w:rFonts w:ascii="Calibri" w:hAnsi="Calibri"/>
                <w:b/>
                <w:sz w:val="30"/>
                <w:szCs w:val="30"/>
                <w:lang w:val="en-IN"/>
              </w:rPr>
              <w:t>(4.46).</w:t>
            </w:r>
            <w:r w:rsidRPr="007747E6">
              <w:rPr>
                <w:rFonts w:ascii="Calibri" w:hAnsi="Calibri"/>
                <w:sz w:val="30"/>
                <w:szCs w:val="30"/>
                <w:lang w:val="en-IN"/>
              </w:rPr>
              <w:t xml:space="preserve"> </w:t>
            </w:r>
          </w:p>
          <w:p w14:paraId="266A419F" w14:textId="77777777" w:rsidR="007747E6" w:rsidRDefault="007747E6" w:rsidP="007747E6">
            <w:pPr>
              <w:pStyle w:val="Text"/>
              <w:numPr>
                <w:ilvl w:val="0"/>
                <w:numId w:val="5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7747E6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Lowest Rated Product Category:</w:t>
            </w:r>
            <w:r w:rsidRPr="007747E6">
              <w:rPr>
                <w:rFonts w:ascii="Calibri" w:hAnsi="Calibri"/>
                <w:sz w:val="30"/>
                <w:szCs w:val="30"/>
                <w:lang w:val="en-IN"/>
              </w:rPr>
              <w:t xml:space="preserve"> Security &amp; Services received the lowest rating </w:t>
            </w:r>
            <w:r w:rsidRPr="007747E6">
              <w:rPr>
                <w:rFonts w:ascii="Calibri" w:hAnsi="Calibri"/>
                <w:b/>
                <w:sz w:val="30"/>
                <w:szCs w:val="30"/>
                <w:lang w:val="en-IN"/>
              </w:rPr>
              <w:t xml:space="preserve">(2.50), </w:t>
            </w:r>
            <w:r w:rsidRPr="007747E6">
              <w:rPr>
                <w:rFonts w:ascii="Calibri" w:hAnsi="Calibri"/>
                <w:sz w:val="30"/>
                <w:szCs w:val="30"/>
                <w:lang w:val="en-IN"/>
              </w:rPr>
              <w:t xml:space="preserve">followed by Office Furniture </w:t>
            </w:r>
            <w:r w:rsidRPr="007747E6">
              <w:rPr>
                <w:rFonts w:ascii="Calibri" w:hAnsi="Calibri"/>
                <w:b/>
                <w:sz w:val="30"/>
                <w:szCs w:val="30"/>
                <w:lang w:val="en-IN"/>
              </w:rPr>
              <w:t>(3.61)</w:t>
            </w:r>
            <w:r w:rsidRPr="007747E6">
              <w:rPr>
                <w:rFonts w:ascii="Calibri" w:hAnsi="Calibri"/>
                <w:sz w:val="30"/>
                <w:szCs w:val="30"/>
                <w:lang w:val="en-IN"/>
              </w:rPr>
              <w:t xml:space="preserve"> and Fashion - Male Clothing </w:t>
            </w:r>
            <w:r w:rsidRPr="007747E6">
              <w:rPr>
                <w:rFonts w:ascii="Calibri" w:hAnsi="Calibri"/>
                <w:b/>
                <w:sz w:val="30"/>
                <w:szCs w:val="30"/>
                <w:lang w:val="en-IN"/>
              </w:rPr>
              <w:t>(3.68).</w:t>
            </w:r>
            <w:r w:rsidRPr="007747E6">
              <w:rPr>
                <w:rFonts w:ascii="Calibri" w:hAnsi="Calibri"/>
                <w:sz w:val="30"/>
                <w:szCs w:val="30"/>
                <w:lang w:val="en-IN"/>
              </w:rPr>
              <w:t xml:space="preserve"> </w:t>
            </w:r>
          </w:p>
          <w:p w14:paraId="22F31F8F" w14:textId="77777777" w:rsidR="007747E6" w:rsidRDefault="007747E6" w:rsidP="007747E6">
            <w:pPr>
              <w:pStyle w:val="Text"/>
              <w:numPr>
                <w:ilvl w:val="0"/>
                <w:numId w:val="5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7747E6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Delayed Orders with High Ratings:</w:t>
            </w:r>
            <w:r w:rsidRPr="007747E6">
              <w:rPr>
                <w:rFonts w:ascii="Calibri" w:hAnsi="Calibri"/>
                <w:sz w:val="30"/>
                <w:szCs w:val="30"/>
                <w:lang w:val="en-IN"/>
              </w:rPr>
              <w:t xml:space="preserve"> Despite delivery delays, products like CDs, Books, and Children’s Clothes maintained strong ratings, indicating high customer satisfaction with product quality. </w:t>
            </w:r>
          </w:p>
          <w:p w14:paraId="7A80290E" w14:textId="50F6B10D" w:rsidR="007747E6" w:rsidRPr="007747E6" w:rsidRDefault="007747E6" w:rsidP="007747E6">
            <w:pPr>
              <w:pStyle w:val="Text"/>
              <w:numPr>
                <w:ilvl w:val="0"/>
                <w:numId w:val="5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7747E6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Categories with Low Ratings &amp; Delays:</w:t>
            </w:r>
            <w:r w:rsidRPr="007747E6">
              <w:rPr>
                <w:rFonts w:ascii="Calibri" w:hAnsi="Calibri"/>
                <w:sz w:val="30"/>
                <w:szCs w:val="30"/>
                <w:lang w:val="en-IN"/>
              </w:rPr>
              <w:t xml:space="preserve"> Office Furniture and Security &amp; Services had both lower ratings and delayed orders, suggesting potential concerns with quality or service expectations. </w:t>
            </w:r>
          </w:p>
          <w:p w14:paraId="2BF4C31D" w14:textId="43680302" w:rsidR="00E901A6" w:rsidRDefault="007747E6" w:rsidP="007747E6">
            <w:pPr>
              <w:pStyle w:val="Text"/>
              <w:spacing w:before="240" w:line="276" w:lineRule="auto"/>
              <w:jc w:val="both"/>
            </w:pPr>
            <w:r w:rsidRPr="007747E6">
              <w:rPr>
                <w:rFonts w:ascii="Calibri" w:hAnsi="Calibri"/>
                <w:sz w:val="30"/>
                <w:szCs w:val="30"/>
                <w:lang w:val="en-IN"/>
              </w:rPr>
              <w:t>Entertainment and book-related products maintain high satisfaction, while service-based and office-related items struggle with ratings, possibly due to performance issues or unmet customer expectations.</w:t>
            </w:r>
          </w:p>
        </w:tc>
        <w:tc>
          <w:tcPr>
            <w:tcW w:w="900" w:type="dxa"/>
          </w:tcPr>
          <w:p w14:paraId="67EE05ED" w14:textId="77777777" w:rsidR="00E901A6" w:rsidRDefault="00E901A6" w:rsidP="0041251A"/>
        </w:tc>
      </w:tr>
      <w:tr w:rsidR="007747E6" w14:paraId="62B027B0" w14:textId="77777777" w:rsidTr="007747E6">
        <w:trPr>
          <w:gridBefore w:val="1"/>
          <w:gridAfter w:val="2"/>
          <w:wBefore w:w="450" w:type="dxa"/>
          <w:wAfter w:w="5396" w:type="dxa"/>
          <w:trHeight w:val="747"/>
        </w:trPr>
        <w:tc>
          <w:tcPr>
            <w:tcW w:w="453" w:type="dxa"/>
          </w:tcPr>
          <w:p w14:paraId="3A9EC247" w14:textId="77777777" w:rsidR="007747E6" w:rsidRDefault="007747E6" w:rsidP="0041251A"/>
        </w:tc>
        <w:tc>
          <w:tcPr>
            <w:tcW w:w="899" w:type="dxa"/>
          </w:tcPr>
          <w:p w14:paraId="77900125" w14:textId="77777777" w:rsidR="007747E6" w:rsidRDefault="007747E6" w:rsidP="0041251A"/>
        </w:tc>
        <w:tc>
          <w:tcPr>
            <w:tcW w:w="899" w:type="dxa"/>
          </w:tcPr>
          <w:p w14:paraId="4C9DF1BA" w14:textId="7FF2405F" w:rsidR="007747E6" w:rsidRDefault="007747E6" w:rsidP="0041251A"/>
        </w:tc>
        <w:tc>
          <w:tcPr>
            <w:tcW w:w="899" w:type="dxa"/>
          </w:tcPr>
          <w:p w14:paraId="624F41FD" w14:textId="77777777" w:rsidR="007747E6" w:rsidRDefault="007747E6" w:rsidP="0041251A"/>
        </w:tc>
        <w:tc>
          <w:tcPr>
            <w:tcW w:w="900" w:type="dxa"/>
          </w:tcPr>
          <w:p w14:paraId="15A36373" w14:textId="77777777" w:rsidR="007747E6" w:rsidRDefault="007747E6" w:rsidP="0041251A"/>
        </w:tc>
        <w:tc>
          <w:tcPr>
            <w:tcW w:w="900" w:type="dxa"/>
          </w:tcPr>
          <w:p w14:paraId="382AF2C4" w14:textId="77777777" w:rsidR="007747E6" w:rsidRDefault="007747E6" w:rsidP="0041251A"/>
        </w:tc>
      </w:tr>
      <w:tr w:rsidR="00C87148" w14:paraId="4BE04032" w14:textId="77777777" w:rsidTr="007747E6">
        <w:trPr>
          <w:gridBefore w:val="1"/>
          <w:gridAfter w:val="2"/>
          <w:wBefore w:w="450" w:type="dxa"/>
          <w:wAfter w:w="5396" w:type="dxa"/>
          <w:trHeight w:val="747"/>
        </w:trPr>
        <w:tc>
          <w:tcPr>
            <w:tcW w:w="453" w:type="dxa"/>
          </w:tcPr>
          <w:p w14:paraId="56B6C859" w14:textId="77777777" w:rsidR="00C87148" w:rsidRDefault="00C87148" w:rsidP="0041251A"/>
          <w:p w14:paraId="16F5D53E" w14:textId="77777777" w:rsidR="00C87148" w:rsidRDefault="00C87148" w:rsidP="0041251A"/>
          <w:p w14:paraId="29E5E7ED" w14:textId="77777777" w:rsidR="00C87148" w:rsidRDefault="00C87148" w:rsidP="0041251A"/>
          <w:p w14:paraId="22957CC2" w14:textId="77777777" w:rsidR="00C87148" w:rsidRDefault="00C87148" w:rsidP="0041251A"/>
          <w:p w14:paraId="398E1560" w14:textId="77777777" w:rsidR="00C87148" w:rsidRDefault="00C87148" w:rsidP="0041251A"/>
          <w:p w14:paraId="3F3B5035" w14:textId="77777777" w:rsidR="00C87148" w:rsidRDefault="00C87148" w:rsidP="0041251A"/>
          <w:p w14:paraId="248D99FC" w14:textId="77777777" w:rsidR="00C87148" w:rsidRDefault="00C87148" w:rsidP="0041251A"/>
          <w:p w14:paraId="5E854FF8" w14:textId="77777777" w:rsidR="00C87148" w:rsidRDefault="00C87148" w:rsidP="0041251A"/>
          <w:p w14:paraId="00328DCE" w14:textId="77777777" w:rsidR="00C87148" w:rsidRDefault="00C87148" w:rsidP="0041251A"/>
          <w:p w14:paraId="1DB055C2" w14:textId="77777777" w:rsidR="00C87148" w:rsidRDefault="00C87148" w:rsidP="0041251A"/>
          <w:p w14:paraId="15F22EC3" w14:textId="77777777" w:rsidR="00C87148" w:rsidRDefault="00C87148" w:rsidP="0041251A"/>
          <w:p w14:paraId="47A7BD58" w14:textId="10D6A7DB" w:rsidR="00C87148" w:rsidRDefault="00C87148" w:rsidP="0041251A"/>
        </w:tc>
        <w:tc>
          <w:tcPr>
            <w:tcW w:w="899" w:type="dxa"/>
          </w:tcPr>
          <w:p w14:paraId="0917C2FF" w14:textId="77777777" w:rsidR="00C87148" w:rsidRDefault="00C87148" w:rsidP="0041251A"/>
        </w:tc>
        <w:tc>
          <w:tcPr>
            <w:tcW w:w="899" w:type="dxa"/>
          </w:tcPr>
          <w:p w14:paraId="6FA064EF" w14:textId="77777777" w:rsidR="00C87148" w:rsidRPr="00C87148" w:rsidRDefault="00C87148" w:rsidP="0041251A"/>
        </w:tc>
        <w:tc>
          <w:tcPr>
            <w:tcW w:w="899" w:type="dxa"/>
          </w:tcPr>
          <w:p w14:paraId="774D1CC8" w14:textId="77777777" w:rsidR="00C87148" w:rsidRDefault="00C87148" w:rsidP="0041251A"/>
        </w:tc>
        <w:tc>
          <w:tcPr>
            <w:tcW w:w="900" w:type="dxa"/>
          </w:tcPr>
          <w:p w14:paraId="64561D84" w14:textId="0B9C7DB1" w:rsidR="00C87148" w:rsidRDefault="00C87148" w:rsidP="0041251A">
            <w:r w:rsidRPr="00C87148">
              <w:drawing>
                <wp:anchor distT="0" distB="0" distL="114300" distR="114300" simplePos="0" relativeHeight="251662336" behindDoc="0" locked="0" layoutInCell="1" allowOverlap="1" wp14:anchorId="475BC3C3" wp14:editId="133E846A">
                  <wp:simplePos x="0" y="0"/>
                  <wp:positionH relativeFrom="column">
                    <wp:posOffset>-1684361</wp:posOffset>
                  </wp:positionH>
                  <wp:positionV relativeFrom="paragraph">
                    <wp:posOffset>-325679</wp:posOffset>
                  </wp:positionV>
                  <wp:extent cx="5594350" cy="2980898"/>
                  <wp:effectExtent l="76200" t="76200" r="82550" b="67310"/>
                  <wp:wrapNone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95EAE0-D77B-4E8C-A691-6E753266216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1595EAE0-D77B-4E8C-A691-6E75326621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363" cy="2986233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E66914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</w:tcPr>
          <w:p w14:paraId="56B72A57" w14:textId="478DC062" w:rsidR="00C87148" w:rsidRDefault="00C87148" w:rsidP="0041251A"/>
        </w:tc>
      </w:tr>
      <w:tr w:rsidR="00E901A6" w14:paraId="603E5CDC" w14:textId="77777777" w:rsidTr="009E5698">
        <w:trPr>
          <w:trHeight w:val="1818"/>
        </w:trPr>
        <w:tc>
          <w:tcPr>
            <w:tcW w:w="903" w:type="dxa"/>
            <w:gridSpan w:val="2"/>
          </w:tcPr>
          <w:p w14:paraId="5CB98E3D" w14:textId="77777777" w:rsidR="00E901A6" w:rsidRDefault="00E901A6" w:rsidP="0041251A"/>
        </w:tc>
        <w:tc>
          <w:tcPr>
            <w:tcW w:w="8993" w:type="dxa"/>
            <w:gridSpan w:val="6"/>
            <w:tcBorders>
              <w:top w:val="single" w:sz="18" w:space="0" w:color="44546A" w:themeColor="text2"/>
            </w:tcBorders>
          </w:tcPr>
          <w:p w14:paraId="025D7153" w14:textId="77777777" w:rsidR="00C87148" w:rsidRDefault="00C87148" w:rsidP="0041251A">
            <w:pPr>
              <w:pStyle w:val="Heading3"/>
            </w:pPr>
          </w:p>
          <w:p w14:paraId="540CF021" w14:textId="4B287CA7" w:rsidR="00C87148" w:rsidRDefault="00C87148" w:rsidP="0041251A">
            <w:pPr>
              <w:pStyle w:val="Heading3"/>
            </w:pPr>
            <w:r w:rsidRPr="00C87148">
              <w:drawing>
                <wp:inline distT="0" distB="0" distL="0" distR="0" wp14:anchorId="6B4300CF" wp14:editId="57794603">
                  <wp:extent cx="5565140" cy="3103728"/>
                  <wp:effectExtent l="76200" t="76200" r="73660" b="78105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2A52CE-A6CF-4F43-BE54-374220DFBBE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D2A52CE-A6CF-4F43-BE54-374220DFBBE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381" cy="3109997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E66914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49925" w14:textId="77777777" w:rsidR="00C87148" w:rsidRDefault="00C87148" w:rsidP="0041251A">
            <w:pPr>
              <w:pStyle w:val="Heading3"/>
            </w:pPr>
          </w:p>
          <w:p w14:paraId="478A2A69" w14:textId="77777777" w:rsidR="00C87148" w:rsidRDefault="00C87148" w:rsidP="0041251A">
            <w:pPr>
              <w:pStyle w:val="Heading3"/>
            </w:pPr>
          </w:p>
          <w:p w14:paraId="33A02232" w14:textId="77777777" w:rsidR="00C87148" w:rsidRDefault="00C87148" w:rsidP="0041251A">
            <w:pPr>
              <w:pStyle w:val="Heading3"/>
            </w:pPr>
          </w:p>
          <w:p w14:paraId="15DFC757" w14:textId="77777777" w:rsidR="00C87148" w:rsidRDefault="00C87148" w:rsidP="0041251A">
            <w:pPr>
              <w:pStyle w:val="Heading3"/>
            </w:pPr>
          </w:p>
          <w:p w14:paraId="2357A54F" w14:textId="77777777" w:rsidR="00C87148" w:rsidRDefault="00C87148" w:rsidP="0041251A">
            <w:pPr>
              <w:pStyle w:val="Heading3"/>
            </w:pPr>
          </w:p>
          <w:p w14:paraId="2962C4C5" w14:textId="627FC006" w:rsidR="00C87148" w:rsidRDefault="00C87148" w:rsidP="0041251A">
            <w:pPr>
              <w:pStyle w:val="Heading3"/>
            </w:pPr>
          </w:p>
          <w:p w14:paraId="59F68556" w14:textId="6166284E" w:rsidR="00C87148" w:rsidRDefault="00C87148" w:rsidP="00C87148"/>
          <w:p w14:paraId="2725200A" w14:textId="564AE218" w:rsidR="00C87148" w:rsidRDefault="00C87148" w:rsidP="00C87148"/>
          <w:p w14:paraId="11D090FB" w14:textId="0956B3FF" w:rsidR="00C87148" w:rsidRDefault="00C87148" w:rsidP="00C87148"/>
          <w:p w14:paraId="5E43E3B3" w14:textId="6D832E5B" w:rsidR="00C87148" w:rsidRDefault="00C87148" w:rsidP="00C87148"/>
          <w:p w14:paraId="5C963B37" w14:textId="0A6A8506" w:rsidR="00C87148" w:rsidRDefault="00C87148" w:rsidP="00C87148"/>
          <w:p w14:paraId="337DFB11" w14:textId="03158463" w:rsidR="00C87148" w:rsidRDefault="00C87148" w:rsidP="00C87148"/>
          <w:p w14:paraId="6B8468D5" w14:textId="51B6AD4A" w:rsidR="00C87148" w:rsidRDefault="00C87148" w:rsidP="00C87148"/>
          <w:p w14:paraId="6822CEAA" w14:textId="1A5F4759" w:rsidR="00C87148" w:rsidRDefault="00C87148" w:rsidP="00C87148"/>
          <w:p w14:paraId="5440D0E9" w14:textId="559B6198" w:rsidR="00C87148" w:rsidRDefault="00C87148" w:rsidP="00C87148"/>
          <w:p w14:paraId="44FBF416" w14:textId="10CFD11A" w:rsidR="00C87148" w:rsidRDefault="00C87148" w:rsidP="00C87148"/>
          <w:p w14:paraId="0F959582" w14:textId="78956581" w:rsidR="00C87148" w:rsidRDefault="00C87148" w:rsidP="00C87148"/>
          <w:p w14:paraId="1663F86E" w14:textId="143E6376" w:rsidR="00C87148" w:rsidRDefault="00C87148" w:rsidP="00C87148"/>
          <w:p w14:paraId="387A74FE" w14:textId="4CE706EB" w:rsidR="00C87148" w:rsidRDefault="00C87148" w:rsidP="00C87148"/>
          <w:p w14:paraId="56014C9F" w14:textId="0AE55525" w:rsidR="00C87148" w:rsidRDefault="00C87148" w:rsidP="00C87148"/>
          <w:p w14:paraId="1B0016B4" w14:textId="77777777" w:rsidR="00C87148" w:rsidRPr="00C87148" w:rsidRDefault="00C87148" w:rsidP="00C87148"/>
          <w:p w14:paraId="64294482" w14:textId="77777777" w:rsidR="00C87148" w:rsidRDefault="00C87148" w:rsidP="0041251A">
            <w:pPr>
              <w:pStyle w:val="Heading3"/>
            </w:pPr>
          </w:p>
          <w:p w14:paraId="1F2567E1" w14:textId="77777777" w:rsidR="00C87148" w:rsidRDefault="00C87148" w:rsidP="0041251A">
            <w:pPr>
              <w:pStyle w:val="Heading3"/>
            </w:pPr>
          </w:p>
          <w:p w14:paraId="71F07D04" w14:textId="77777777" w:rsidR="00B61CC7" w:rsidRPr="00B61CC7" w:rsidRDefault="00B61CC7" w:rsidP="00575216">
            <w:pPr>
              <w:pStyle w:val="Heading3"/>
              <w:rPr>
                <w:sz w:val="16"/>
                <w:szCs w:val="16"/>
              </w:rPr>
            </w:pPr>
          </w:p>
          <w:p w14:paraId="6FC7856C" w14:textId="77777777" w:rsidR="00B61CC7" w:rsidRPr="00B61CC7" w:rsidRDefault="00B61CC7" w:rsidP="00B61CC7">
            <w:pPr>
              <w:pStyle w:val="Heading3"/>
              <w:spacing w:before="0"/>
              <w:rPr>
                <w:sz w:val="16"/>
                <w:szCs w:val="16"/>
              </w:rPr>
            </w:pPr>
          </w:p>
          <w:p w14:paraId="7310D7FF" w14:textId="147BE331" w:rsidR="00E901A6" w:rsidRPr="00B61CC7" w:rsidRDefault="00CE0518" w:rsidP="00575216">
            <w:pPr>
              <w:pStyle w:val="Heading3"/>
              <w:rPr>
                <w:rFonts w:ascii="Lato Black" w:hAnsi="Lato Black"/>
              </w:rPr>
            </w:pPr>
            <w:r w:rsidRPr="00B61CC7">
              <w:rPr>
                <w:rFonts w:ascii="Lato Black" w:hAnsi="Lato Black"/>
              </w:rPr>
              <w:t>STATE-WISE SALES ANALYSIS</w:t>
            </w:r>
          </w:p>
          <w:p w14:paraId="624285E2" w14:textId="19C3362C" w:rsidR="00575216" w:rsidRPr="00575216" w:rsidRDefault="00575216" w:rsidP="00575216">
            <w:pPr>
              <w:pStyle w:val="Text"/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575216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Highest Sales Region:</w:t>
            </w:r>
            <w:r w:rsidRPr="00575216">
              <w:rPr>
                <w:rFonts w:ascii="Calibri" w:hAnsi="Calibri"/>
                <w:sz w:val="30"/>
                <w:szCs w:val="30"/>
                <w:lang w:val="en-IN"/>
              </w:rPr>
              <w:t xml:space="preserve"> South America, particularly Brazil, has the highest sales volume, indicated by the largest bubble size.</w:t>
            </w:r>
          </w:p>
          <w:p w14:paraId="2D1716E1" w14:textId="77777777" w:rsidR="00575216" w:rsidRPr="00575216" w:rsidRDefault="00575216" w:rsidP="00575216">
            <w:pPr>
              <w:pStyle w:val="Text"/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575216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Moderate Sales in North America:</w:t>
            </w:r>
            <w:r w:rsidRPr="00575216">
              <w:rPr>
                <w:rFonts w:ascii="Calibri" w:hAnsi="Calibri"/>
                <w:sz w:val="30"/>
                <w:szCs w:val="30"/>
                <w:lang w:val="en-IN"/>
              </w:rPr>
              <w:t xml:space="preserve"> The U.S. has multiple sales points with moderate transaction volumes.</w:t>
            </w:r>
          </w:p>
          <w:p w14:paraId="69D57F2A" w14:textId="77777777" w:rsidR="00575216" w:rsidRPr="00575216" w:rsidRDefault="00575216" w:rsidP="00575216">
            <w:pPr>
              <w:pStyle w:val="Text"/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575216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Limited Sales in Asia &amp; Europe:</w:t>
            </w:r>
            <w:r w:rsidRPr="00575216">
              <w:rPr>
                <w:rFonts w:ascii="Calibri" w:hAnsi="Calibri"/>
                <w:sz w:val="30"/>
                <w:szCs w:val="30"/>
                <w:lang w:val="en-IN"/>
              </w:rPr>
              <w:t xml:space="preserve"> Only a few sales data points are visible in these regions, suggesting lower market penetration.</w:t>
            </w:r>
          </w:p>
          <w:p w14:paraId="3E7C6EC3" w14:textId="77777777" w:rsidR="00575216" w:rsidRPr="00575216" w:rsidRDefault="00575216" w:rsidP="00575216">
            <w:pPr>
              <w:pStyle w:val="Text"/>
              <w:numPr>
                <w:ilvl w:val="0"/>
                <w:numId w:val="6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575216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Expansion Opportunity:</w:t>
            </w:r>
            <w:r w:rsidRPr="00575216">
              <w:rPr>
                <w:rFonts w:ascii="Calibri" w:hAnsi="Calibri"/>
                <w:sz w:val="30"/>
                <w:szCs w:val="30"/>
                <w:lang w:val="en-IN"/>
              </w:rPr>
              <w:t xml:space="preserve"> The presence of sales in India and Australia indicates emerging markets that can be explored for growth.</w:t>
            </w:r>
          </w:p>
          <w:p w14:paraId="6EC1C0BB" w14:textId="4AA96AB4" w:rsidR="009E5698" w:rsidRDefault="00575216" w:rsidP="00575216">
            <w:pPr>
              <w:pStyle w:val="Text"/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575216">
              <w:rPr>
                <w:rFonts w:ascii="Calibri" w:hAnsi="Calibri"/>
                <w:sz w:val="30"/>
                <w:szCs w:val="30"/>
                <w:lang w:val="en-IN"/>
              </w:rPr>
              <w:t>This suggests that South America is the primary market, while North America remains a secondary hub, with opportunities to expand in Asia and Europe.</w:t>
            </w:r>
          </w:p>
          <w:p w14:paraId="606F6AE2" w14:textId="77777777" w:rsidR="009E5698" w:rsidRPr="00575216" w:rsidRDefault="009E5698" w:rsidP="009E5698">
            <w:pPr>
              <w:pStyle w:val="Text"/>
              <w:spacing w:line="276" w:lineRule="auto"/>
              <w:jc w:val="both"/>
              <w:rPr>
                <w:rFonts w:ascii="Calibri" w:hAnsi="Calibri"/>
                <w:sz w:val="16"/>
                <w:szCs w:val="16"/>
                <w:lang w:val="en-IN"/>
              </w:rPr>
            </w:pPr>
          </w:p>
          <w:p w14:paraId="5F3A49BE" w14:textId="0B81FE1F" w:rsidR="00E901A6" w:rsidRDefault="009E5698" w:rsidP="0041251A">
            <w:pPr>
              <w:pStyle w:val="Text"/>
            </w:pPr>
            <w:r w:rsidRPr="009E5698">
              <w:drawing>
                <wp:inline distT="0" distB="0" distL="0" distR="0" wp14:anchorId="14FE9719" wp14:editId="4D1A3376">
                  <wp:extent cx="5518785" cy="3103728"/>
                  <wp:effectExtent l="76200" t="76200" r="81915" b="78105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B35DE1-DF63-43C7-89D1-4B68C5E61A4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96B35DE1-DF63-43C7-89D1-4B68C5E61A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021" cy="3113984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E66914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5A2BE007" w14:textId="77777777" w:rsidR="00E901A6" w:rsidRDefault="00E901A6" w:rsidP="0041251A"/>
        </w:tc>
      </w:tr>
    </w:tbl>
    <w:p w14:paraId="30908136" w14:textId="77777777" w:rsidR="00E901A6" w:rsidRDefault="00E901A6" w:rsidP="00E901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99"/>
        <w:gridCol w:w="8991"/>
        <w:gridCol w:w="900"/>
      </w:tblGrid>
      <w:tr w:rsidR="00E901A6" w14:paraId="548A5D71" w14:textId="77777777" w:rsidTr="0041251A">
        <w:trPr>
          <w:trHeight w:val="3333"/>
        </w:trPr>
        <w:tc>
          <w:tcPr>
            <w:tcW w:w="899" w:type="dxa"/>
          </w:tcPr>
          <w:p w14:paraId="08E4E7C6" w14:textId="77777777" w:rsidR="00E901A6" w:rsidRDefault="00E901A6" w:rsidP="0041251A"/>
        </w:tc>
        <w:tc>
          <w:tcPr>
            <w:tcW w:w="8991" w:type="dxa"/>
            <w:tcBorders>
              <w:top w:val="single" w:sz="18" w:space="0" w:color="44546A" w:themeColor="text2"/>
            </w:tcBorders>
          </w:tcPr>
          <w:p w14:paraId="0B7E7EA1" w14:textId="77777777" w:rsidR="00B61CC7" w:rsidRPr="00B61CC7" w:rsidRDefault="00B61CC7" w:rsidP="00B61CC7">
            <w:pPr>
              <w:pStyle w:val="Heading3"/>
              <w:spacing w:before="0"/>
              <w:rPr>
                <w:rFonts w:ascii="Lato Black" w:hAnsi="Lato Black"/>
                <w:sz w:val="16"/>
                <w:szCs w:val="16"/>
              </w:rPr>
            </w:pPr>
          </w:p>
          <w:p w14:paraId="509C4157" w14:textId="091F2942" w:rsidR="00E901A6" w:rsidRPr="00B61CC7" w:rsidRDefault="00CE0518" w:rsidP="00B61CC7">
            <w:pPr>
              <w:pStyle w:val="Heading3"/>
              <w:spacing w:after="240"/>
              <w:rPr>
                <w:rFonts w:ascii="Lato Black" w:hAnsi="Lato Black"/>
              </w:rPr>
            </w:pPr>
            <w:r w:rsidRPr="00B61CC7">
              <w:rPr>
                <w:rFonts w:ascii="Lato Black" w:hAnsi="Lato Black"/>
              </w:rPr>
              <w:t>SEASONAL SALES PATTERNS</w:t>
            </w:r>
          </w:p>
          <w:p w14:paraId="3770B5E0" w14:textId="77777777" w:rsidR="00B61CC7" w:rsidRDefault="00B61CC7" w:rsidP="00B61CC7">
            <w:pPr>
              <w:pStyle w:val="Text"/>
              <w:numPr>
                <w:ilvl w:val="0"/>
                <w:numId w:val="6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B61CC7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Highest Sales in Q2: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 xml:space="preserve"> Sales peaked at </w:t>
            </w:r>
            <w:r w:rsidRPr="00B61CC7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30.7K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 xml:space="preserve"> in Q2, indicating strong seasonal demand.</w:t>
            </w:r>
          </w:p>
          <w:p w14:paraId="6E3DE558" w14:textId="77777777" w:rsidR="00B61CC7" w:rsidRDefault="00B61CC7" w:rsidP="00B61CC7">
            <w:pPr>
              <w:pStyle w:val="Text"/>
              <w:numPr>
                <w:ilvl w:val="0"/>
                <w:numId w:val="6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B61CC7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Gradual Decline Post-Q2: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 xml:space="preserve"> Sales dropped from </w:t>
            </w:r>
            <w:r w:rsidRPr="00B61CC7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26.6K in Q3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 xml:space="preserve"> to </w:t>
            </w:r>
            <w:r w:rsidRPr="00B61CC7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19.0K in Q4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>, showing a year-end slowdown.</w:t>
            </w:r>
          </w:p>
          <w:p w14:paraId="45A518EF" w14:textId="77777777" w:rsidR="00B61CC7" w:rsidRDefault="00B61CC7" w:rsidP="00B61CC7">
            <w:pPr>
              <w:pStyle w:val="Text"/>
              <w:numPr>
                <w:ilvl w:val="0"/>
                <w:numId w:val="6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B61CC7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Consistent Q1 Performance: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 xml:space="preserve"> Q1 maintained stable sales (</w:t>
            </w:r>
            <w:r w:rsidRPr="00B61CC7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27.6K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>), suggesting a steady start each year.</w:t>
            </w:r>
          </w:p>
          <w:p w14:paraId="79A10E1F" w14:textId="4CA3DEBF" w:rsidR="00B61CC7" w:rsidRPr="00B61CC7" w:rsidRDefault="00B61CC7" w:rsidP="00B61CC7">
            <w:pPr>
              <w:pStyle w:val="Text"/>
              <w:numPr>
                <w:ilvl w:val="0"/>
                <w:numId w:val="6"/>
              </w:numPr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B61CC7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Sharp Q4 Decline: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 xml:space="preserve"> The lowest sales (</w:t>
            </w:r>
            <w:r w:rsidRPr="00B61CC7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19.0K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>) in Q4 may be due to reduced consumer spending or post-holiday effects.</w:t>
            </w:r>
          </w:p>
          <w:p w14:paraId="66514740" w14:textId="77777777" w:rsidR="00B61CC7" w:rsidRPr="00B61CC7" w:rsidRDefault="00B61CC7" w:rsidP="00B61CC7">
            <w:pPr>
              <w:pStyle w:val="Text"/>
              <w:spacing w:after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 xml:space="preserve">The data suggests a </w:t>
            </w:r>
            <w:r w:rsidRPr="00B61CC7">
              <w:rPr>
                <w:rFonts w:ascii="Calibri" w:hAnsi="Calibri"/>
                <w:bCs/>
                <w:sz w:val="30"/>
                <w:szCs w:val="30"/>
                <w:lang w:val="en-IN"/>
              </w:rPr>
              <w:t>strong mid-year sales peak (Q2), followed by a decline towards year-end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 xml:space="preserve">. Businesses should focus on </w:t>
            </w:r>
            <w:r w:rsidRPr="00B61CC7">
              <w:rPr>
                <w:rFonts w:ascii="Calibri" w:hAnsi="Calibri"/>
                <w:bCs/>
                <w:sz w:val="30"/>
                <w:szCs w:val="30"/>
                <w:lang w:val="en-IN"/>
              </w:rPr>
              <w:t>Q3-Q4 strategies</w:t>
            </w:r>
            <w:r w:rsidRPr="00B61CC7">
              <w:rPr>
                <w:rFonts w:ascii="Calibri" w:hAnsi="Calibri"/>
                <w:sz w:val="30"/>
                <w:szCs w:val="30"/>
                <w:lang w:val="en-IN"/>
              </w:rPr>
              <w:t>, such as festive promotions and targeted discounts, to sustain sales momentum.</w:t>
            </w:r>
          </w:p>
          <w:p w14:paraId="510A63C1" w14:textId="3D6C50BB" w:rsidR="00E901A6" w:rsidRDefault="003E743B" w:rsidP="0041251A">
            <w:pPr>
              <w:pStyle w:val="Text"/>
            </w:pPr>
            <w:r w:rsidRPr="003E743B">
              <w:drawing>
                <wp:inline distT="0" distB="0" distL="0" distR="0" wp14:anchorId="7F61F90F" wp14:editId="428BAE56">
                  <wp:extent cx="5532755" cy="3349389"/>
                  <wp:effectExtent l="76200" t="76200" r="67945" b="800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159" cy="3355082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rgbClr val="E66914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16A1B430" w14:textId="77777777" w:rsidR="00E901A6" w:rsidRDefault="00E901A6" w:rsidP="0041251A"/>
        </w:tc>
      </w:tr>
      <w:tr w:rsidR="00E901A6" w14:paraId="2A402FDF" w14:textId="77777777" w:rsidTr="0041251A">
        <w:trPr>
          <w:trHeight w:val="3333"/>
        </w:trPr>
        <w:tc>
          <w:tcPr>
            <w:tcW w:w="899" w:type="dxa"/>
          </w:tcPr>
          <w:p w14:paraId="650D79E0" w14:textId="540E8E2C" w:rsidR="00E901A6" w:rsidRDefault="00E901A6" w:rsidP="0041251A"/>
        </w:tc>
        <w:tc>
          <w:tcPr>
            <w:tcW w:w="8991" w:type="dxa"/>
            <w:tcBorders>
              <w:top w:val="single" w:sz="18" w:space="0" w:color="44546A" w:themeColor="text2"/>
            </w:tcBorders>
          </w:tcPr>
          <w:p w14:paraId="2CE1A033" w14:textId="77777777" w:rsidR="001A1859" w:rsidRPr="001A1859" w:rsidRDefault="001A1859" w:rsidP="001A1859">
            <w:pPr>
              <w:pStyle w:val="Heading3"/>
              <w:spacing w:before="0"/>
              <w:rPr>
                <w:rFonts w:ascii="Lato Black" w:hAnsi="Lato Black"/>
                <w:sz w:val="16"/>
                <w:szCs w:val="16"/>
              </w:rPr>
            </w:pPr>
          </w:p>
          <w:p w14:paraId="71831B37" w14:textId="7A47BB19" w:rsidR="00E901A6" w:rsidRPr="001A1859" w:rsidRDefault="00CE0518" w:rsidP="001A1859">
            <w:pPr>
              <w:pStyle w:val="Heading3"/>
              <w:rPr>
                <w:rFonts w:ascii="Lato Black" w:hAnsi="Lato Black"/>
              </w:rPr>
            </w:pPr>
            <w:r w:rsidRPr="001A1859">
              <w:rPr>
                <w:rFonts w:ascii="Lato Black" w:hAnsi="Lato Black"/>
              </w:rPr>
              <w:t>REVENUE ANALYSIS</w:t>
            </w:r>
          </w:p>
          <w:p w14:paraId="48ACA5B7" w14:textId="6DCAD6EC" w:rsidR="001A1859" w:rsidRPr="001A1859" w:rsidRDefault="001A1859" w:rsidP="001A1859">
            <w:pPr>
              <w:pStyle w:val="Text"/>
              <w:numPr>
                <w:ilvl w:val="0"/>
                <w:numId w:val="8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Yearly Revenue Growth: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The total revenue increased significantly from </w:t>
            </w: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0.1M in 2016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to </w:t>
            </w: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7.2M in 2017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and further to </w:t>
            </w: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8.7M in 2018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>, indicating rapid business expansion.</w:t>
            </w:r>
          </w:p>
          <w:p w14:paraId="225E4183" w14:textId="77777777" w:rsidR="001A1859" w:rsidRPr="001A1859" w:rsidRDefault="001A1859" w:rsidP="001A1859">
            <w:pPr>
              <w:pStyle w:val="Text"/>
              <w:numPr>
                <w:ilvl w:val="0"/>
                <w:numId w:val="8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Order Volume Increase: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The count of orders rose from </w:t>
            </w: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45K in 2017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to </w:t>
            </w: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54K in 2018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>, showing increased customer engagement and purchase frequency.</w:t>
            </w:r>
          </w:p>
          <w:p w14:paraId="150404E0" w14:textId="039192CB" w:rsidR="001A1859" w:rsidRPr="001A1859" w:rsidRDefault="001A1859" w:rsidP="001A1859">
            <w:pPr>
              <w:pStyle w:val="Text"/>
              <w:numPr>
                <w:ilvl w:val="0"/>
                <w:numId w:val="8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Overall Performance: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The total revenue accumulated across all years is </w:t>
            </w: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16.01M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, with </w:t>
            </w: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103.89K total orders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and an </w:t>
            </w: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Average Order Value (AOV) of 154.10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>, suggesting a stable revenue model.</w:t>
            </w:r>
          </w:p>
          <w:p w14:paraId="4E5CFBC7" w14:textId="0AC831EF" w:rsidR="001A1859" w:rsidRPr="001A1859" w:rsidRDefault="001A1859" w:rsidP="001A1859">
            <w:pPr>
              <w:pStyle w:val="Text"/>
              <w:numPr>
                <w:ilvl w:val="0"/>
                <w:numId w:val="8"/>
              </w:numPr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Market Expansion: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The business has covered </w:t>
            </w: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4,119 cities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and served </w:t>
            </w:r>
            <w:r w:rsidRPr="001A1859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99.44K customers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>, reflecting strong geographical penetration and customer base expansion.</w:t>
            </w:r>
          </w:p>
          <w:p w14:paraId="6033E0D3" w14:textId="77777777" w:rsidR="001A1859" w:rsidRPr="001A1859" w:rsidRDefault="001A1859" w:rsidP="001A1859">
            <w:pPr>
              <w:pStyle w:val="Text"/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The revenue analysis highlights a </w:t>
            </w:r>
            <w:r w:rsidRPr="001A1859">
              <w:rPr>
                <w:rFonts w:ascii="Calibri" w:hAnsi="Calibri"/>
                <w:bCs/>
                <w:sz w:val="30"/>
                <w:szCs w:val="30"/>
                <w:lang w:val="en-IN"/>
              </w:rPr>
              <w:t>consistent upward trend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in revenue, order volume, and customer acquisition, showcasing business growth and operational efficiency. The steady increase in orders and revenue per order suggests a </w:t>
            </w:r>
            <w:r w:rsidRPr="001A1859">
              <w:rPr>
                <w:rFonts w:ascii="Calibri" w:hAnsi="Calibri"/>
                <w:bCs/>
                <w:sz w:val="30"/>
                <w:szCs w:val="30"/>
                <w:lang w:val="en-IN"/>
              </w:rPr>
              <w:t>scalable and sustainable business model</w:t>
            </w:r>
            <w:r w:rsidRPr="001A1859">
              <w:rPr>
                <w:rFonts w:ascii="Calibri" w:hAnsi="Calibri"/>
                <w:sz w:val="30"/>
                <w:szCs w:val="30"/>
                <w:lang w:val="en-IN"/>
              </w:rPr>
              <w:t xml:space="preserve"> with strong market reach.</w:t>
            </w:r>
          </w:p>
          <w:p w14:paraId="7E98064C" w14:textId="1070A681" w:rsidR="00E901A6" w:rsidRDefault="00E901A6" w:rsidP="0041251A">
            <w:pPr>
              <w:pStyle w:val="Text"/>
            </w:pPr>
          </w:p>
        </w:tc>
        <w:tc>
          <w:tcPr>
            <w:tcW w:w="900" w:type="dxa"/>
          </w:tcPr>
          <w:p w14:paraId="29367C02" w14:textId="77777777" w:rsidR="00E901A6" w:rsidRDefault="00E901A6" w:rsidP="0041251A"/>
        </w:tc>
      </w:tr>
    </w:tbl>
    <w:p w14:paraId="6C039386" w14:textId="4BF3FEE3" w:rsidR="004A0DED" w:rsidRDefault="00E816AF">
      <w:r w:rsidRPr="00E816AF">
        <w:drawing>
          <wp:anchor distT="0" distB="0" distL="114300" distR="114300" simplePos="0" relativeHeight="251663360" behindDoc="0" locked="0" layoutInCell="1" allowOverlap="1" wp14:anchorId="3E32D568" wp14:editId="1AAC1137">
            <wp:simplePos x="0" y="0"/>
            <wp:positionH relativeFrom="column">
              <wp:posOffset>577850</wp:posOffset>
            </wp:positionH>
            <wp:positionV relativeFrom="paragraph">
              <wp:posOffset>38100</wp:posOffset>
            </wp:positionV>
            <wp:extent cx="5683250" cy="1503680"/>
            <wp:effectExtent l="76200" t="76200" r="69850" b="77470"/>
            <wp:wrapNone/>
            <wp:docPr id="4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AEEB9E9-0075-45D0-8E3E-DC5197A7D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AEEB9E9-0075-45D0-8E3E-DC5197A7D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1" r="634"/>
                    <a:stretch/>
                  </pic:blipFill>
                  <pic:spPr bwMode="auto">
                    <a:xfrm>
                      <a:off x="0" y="0"/>
                      <a:ext cx="5683250" cy="1503680"/>
                    </a:xfrm>
                    <a:prstGeom prst="rect">
                      <a:avLst/>
                    </a:prstGeom>
                    <a:ln w="76200">
                      <a:solidFill>
                        <a:srgbClr val="E6691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616AA" w14:textId="35206D8C" w:rsidR="00C544C7" w:rsidRPr="00C544C7" w:rsidRDefault="00C544C7" w:rsidP="00C544C7"/>
    <w:p w14:paraId="38175C04" w14:textId="7331DC38" w:rsidR="00C544C7" w:rsidRPr="00C544C7" w:rsidRDefault="00C544C7" w:rsidP="00C544C7"/>
    <w:p w14:paraId="5ADA3738" w14:textId="00854853" w:rsidR="00C544C7" w:rsidRPr="00C544C7" w:rsidRDefault="00C544C7" w:rsidP="00C544C7"/>
    <w:p w14:paraId="143437A0" w14:textId="3246B3B1" w:rsidR="00C544C7" w:rsidRPr="00C544C7" w:rsidRDefault="00C544C7" w:rsidP="00C544C7"/>
    <w:p w14:paraId="5D6865FA" w14:textId="091D13C2" w:rsidR="00C544C7" w:rsidRPr="00C544C7" w:rsidRDefault="00C544C7" w:rsidP="00C544C7"/>
    <w:p w14:paraId="3B8BB2DF" w14:textId="7959F418" w:rsidR="00C544C7" w:rsidRPr="00C544C7" w:rsidRDefault="00C544C7" w:rsidP="00C544C7"/>
    <w:p w14:paraId="0AF629D1" w14:textId="20AEFC63" w:rsidR="00C544C7" w:rsidRPr="00C544C7" w:rsidRDefault="00C544C7" w:rsidP="00C544C7"/>
    <w:p w14:paraId="7415240C" w14:textId="6A14E880" w:rsidR="00C544C7" w:rsidRDefault="00C544C7" w:rsidP="00C544C7"/>
    <w:p w14:paraId="3F28785A" w14:textId="0E9DE638" w:rsidR="00C544C7" w:rsidRDefault="00C544C7" w:rsidP="00C544C7"/>
    <w:p w14:paraId="5A95BDCC" w14:textId="1A7225C5" w:rsidR="00C544C7" w:rsidRDefault="00C544C7" w:rsidP="00C544C7">
      <w:pPr>
        <w:tabs>
          <w:tab w:val="left" w:pos="1937"/>
        </w:tabs>
      </w:pPr>
      <w:r>
        <w:tab/>
      </w:r>
    </w:p>
    <w:p w14:paraId="281FC997" w14:textId="66856338" w:rsidR="00C544C7" w:rsidRDefault="00C544C7" w:rsidP="00C544C7">
      <w:pPr>
        <w:tabs>
          <w:tab w:val="left" w:pos="1937"/>
        </w:tabs>
      </w:pPr>
    </w:p>
    <w:p w14:paraId="263C527B" w14:textId="73350B2D" w:rsidR="00C544C7" w:rsidRDefault="00C544C7" w:rsidP="00C544C7">
      <w:pPr>
        <w:tabs>
          <w:tab w:val="left" w:pos="1937"/>
        </w:tabs>
      </w:pPr>
    </w:p>
    <w:p w14:paraId="54FABD06" w14:textId="32327CCD" w:rsidR="00C544C7" w:rsidRDefault="00C544C7" w:rsidP="00C544C7">
      <w:pPr>
        <w:tabs>
          <w:tab w:val="left" w:pos="1937"/>
        </w:tabs>
      </w:pPr>
    </w:p>
    <w:p w14:paraId="55EA9458" w14:textId="2349E5F0" w:rsidR="00C544C7" w:rsidRDefault="00C544C7" w:rsidP="00C544C7">
      <w:pPr>
        <w:tabs>
          <w:tab w:val="left" w:pos="1937"/>
        </w:tabs>
      </w:pPr>
    </w:p>
    <w:p w14:paraId="6506E63A" w14:textId="54BB2832" w:rsidR="00C544C7" w:rsidRDefault="00C544C7" w:rsidP="00C544C7">
      <w:pPr>
        <w:tabs>
          <w:tab w:val="left" w:pos="1937"/>
        </w:tabs>
      </w:pPr>
    </w:p>
    <w:p w14:paraId="2B01D9EF" w14:textId="41CEA169" w:rsidR="00C544C7" w:rsidRDefault="00C544C7" w:rsidP="00C544C7">
      <w:pPr>
        <w:tabs>
          <w:tab w:val="left" w:pos="1937"/>
        </w:tabs>
      </w:pPr>
      <w:r w:rsidRPr="00C544C7">
        <w:drawing>
          <wp:anchor distT="0" distB="0" distL="114300" distR="114300" simplePos="0" relativeHeight="251666432" behindDoc="0" locked="0" layoutInCell="1" allowOverlap="1" wp14:anchorId="20AF959F" wp14:editId="479FE1EC">
            <wp:simplePos x="0" y="0"/>
            <wp:positionH relativeFrom="column">
              <wp:posOffset>675070</wp:posOffset>
            </wp:positionH>
            <wp:positionV relativeFrom="paragraph">
              <wp:posOffset>51435</wp:posOffset>
            </wp:positionV>
            <wp:extent cx="5683250" cy="2966544"/>
            <wp:effectExtent l="76200" t="76200" r="69850" b="8191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ABA219F-4F7C-46FC-B0CD-F8167C30F4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ABA219F-4F7C-46FC-B0CD-F8167C30F4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966544"/>
                    </a:xfrm>
                    <a:prstGeom prst="rect">
                      <a:avLst/>
                    </a:prstGeom>
                    <a:ln w="76200">
                      <a:solidFill>
                        <a:srgbClr val="E66914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A984" w14:textId="06C76462" w:rsidR="00C544C7" w:rsidRDefault="00C544C7" w:rsidP="00C544C7">
      <w:pPr>
        <w:tabs>
          <w:tab w:val="left" w:pos="1937"/>
        </w:tabs>
        <w:jc w:val="center"/>
      </w:pPr>
    </w:p>
    <w:p w14:paraId="7DB87D16" w14:textId="4F9AB5FC" w:rsidR="00C544C7" w:rsidRDefault="00C544C7" w:rsidP="00C544C7">
      <w:pPr>
        <w:tabs>
          <w:tab w:val="left" w:pos="1937"/>
        </w:tabs>
      </w:pPr>
    </w:p>
    <w:p w14:paraId="5253412D" w14:textId="6730E933" w:rsidR="00C544C7" w:rsidRDefault="00C544C7" w:rsidP="00C544C7">
      <w:pPr>
        <w:tabs>
          <w:tab w:val="left" w:pos="1937"/>
        </w:tabs>
      </w:pPr>
    </w:p>
    <w:p w14:paraId="4562A600" w14:textId="0F5208CA" w:rsidR="00C544C7" w:rsidRDefault="00C544C7" w:rsidP="00C544C7">
      <w:pPr>
        <w:tabs>
          <w:tab w:val="left" w:pos="1937"/>
        </w:tabs>
      </w:pPr>
    </w:p>
    <w:p w14:paraId="7E4CE914" w14:textId="16FF194B" w:rsidR="00C544C7" w:rsidRDefault="00C544C7" w:rsidP="00C544C7">
      <w:pPr>
        <w:tabs>
          <w:tab w:val="left" w:pos="1937"/>
        </w:tabs>
      </w:pPr>
    </w:p>
    <w:p w14:paraId="185BAAEA" w14:textId="22808439" w:rsidR="00C544C7" w:rsidRDefault="00C544C7" w:rsidP="00C544C7">
      <w:pPr>
        <w:tabs>
          <w:tab w:val="left" w:pos="1937"/>
        </w:tabs>
      </w:pPr>
    </w:p>
    <w:p w14:paraId="35BB6CD5" w14:textId="38915D21" w:rsidR="00C544C7" w:rsidRDefault="00C544C7" w:rsidP="00C544C7">
      <w:pPr>
        <w:tabs>
          <w:tab w:val="left" w:pos="1937"/>
        </w:tabs>
      </w:pPr>
    </w:p>
    <w:p w14:paraId="3F3BD864" w14:textId="4A4FCB69" w:rsidR="00C544C7" w:rsidRDefault="00C544C7" w:rsidP="00C544C7">
      <w:pPr>
        <w:tabs>
          <w:tab w:val="left" w:pos="1937"/>
        </w:tabs>
      </w:pPr>
    </w:p>
    <w:p w14:paraId="129C56F8" w14:textId="30A9EFF2" w:rsidR="00C544C7" w:rsidRDefault="00C544C7" w:rsidP="00C544C7">
      <w:pPr>
        <w:tabs>
          <w:tab w:val="left" w:pos="1937"/>
        </w:tabs>
      </w:pPr>
    </w:p>
    <w:p w14:paraId="159BFE18" w14:textId="1C6F9173" w:rsidR="00C544C7" w:rsidRDefault="00C544C7" w:rsidP="00C544C7">
      <w:pPr>
        <w:tabs>
          <w:tab w:val="left" w:pos="1937"/>
        </w:tabs>
      </w:pPr>
    </w:p>
    <w:p w14:paraId="7F2B9B20" w14:textId="1A9F7358" w:rsidR="00C544C7" w:rsidRDefault="00C544C7" w:rsidP="00C544C7">
      <w:pPr>
        <w:tabs>
          <w:tab w:val="left" w:pos="1937"/>
        </w:tabs>
      </w:pPr>
    </w:p>
    <w:p w14:paraId="44CD04A0" w14:textId="3DB69832" w:rsidR="00C544C7" w:rsidRDefault="00C544C7" w:rsidP="00C544C7">
      <w:pPr>
        <w:tabs>
          <w:tab w:val="left" w:pos="1937"/>
        </w:tabs>
      </w:pPr>
    </w:p>
    <w:p w14:paraId="4A46D21F" w14:textId="19F7BDCA" w:rsidR="00C544C7" w:rsidRDefault="00C544C7" w:rsidP="00C544C7">
      <w:pPr>
        <w:tabs>
          <w:tab w:val="left" w:pos="1937"/>
        </w:tabs>
      </w:pPr>
    </w:p>
    <w:p w14:paraId="5038AFA5" w14:textId="29B72ECD" w:rsidR="00C544C7" w:rsidRDefault="00C544C7" w:rsidP="00C544C7">
      <w:pPr>
        <w:tabs>
          <w:tab w:val="left" w:pos="1937"/>
        </w:tabs>
      </w:pPr>
    </w:p>
    <w:p w14:paraId="738B2A7D" w14:textId="627C3A01" w:rsidR="00C544C7" w:rsidRDefault="00C544C7" w:rsidP="00C544C7">
      <w:pPr>
        <w:tabs>
          <w:tab w:val="left" w:pos="1937"/>
        </w:tabs>
      </w:pPr>
    </w:p>
    <w:p w14:paraId="74CAC333" w14:textId="4B300A36" w:rsidR="00C544C7" w:rsidRDefault="00C544C7" w:rsidP="00C544C7">
      <w:pPr>
        <w:tabs>
          <w:tab w:val="left" w:pos="1937"/>
        </w:tabs>
      </w:pPr>
    </w:p>
    <w:p w14:paraId="6313B34C" w14:textId="5D7FD6AA" w:rsidR="00C544C7" w:rsidRDefault="00C544C7" w:rsidP="00C544C7">
      <w:pPr>
        <w:tabs>
          <w:tab w:val="left" w:pos="1937"/>
        </w:tabs>
      </w:pPr>
    </w:p>
    <w:p w14:paraId="73082E5D" w14:textId="1BE794FB" w:rsidR="00C544C7" w:rsidRDefault="00C544C7" w:rsidP="00C544C7">
      <w:pPr>
        <w:tabs>
          <w:tab w:val="left" w:pos="1937"/>
        </w:tabs>
      </w:pPr>
    </w:p>
    <w:p w14:paraId="1E4B29F1" w14:textId="4494C456" w:rsidR="00C544C7" w:rsidRDefault="00C544C7" w:rsidP="00C544C7">
      <w:pPr>
        <w:tabs>
          <w:tab w:val="left" w:pos="1937"/>
        </w:tabs>
      </w:pPr>
    </w:p>
    <w:p w14:paraId="1A3D0384" w14:textId="6C86DEE4" w:rsidR="00C544C7" w:rsidRDefault="00C544C7" w:rsidP="00C544C7">
      <w:pPr>
        <w:tabs>
          <w:tab w:val="left" w:pos="1937"/>
        </w:tabs>
      </w:pPr>
    </w:p>
    <w:p w14:paraId="2CFF1877" w14:textId="77777777" w:rsidR="00C544C7" w:rsidRDefault="00C544C7" w:rsidP="00C544C7">
      <w:pPr>
        <w:tabs>
          <w:tab w:val="left" w:pos="1937"/>
        </w:tabs>
      </w:pPr>
    </w:p>
    <w:p w14:paraId="080C3542" w14:textId="67A904F5" w:rsidR="00C544C7" w:rsidRDefault="00C544C7" w:rsidP="00C544C7">
      <w:pPr>
        <w:tabs>
          <w:tab w:val="left" w:pos="1937"/>
        </w:tabs>
      </w:pPr>
    </w:p>
    <w:p w14:paraId="2BDB52AB" w14:textId="4D9AAC3E" w:rsidR="00C544C7" w:rsidRDefault="00C544C7" w:rsidP="00C544C7">
      <w:pPr>
        <w:tabs>
          <w:tab w:val="left" w:pos="1937"/>
        </w:tabs>
      </w:pPr>
    </w:p>
    <w:p w14:paraId="350A7B1F" w14:textId="186E7ECD" w:rsidR="00C544C7" w:rsidRDefault="00C544C7" w:rsidP="00C544C7">
      <w:pPr>
        <w:tabs>
          <w:tab w:val="left" w:pos="1937"/>
        </w:tabs>
      </w:pPr>
    </w:p>
    <w:p w14:paraId="2D6CAE5B" w14:textId="130DC795" w:rsidR="00C544C7" w:rsidRDefault="00C544C7" w:rsidP="00C544C7">
      <w:pPr>
        <w:tabs>
          <w:tab w:val="left" w:pos="1937"/>
        </w:tabs>
      </w:pPr>
    </w:p>
    <w:p w14:paraId="18B0CDDF" w14:textId="5DAA85CE" w:rsidR="00C544C7" w:rsidRDefault="00C544C7" w:rsidP="00C544C7">
      <w:pPr>
        <w:tabs>
          <w:tab w:val="left" w:pos="1937"/>
        </w:tabs>
      </w:pPr>
    </w:p>
    <w:p w14:paraId="312AE053" w14:textId="1C9AF8CC" w:rsidR="00C544C7" w:rsidRDefault="00C544C7" w:rsidP="00C544C7">
      <w:pPr>
        <w:tabs>
          <w:tab w:val="left" w:pos="1937"/>
        </w:tabs>
      </w:pPr>
    </w:p>
    <w:p w14:paraId="13A1A536" w14:textId="3B4BC0E4" w:rsidR="00C544C7" w:rsidRDefault="00C544C7" w:rsidP="00C544C7">
      <w:pPr>
        <w:tabs>
          <w:tab w:val="left" w:pos="1937"/>
        </w:tabs>
      </w:pPr>
    </w:p>
    <w:p w14:paraId="6433AE1D" w14:textId="507A53A4" w:rsidR="00C544C7" w:rsidRDefault="00C544C7" w:rsidP="00C544C7">
      <w:pPr>
        <w:tabs>
          <w:tab w:val="left" w:pos="1937"/>
        </w:tabs>
      </w:pPr>
    </w:p>
    <w:p w14:paraId="2476B50C" w14:textId="790C5DE7" w:rsidR="00C544C7" w:rsidRDefault="00C544C7" w:rsidP="00C544C7">
      <w:pPr>
        <w:tabs>
          <w:tab w:val="left" w:pos="1937"/>
        </w:tabs>
      </w:pPr>
    </w:p>
    <w:p w14:paraId="6A7B713C" w14:textId="1CB3F0A0" w:rsidR="00C544C7" w:rsidRDefault="00C544C7" w:rsidP="00C544C7">
      <w:pPr>
        <w:tabs>
          <w:tab w:val="left" w:pos="1937"/>
        </w:tabs>
      </w:pPr>
    </w:p>
    <w:p w14:paraId="3E22FE32" w14:textId="5F7E965C" w:rsidR="00C544C7" w:rsidRDefault="00C544C7" w:rsidP="00C544C7">
      <w:pPr>
        <w:tabs>
          <w:tab w:val="left" w:pos="1937"/>
        </w:tabs>
      </w:pPr>
    </w:p>
    <w:p w14:paraId="165B2B3B" w14:textId="77777777" w:rsidR="00C544C7" w:rsidRPr="00C544C7" w:rsidRDefault="00C544C7" w:rsidP="00C544C7">
      <w:pPr>
        <w:tabs>
          <w:tab w:val="left" w:pos="1937"/>
        </w:tabs>
      </w:pPr>
    </w:p>
    <w:p w14:paraId="1DE283C2" w14:textId="48EA7F0A" w:rsidR="00CE0518" w:rsidRDefault="00CE0518"/>
    <w:p w14:paraId="67187AE5" w14:textId="312FA259" w:rsidR="00380E44" w:rsidRDefault="00380E44"/>
    <w:p w14:paraId="0B73ED2D" w14:textId="795E9DB4" w:rsidR="00380E44" w:rsidRDefault="00380E44"/>
    <w:p w14:paraId="3DD4F1BC" w14:textId="2D4A9024" w:rsidR="00380E44" w:rsidRDefault="00380E44"/>
    <w:p w14:paraId="20887C90" w14:textId="2F1F5EBB" w:rsidR="00380E44" w:rsidRDefault="00380E44"/>
    <w:p w14:paraId="6181EB2C" w14:textId="5027DC83" w:rsidR="00380E44" w:rsidRDefault="00380E44"/>
    <w:p w14:paraId="24436C27" w14:textId="4998D07C" w:rsidR="00380E44" w:rsidRDefault="00380E44"/>
    <w:p w14:paraId="0683075B" w14:textId="6BBDED85" w:rsidR="00380E44" w:rsidRDefault="00380E44"/>
    <w:p w14:paraId="704E01BF" w14:textId="7BA5F518" w:rsidR="00380E44" w:rsidRDefault="00380E44"/>
    <w:p w14:paraId="28B88B89" w14:textId="4ACDDD50" w:rsidR="00380E44" w:rsidRDefault="00380E44"/>
    <w:p w14:paraId="56B01808" w14:textId="3C96E02B" w:rsidR="00380E44" w:rsidRDefault="00380E44"/>
    <w:p w14:paraId="0322B5BB" w14:textId="65A26DD2" w:rsidR="00380E44" w:rsidRDefault="00380E44"/>
    <w:p w14:paraId="235BF58C" w14:textId="19E7C7B1" w:rsidR="00380E44" w:rsidRDefault="00380E44"/>
    <w:p w14:paraId="6BE47DE1" w14:textId="37BE23DD" w:rsidR="00380E44" w:rsidRDefault="00380E44"/>
    <w:p w14:paraId="59879A3F" w14:textId="77777777" w:rsidR="00380E44" w:rsidRPr="001A1859" w:rsidRDefault="00380E44" w:rsidP="00380E44">
      <w:pPr>
        <w:pStyle w:val="Heading3"/>
        <w:spacing w:before="0"/>
        <w:rPr>
          <w:rFonts w:ascii="Lato Black" w:hAnsi="Lato Black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99"/>
        <w:gridCol w:w="8991"/>
        <w:gridCol w:w="900"/>
      </w:tblGrid>
      <w:tr w:rsidR="00380E44" w14:paraId="0AACE651" w14:textId="77777777" w:rsidTr="0041251A">
        <w:trPr>
          <w:trHeight w:val="3333"/>
        </w:trPr>
        <w:tc>
          <w:tcPr>
            <w:tcW w:w="899" w:type="dxa"/>
          </w:tcPr>
          <w:p w14:paraId="60CA3A34" w14:textId="77777777" w:rsidR="00380E44" w:rsidRDefault="00380E44" w:rsidP="0041251A"/>
        </w:tc>
        <w:tc>
          <w:tcPr>
            <w:tcW w:w="8991" w:type="dxa"/>
            <w:tcBorders>
              <w:top w:val="single" w:sz="18" w:space="0" w:color="44546A" w:themeColor="text2"/>
            </w:tcBorders>
          </w:tcPr>
          <w:p w14:paraId="4927BBD3" w14:textId="77777777" w:rsidR="00380E44" w:rsidRPr="001A1859" w:rsidRDefault="00380E44" w:rsidP="0041251A">
            <w:pPr>
              <w:pStyle w:val="Heading3"/>
              <w:spacing w:before="0"/>
              <w:rPr>
                <w:rFonts w:ascii="Lato Black" w:hAnsi="Lato Black"/>
                <w:sz w:val="16"/>
                <w:szCs w:val="16"/>
              </w:rPr>
            </w:pPr>
          </w:p>
          <w:p w14:paraId="145D6CD0" w14:textId="62596AE2" w:rsidR="00380E44" w:rsidRPr="001A1859" w:rsidRDefault="00380E44" w:rsidP="0041251A">
            <w:pPr>
              <w:pStyle w:val="Heading3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  <w:t>CONCLUSION</w:t>
            </w:r>
          </w:p>
          <w:p w14:paraId="0251D843" w14:textId="16C3FA8F" w:rsidR="00380E44" w:rsidRPr="00380E44" w:rsidRDefault="00380E44" w:rsidP="00380E44">
            <w:pPr>
              <w:pStyle w:val="Text"/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The analysis of sales, delays, customer preferences, and revenue trends provides valuable insights into business performance and market opportunities.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Health &amp; Beauty, Watches &amp; Gifts, and home-related categories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dominate sales, highlighting strong consumer demand in these segments. Meanwhile, logistics challenges in high-selling categories such as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Bed, Bath &amp; Table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and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Health &amp; Beauty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suggest a need for supply chain improvements.</w:t>
            </w:r>
            <w:r>
              <w:rPr>
                <w:rFonts w:ascii="Calibri" w:hAnsi="Calibri"/>
                <w:sz w:val="30"/>
                <w:szCs w:val="30"/>
                <w:lang w:val="en-IN"/>
              </w:rPr>
              <w:t xml:space="preserve"> 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A comparison of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monthly delayed and on-time orders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reveals seasonal fluctuations, with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peak delays in March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and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strong on-time performance in August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, pointing to potential operational inefficiencies during high-demand periods. The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state-wise sales analysis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confirms that South America remains the strongest market, while emerging opportunities exist in Asia and Europe.</w:t>
            </w:r>
          </w:p>
          <w:p w14:paraId="3B792A9B" w14:textId="79BB9152" w:rsidR="00380E44" w:rsidRPr="00380E44" w:rsidRDefault="00380E44" w:rsidP="00380E44">
            <w:pPr>
              <w:pStyle w:val="Text"/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Payment method trends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indicate that credit cards remain the most preferred mode, while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voucher payments show promising growth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, suggesting a shift towards alternative payment options. Additionally,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product rating insights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reveal high customer satisfaction in entertainment and book-related products, while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service and office-related categories require quality improvements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>.</w:t>
            </w:r>
            <w:r>
              <w:rPr>
                <w:rFonts w:ascii="Calibri" w:hAnsi="Calibri"/>
                <w:sz w:val="30"/>
                <w:szCs w:val="30"/>
                <w:lang w:val="en-IN"/>
              </w:rPr>
              <w:t xml:space="preserve"> 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From a financial standpoint, the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consistent revenue growth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from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0.1M in 2016 to 8.7M in 2018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and a total revenue of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16.01M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reflect a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scalable and sustainable business model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with increasing customer engagement and strong geographical expansion. However, the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seasonal sales pattern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shows a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sharp Q4 decline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>, indicating the need for strategic initiatives such as holiday promotions to sustain momentum.</w:t>
            </w:r>
          </w:p>
          <w:p w14:paraId="3A4E96B8" w14:textId="15E3F0D3" w:rsidR="00380E44" w:rsidRPr="001A1859" w:rsidRDefault="00380E44" w:rsidP="0041251A">
            <w:pPr>
              <w:pStyle w:val="Text"/>
              <w:spacing w:before="240" w:line="276" w:lineRule="auto"/>
              <w:jc w:val="both"/>
              <w:rPr>
                <w:rFonts w:ascii="Calibri" w:hAnsi="Calibri"/>
                <w:sz w:val="30"/>
                <w:szCs w:val="30"/>
                <w:lang w:val="en-IN"/>
              </w:rPr>
            </w:pP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By leveraging these insights, businesses can refine </w:t>
            </w:r>
            <w:r w:rsidRPr="00380E44">
              <w:rPr>
                <w:rFonts w:ascii="Calibri" w:hAnsi="Calibri"/>
                <w:b/>
                <w:bCs/>
                <w:sz w:val="30"/>
                <w:szCs w:val="30"/>
                <w:lang w:val="en-IN"/>
              </w:rPr>
              <w:t>inventory management, optimize marketing strategies, improve logistics, and expand into emerging markets</w:t>
            </w:r>
            <w:r w:rsidRPr="00380E44">
              <w:rPr>
                <w:rFonts w:ascii="Calibri" w:hAnsi="Calibri"/>
                <w:sz w:val="30"/>
                <w:szCs w:val="30"/>
                <w:lang w:val="en-IN"/>
              </w:rPr>
              <w:t xml:space="preserve"> to drive long-term growth and profitability.</w:t>
            </w:r>
          </w:p>
          <w:p w14:paraId="5C3FCE84" w14:textId="77777777" w:rsidR="00380E44" w:rsidRDefault="00380E44" w:rsidP="0041251A">
            <w:pPr>
              <w:pStyle w:val="Text"/>
            </w:pPr>
          </w:p>
        </w:tc>
        <w:tc>
          <w:tcPr>
            <w:tcW w:w="900" w:type="dxa"/>
          </w:tcPr>
          <w:p w14:paraId="16E28249" w14:textId="77777777" w:rsidR="00380E44" w:rsidRDefault="00380E44" w:rsidP="0041251A"/>
        </w:tc>
      </w:tr>
    </w:tbl>
    <w:p w14:paraId="1472AA55" w14:textId="77777777" w:rsidR="00380E44" w:rsidRDefault="00380E44"/>
    <w:sectPr w:rsidR="00380E44" w:rsidSect="0043454C">
      <w:headerReference w:type="even" r:id="rId21"/>
      <w:headerReference w:type="default" r:id="rId22"/>
      <w:pgSz w:w="12240" w:h="15840" w:code="1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2E27D" w14:textId="77777777" w:rsidR="008A0FC2" w:rsidRDefault="008A0FC2" w:rsidP="0032399A">
      <w:r>
        <w:separator/>
      </w:r>
    </w:p>
  </w:endnote>
  <w:endnote w:type="continuationSeparator" w:id="0">
    <w:p w14:paraId="63EC51D9" w14:textId="77777777" w:rsidR="008A0FC2" w:rsidRDefault="008A0FC2" w:rsidP="0032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791FD" w14:textId="77777777" w:rsidR="008A0FC2" w:rsidRDefault="008A0FC2" w:rsidP="0032399A">
      <w:r>
        <w:separator/>
      </w:r>
    </w:p>
  </w:footnote>
  <w:footnote w:type="continuationSeparator" w:id="0">
    <w:p w14:paraId="73887B43" w14:textId="77777777" w:rsidR="008A0FC2" w:rsidRDefault="008A0FC2" w:rsidP="00323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E24D0CE" w14:textId="77777777" w:rsidR="0032399A" w:rsidRDefault="0032399A" w:rsidP="00857BD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6B2730" w14:textId="77777777" w:rsidR="0032399A" w:rsidRDefault="0032399A" w:rsidP="003239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7094" w14:textId="77777777" w:rsidR="0032399A" w:rsidRDefault="0032399A" w:rsidP="00857BD4">
    <w:pPr>
      <w:pStyle w:val="Header"/>
      <w:framePr w:wrap="none" w:vAnchor="text" w:hAnchor="margin" w:xAlign="right" w:y="1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3150"/>
      <w:gridCol w:w="5840"/>
      <w:gridCol w:w="1800"/>
    </w:tblGrid>
    <w:tr w:rsidR="0032399A" w14:paraId="1997E382" w14:textId="77777777" w:rsidTr="00272256">
      <w:trPr>
        <w:trHeight w:val="570"/>
      </w:trPr>
      <w:tc>
        <w:tcPr>
          <w:tcW w:w="3150" w:type="dxa"/>
          <w:shd w:val="clear" w:color="auto" w:fill="E66914" w:themeFill="accent2"/>
          <w:vAlign w:val="center"/>
        </w:tcPr>
        <w:p w14:paraId="0263C47F" w14:textId="1E0FA8E8" w:rsidR="0032399A" w:rsidRPr="0032399A" w:rsidRDefault="00272256" w:rsidP="001A6F00">
          <w:pPr>
            <w:pStyle w:val="Header"/>
            <w:ind w:right="360"/>
          </w:pPr>
          <w:r>
            <w:t xml:space="preserve"> SHOPNEST STORE REPORT</w:t>
          </w:r>
        </w:p>
      </w:tc>
      <w:tc>
        <w:tcPr>
          <w:tcW w:w="5840" w:type="dxa"/>
        </w:tcPr>
        <w:p w14:paraId="4875F0BC" w14:textId="77777777" w:rsidR="0032399A" w:rsidRDefault="0032399A" w:rsidP="0032399A">
          <w:pPr>
            <w:pStyle w:val="Header"/>
          </w:pPr>
        </w:p>
      </w:tc>
      <w:tc>
        <w:tcPr>
          <w:tcW w:w="1800" w:type="dxa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6FA149C4" w14:textId="77777777" w:rsidR="0032399A" w:rsidRPr="0032399A" w:rsidRDefault="0032399A" w:rsidP="0032399A">
              <w:pPr>
                <w:pStyle w:val="Footer"/>
                <w:jc w:val="center"/>
              </w:pPr>
              <w:r w:rsidRPr="00AF4F54">
                <w:rPr>
                  <w:rStyle w:val="PageNumber"/>
                  <w:color w:val="auto"/>
                  <w:sz w:val="20"/>
                  <w:szCs w:val="20"/>
                </w:rPr>
                <w:t xml:space="preserve">PAGE </w: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begin"/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instrText xml:space="preserve"> PAGE </w:instrTex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separate"/>
              </w:r>
              <w:r w:rsidR="00E12350" w:rsidRPr="00AF4F54">
                <w:rPr>
                  <w:rStyle w:val="PageNumber"/>
                  <w:noProof/>
                  <w:color w:val="auto"/>
                  <w:sz w:val="20"/>
                  <w:szCs w:val="20"/>
                </w:rPr>
                <w:t>2</w: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72FFBD14" w14:textId="77777777" w:rsidR="0032399A" w:rsidRDefault="0032399A" w:rsidP="00323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E6B"/>
    <w:multiLevelType w:val="multilevel"/>
    <w:tmpl w:val="3350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C7D13"/>
    <w:multiLevelType w:val="multilevel"/>
    <w:tmpl w:val="2A0A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B36A6"/>
    <w:multiLevelType w:val="multilevel"/>
    <w:tmpl w:val="8D18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67738"/>
    <w:multiLevelType w:val="multilevel"/>
    <w:tmpl w:val="D87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E7E73"/>
    <w:multiLevelType w:val="multilevel"/>
    <w:tmpl w:val="BFA2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F1144"/>
    <w:multiLevelType w:val="multilevel"/>
    <w:tmpl w:val="3CF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7726B"/>
    <w:multiLevelType w:val="multilevel"/>
    <w:tmpl w:val="A9C4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F6BE3"/>
    <w:multiLevelType w:val="multilevel"/>
    <w:tmpl w:val="95FE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86C2D"/>
    <w:multiLevelType w:val="multilevel"/>
    <w:tmpl w:val="95FE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B9"/>
    <w:rsid w:val="00056B1A"/>
    <w:rsid w:val="00072C42"/>
    <w:rsid w:val="0018213C"/>
    <w:rsid w:val="001A1859"/>
    <w:rsid w:val="001A6F00"/>
    <w:rsid w:val="001E623C"/>
    <w:rsid w:val="001F2700"/>
    <w:rsid w:val="00247BED"/>
    <w:rsid w:val="00256297"/>
    <w:rsid w:val="00272256"/>
    <w:rsid w:val="002E0DDD"/>
    <w:rsid w:val="0032399A"/>
    <w:rsid w:val="00354B98"/>
    <w:rsid w:val="00356303"/>
    <w:rsid w:val="00380E44"/>
    <w:rsid w:val="00390039"/>
    <w:rsid w:val="003E743B"/>
    <w:rsid w:val="00405AB8"/>
    <w:rsid w:val="0043454C"/>
    <w:rsid w:val="004A0DED"/>
    <w:rsid w:val="004F5AAE"/>
    <w:rsid w:val="005134CD"/>
    <w:rsid w:val="0054426D"/>
    <w:rsid w:val="00575216"/>
    <w:rsid w:val="005E56CC"/>
    <w:rsid w:val="006068D2"/>
    <w:rsid w:val="00640DA2"/>
    <w:rsid w:val="006A0CA9"/>
    <w:rsid w:val="006C60E6"/>
    <w:rsid w:val="006E1FBB"/>
    <w:rsid w:val="006F519C"/>
    <w:rsid w:val="00700E81"/>
    <w:rsid w:val="00713546"/>
    <w:rsid w:val="007735A6"/>
    <w:rsid w:val="007747E6"/>
    <w:rsid w:val="007E7E84"/>
    <w:rsid w:val="008543B0"/>
    <w:rsid w:val="008750B9"/>
    <w:rsid w:val="008A0FC2"/>
    <w:rsid w:val="008E40F2"/>
    <w:rsid w:val="00902345"/>
    <w:rsid w:val="0090550B"/>
    <w:rsid w:val="00952F7D"/>
    <w:rsid w:val="009A58B2"/>
    <w:rsid w:val="009B347D"/>
    <w:rsid w:val="009E5698"/>
    <w:rsid w:val="00A357CB"/>
    <w:rsid w:val="00A47D59"/>
    <w:rsid w:val="00A55E14"/>
    <w:rsid w:val="00AF4F54"/>
    <w:rsid w:val="00B33538"/>
    <w:rsid w:val="00B40E94"/>
    <w:rsid w:val="00B55D6A"/>
    <w:rsid w:val="00B61CC7"/>
    <w:rsid w:val="00BB43A5"/>
    <w:rsid w:val="00BF3944"/>
    <w:rsid w:val="00C2711A"/>
    <w:rsid w:val="00C544C7"/>
    <w:rsid w:val="00C87148"/>
    <w:rsid w:val="00CE0518"/>
    <w:rsid w:val="00D40B17"/>
    <w:rsid w:val="00D910DE"/>
    <w:rsid w:val="00DB60F6"/>
    <w:rsid w:val="00DC5478"/>
    <w:rsid w:val="00E12350"/>
    <w:rsid w:val="00E502DE"/>
    <w:rsid w:val="00E51622"/>
    <w:rsid w:val="00E52256"/>
    <w:rsid w:val="00E816AF"/>
    <w:rsid w:val="00E901A6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951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AF4F54"/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qFormat/>
    <w:rsid w:val="00AF4F54"/>
    <w:pPr>
      <w:spacing w:before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4F54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AF4F54"/>
    <w:pPr>
      <w:spacing w:before="120"/>
      <w:outlineLvl w:val="2"/>
    </w:pPr>
    <w:rPr>
      <w:b/>
      <w:color w:val="E66914" w:themeColor="accent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5"/>
    <w:qFormat/>
    <w:rsid w:val="007735A6"/>
    <w:rPr>
      <w:noProof/>
      <w:sz w:val="10"/>
    </w:rPr>
  </w:style>
  <w:style w:type="character" w:customStyle="1" w:styleId="Heading1Char">
    <w:name w:val="Heading 1 Char"/>
    <w:basedOn w:val="DefaultParagraphFont"/>
    <w:link w:val="Heading1"/>
    <w:rsid w:val="00AF4F54"/>
    <w:rPr>
      <w:b/>
      <w:color w:val="FFFFFF" w:themeColor="background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AF4F54"/>
    <w:rPr>
      <w:b/>
      <w:color w:val="FFFFFF" w:themeColor="background1"/>
      <w:sz w:val="36"/>
      <w:szCs w:val="36"/>
    </w:rPr>
  </w:style>
  <w:style w:type="paragraph" w:customStyle="1" w:styleId="Text">
    <w:name w:val="Text"/>
    <w:basedOn w:val="Normal"/>
    <w:uiPriority w:val="3"/>
    <w:qFormat/>
    <w:rsid w:val="00AF4F54"/>
    <w:rPr>
      <w:color w:val="auto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semiHidden/>
    <w:rsid w:val="00323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F00"/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AF4F54"/>
    <w:rPr>
      <w:b/>
      <w:color w:val="E66914" w:themeColor="accent2"/>
      <w:sz w:val="28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AF4F54"/>
    <w:rPr>
      <w:b/>
      <w:color w:val="E66914" w:themeColor="accent2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AF4F54"/>
    <w:rPr>
      <w:b/>
      <w:color w:val="E66914" w:themeColor="accent2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F4F54"/>
    <w:pPr>
      <w:spacing w:before="360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54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54C"/>
    <w:pPr>
      <w:numPr>
        <w:ilvl w:val="1"/>
      </w:numPr>
    </w:pPr>
    <w:rPr>
      <w:rFonts w:asciiTheme="majorHAnsi" w:eastAsiaTheme="minorEastAsia" w:hAnsiTheme="majorHAnsi"/>
      <w:b/>
      <w:color w:val="E66914" w:themeColor="accen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54C"/>
    <w:rPr>
      <w:rFonts w:asciiTheme="majorHAnsi" w:eastAsiaTheme="minorEastAsia" w:hAnsiTheme="majorHAnsi"/>
      <w:b/>
      <w:color w:val="E66914" w:themeColor="accent2"/>
      <w:spacing w:val="15"/>
      <w:sz w:val="36"/>
      <w:szCs w:val="22"/>
    </w:rPr>
  </w:style>
  <w:style w:type="paragraph" w:customStyle="1" w:styleId="DescriptionHeading">
    <w:name w:val="Description Heading"/>
    <w:basedOn w:val="Text"/>
    <w:uiPriority w:val="6"/>
    <w:qFormat/>
    <w:rsid w:val="00AF4F54"/>
    <w:pPr>
      <w:jc w:val="center"/>
    </w:pPr>
    <w:rPr>
      <w:b/>
      <w:color w:val="FFFFFF" w:themeColor="background1"/>
    </w:rPr>
  </w:style>
  <w:style w:type="paragraph" w:customStyle="1" w:styleId="TextWhite">
    <w:name w:val="Text White"/>
    <w:basedOn w:val="Text"/>
    <w:uiPriority w:val="6"/>
    <w:qFormat/>
    <w:rsid w:val="00AF4F54"/>
    <w:rPr>
      <w:color w:val="FFFFFF" w:themeColor="background1"/>
    </w:rPr>
  </w:style>
  <w:style w:type="paragraph" w:styleId="NormalWeb">
    <w:name w:val="Normal (Web)"/>
    <w:basedOn w:val="Normal"/>
    <w:uiPriority w:val="99"/>
    <w:semiHidden/>
    <w:rsid w:val="00A55E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PC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C000"/>
      </a:accent1>
      <a:accent2>
        <a:srgbClr val="E66914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C938F-0932-4C0A-BC54-04F30C423DE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05554D6-1FEB-4E3D-BA88-5F279922E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43932-8BE5-4A11-9D30-69AEBB67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13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2025-03-15T08:34:00Z</dcterms:created>
  <dcterms:modified xsi:type="dcterms:W3CDTF">2025-03-15T14:30:00Z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