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lkegwf7sws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Pinkvilla - CMS Architecture (Secure, Scalable)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We use a heavily customized WordPress CMS hosted privately behind VPN, with RDS as the source of truth, Redis for performance, and Solr for fast search—secured with RBAC and 2FA.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owgka67ns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tbl>
      <w:tblPr>
        <w:tblStyle w:val="Table1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335"/>
        <w:gridCol w:w="1985"/>
        <w:tblGridChange w:id="0">
          <w:tblGrid>
            <w:gridCol w:w="1910"/>
            <w:gridCol w:w="333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CMS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Customized WordPress (EC2)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r6g.large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Amazon RDS (Writer + Reader)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db.r5.large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Amazon ElastiCache (Redis)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cache.r6g.large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Apache Solr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r6gd.large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VPC + Private Subnets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VPN Gateway + 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z03tgkyr5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Architecture 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353175" cy="4962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unvxcy2yx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Diagram</w:t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2753975" cy="9201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53975" cy="920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