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Document: Pinkvilla Backend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Agenda: To understand the technical backend process and components in detail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Workspaces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To create an article of different type - Regular, Select, Liveblog, Photos, Videos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 Manager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To create a different sections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 Manager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To create a different Collections, which will be used to segregate the Articles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Sections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Tags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Polls &amp; Quiz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Box Office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Quizzes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Collections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  <w:br w:type="textWrapping"/>
        <w:br w:type="textWrapping"/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Sorters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Type: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Roles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Features: Manage all the ads across the website and configure section and page specific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Workflow: Explaining the workflow along with the diagram if applicable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Functionality: Component explained in detail with screen shots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Document: Pinkvilla Frontend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  <w:t xml:space="preserve"> To understand the logic of each section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Pages:</w:t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Page: </w:t>
      </w:r>
      <w:r w:rsidDel="00000000" w:rsidR="00000000" w:rsidRPr="00000000">
        <w:rPr>
          <w:b w:val="1"/>
          <w:bCs w:val="1"/>
          <w:rtl w:val="0"/>
        </w:rPr>
        <w:t xml:space="preserve">Home Page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Sections: List all the sections in the Homepage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Explanation: Each and every section is explained in detail along with screen shots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Page: </w:t>
      </w:r>
      <w:r w:rsidDel="00000000" w:rsidR="00000000" w:rsidRPr="00000000">
        <w:rPr>
          <w:b w:val="1"/>
          <w:bCs w:val="1"/>
          <w:rtl w:val="0"/>
        </w:rPr>
        <w:t xml:space="preserve">Section Page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Sections: List all the sections in the Homepage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Explanation: Each and every section is explained in detail along with screen shots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Page: </w:t>
      </w:r>
      <w:r w:rsidDel="00000000" w:rsidR="00000000" w:rsidRPr="00000000">
        <w:rPr>
          <w:b w:val="1"/>
          <w:bCs w:val="1"/>
          <w:rtl w:val="0"/>
        </w:rPr>
        <w:t xml:space="preserve">Detail Page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Sections: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Page: </w:t>
      </w:r>
      <w:r w:rsidDel="00000000" w:rsidR="00000000" w:rsidRPr="00000000">
        <w:rPr>
          <w:b w:val="1"/>
          <w:bCs w:val="1"/>
          <w:rtl w:val="0"/>
        </w:rPr>
        <w:t xml:space="preserve">Topic Page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Page: </w:t>
      </w:r>
      <w:r w:rsidDel="00000000" w:rsidR="00000000" w:rsidRPr="00000000">
        <w:rPr>
          <w:b w:val="1"/>
          <w:bCs w:val="1"/>
          <w:rtl w:val="0"/>
        </w:rPr>
        <w:t xml:space="preserve">Static Page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Sections: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Document: Pinkvilla API’s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  <w:t xml:space="preserve"> To understand each and every API and its logic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Group: </w:t>
      </w:r>
      <w:r w:rsidDel="00000000" w:rsidR="00000000" w:rsidRPr="00000000">
        <w:rPr>
          <w:b w:val="1"/>
          <w:bCs w:val="1"/>
          <w:rtl w:val="0"/>
        </w:rPr>
        <w:t xml:space="preserve">Third Party Feeds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API List: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Group: </w:t>
      </w:r>
      <w:r w:rsidDel="00000000" w:rsidR="00000000" w:rsidRPr="00000000">
        <w:rPr>
          <w:b w:val="1"/>
          <w:bCs w:val="1"/>
          <w:rtl w:val="0"/>
        </w:rPr>
        <w:t xml:space="preserve">UAE Pinkvilla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API List: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Group: </w:t>
      </w:r>
      <w:r w:rsidDel="00000000" w:rsidR="00000000" w:rsidRPr="00000000">
        <w:rPr>
          <w:b w:val="1"/>
          <w:bCs w:val="1"/>
          <w:rtl w:val="0"/>
        </w:rPr>
        <w:t xml:space="preserve">App API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API List: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Frequency:</w:t>
        <w:br w:type="textWrapping"/>
        <w:br w:type="textWrapping"/>
        <w:t xml:space="preserve">Group: </w:t>
      </w:r>
      <w:r w:rsidDel="00000000" w:rsidR="00000000" w:rsidRPr="00000000">
        <w:rPr>
          <w:b w:val="1"/>
          <w:bCs w:val="1"/>
          <w:rtl w:val="0"/>
        </w:rPr>
        <w:t xml:space="preserve">Sitemap API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API List: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Group: </w:t>
      </w:r>
      <w:r w:rsidDel="00000000" w:rsidR="00000000" w:rsidRPr="00000000">
        <w:rPr>
          <w:b w:val="1"/>
          <w:bCs w:val="1"/>
          <w:rtl w:val="0"/>
        </w:rPr>
        <w:t xml:space="preserve">NewLetter 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API List: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Frequency: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Document: 17looms Backend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  <w:t xml:space="preserve"> To understand the technical backend process and components in detail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Document: 17looms Frontend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  <w:t xml:space="preserve"> To understand the technical Frontend process &amp; logic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