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0"/>
          <w:szCs w:val="40"/>
        </w:rPr>
        <w:t xml:space="preserve">PhD Research — Personal Study Guide</w:t>
      </w:r>
    </w:p>
    <w:p>
      <w:pPr>
        <w:spacing w:after="400"/>
        <w:jc w:val="center"/>
      </w:pPr>
      <w:r>
        <w:rPr>
          <w:i/>
          <w:iCs/>
          <w:sz w:val="24"/>
          <w:szCs w:val="24"/>
        </w:rPr>
        <w:t xml:space="preserve">A plain-language refresher for the three papers underlying the thesis</w:t>
      </w:r>
    </w:p>
    <w:p>
      <w:pPr>
        <w:spacing w:after="200"/>
        <w:jc w:val="center"/>
      </w:pPr>
      <w:r>
        <w:rPr>
          <w:b/>
          <w:bCs/>
          <w:sz w:val="26"/>
          <w:szCs w:val="26"/>
        </w:rPr>
        <w:t xml:space="preserve">Bharat Babaso Mane</w:t>
      </w:r>
    </w:p>
    <w:p>
      <w:pPr>
        <w:spacing w:after="80"/>
        <w:jc w:val="center"/>
      </w:pPr>
      <w:r>
        <w:rPr>
          <w:sz w:val="22"/>
          <w:szCs w:val="22"/>
        </w:rPr>
        <w:t xml:space="preserve">Supervisor: Dr. Rathnakar Achary</w:t>
      </w:r>
    </w:p>
    <w:p>
      <w:pPr>
        <w:spacing w:after="600"/>
        <w:jc w:val="center"/>
      </w:pPr>
      <w:r>
        <w:rPr>
          <w:sz w:val="22"/>
          <w:szCs w:val="22"/>
        </w:rPr>
        <w:t xml:space="preserve">Alliance University, Bengaluru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How to use this guide</w:t>
            </w:r>
          </w:p>
          <w:p>
            <w:pPr>
              <w:spacing w:after="60"/>
            </w:pPr>
            <w:r>
              <w:t xml:space="preserve">Each paper is broken down into the same sections: the problem in one paragraph, the idea, the pipeline stage by stage, the key formulas with what each symbol means, the dataset and metrics, the headline results, the limitations, and a section called "What to remember in viva." Read in order — Paper 1 sets up the identifier-readability story, Paper 2 generalises it to whole-snippet readability with an ensemble, Paper 3 shifts the lens from code to the developer behind the code.</w:t>
            </w:r>
          </w:p>
        </w:tc>
      </w:tr>
    </w:tbl>
    <w:p>
      <w:r>
        <w:br w:type="page"/>
      </w:r>
    </w:p>
    <w:p>
      <w:pPr>
        <w:pStyle w:val="Heading1"/>
        <w:spacing w:after="120" w:before="240"/>
      </w:pPr>
      <w:r>
        <w:rPr>
          <w:b/>
          <w:bCs/>
        </w:rPr>
        <w:t xml:space="preserve">The Thesis in One Page — How the Three Papers Connect</w:t>
      </w:r>
    </w:p>
    <w:p>
      <w:pPr>
        <w:spacing w:after="120" w:line="300"/>
      </w:pPr>
      <w:r>
        <w:t xml:space="preserve">Your PhD sits inside one big question: how do we make program comprehension automatic, accurate, and explainable so that real developers and project managers can act on it? You attack the same problem from three angles.</w:t>
      </w:r>
    </w:p>
    <w:p>
      <w:pPr>
        <w:pStyle w:val="Heading3"/>
        <w:spacing w:after="120" w:before="240"/>
      </w:pPr>
      <w:r>
        <w:rPr>
          <w:b/>
          <w:bCs/>
        </w:rPr>
        <w:t xml:space="preserve">Paper 1 — IRAF-XADL</w:t>
      </w:r>
    </w:p>
    <w:p>
      <w:pPr>
        <w:spacing w:after="120" w:line="300"/>
      </w:pPr>
      <w:r>
        <w:t xml:space="preserve">Looks at the smallest unit of comprehension: the identifier. Asks whether a function name, variable name, or class name is good. Uses CodeBERT plus a Self-Attention BiLSTM and adds SHAP to explain which identifier features drove the score.</w:t>
      </w:r>
    </w:p>
    <w:p>
      <w:pPr>
        <w:pStyle w:val="Heading3"/>
        <w:spacing w:after="120" w:before="240"/>
      </w:pPr>
      <w:r>
        <w:rPr>
          <w:b/>
          <w:bCs/>
        </w:rPr>
        <w:t xml:space="preserve">Paper 2 — ECRVR-MVEL</w:t>
      </w:r>
    </w:p>
    <w:p>
      <w:pPr>
        <w:spacing w:after="120" w:line="300"/>
      </w:pPr>
      <w:r>
        <w:t xml:space="preserve">Zooms out from a single identifier to a whole code snippet. Asks whether the snippet as a whole is readable. Uses CodeBERT again but combines three classifiers — GCN, DBN, and Bi-TCN — in a weighted majority vote, and uses LIME for explanations.</w:t>
      </w:r>
    </w:p>
    <w:p>
      <w:pPr>
        <w:pStyle w:val="Heading3"/>
        <w:spacing w:after="120" w:before="240"/>
      </w:pPr>
      <w:r>
        <w:rPr>
          <w:b/>
          <w:bCs/>
        </w:rPr>
        <w:t xml:space="preserve">Paper 3 — EESQA-DELMOA</w:t>
      </w:r>
    </w:p>
    <w:p>
      <w:pPr>
        <w:spacing w:after="120" w:line="300"/>
      </w:pPr>
      <w:r>
        <w:t xml:space="preserve">Zooms out further: forget the code for a moment, look at the human writing it. Asks what experience level the developer has, because that drives software quality. Uses the Artificial Hummingbird algorithm to select features, a Simplified Spiking Neural Network to classify the developer, and the Adaptive Migration Butterfly Optimisation algorithm to tune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The thread</w:t>
            </w:r>
          </w:p>
          <w:p>
            <w:pPr>
              <w:spacing w:after="60"/>
            </w:pPr>
            <w:r>
              <w:t xml:space="preserve">Identifier-level readability (Paper 1) → snippet-level readability (Paper 2) → developer-level quality (Paper 3). The thesis argues that program comprehension cannot be assessed from any single layer alone; you need all three. Two papers share the same Kaggle dataset (Code Snippets: Insights and Readability — Python and C++); the third uses a separate open developer-experience dataset from Zenodo. All three insist on explainability — SHAP for Paper 1, LIME for Paper 2, and feature-importance through the BAHB selector for Paper 3.</w:t>
            </w:r>
          </w:p>
        </w:tc>
      </w:tr>
    </w:tbl>
    <w:p>
      <w:r>
        <w:br w:type="page"/>
      </w:r>
    </w:p>
    <w:p>
      <w:pPr>
        <w:pStyle w:val="Heading1"/>
        <w:spacing w:after="120" w:before="240"/>
      </w:pPr>
      <w:r>
        <w:rPr>
          <w:b/>
          <w:bCs/>
        </w:rPr>
        <w:t xml:space="preserve">Paper 1 — Evaluating Identifier Readability Using CodeBERT</w:t>
      </w:r>
    </w:p>
    <w:p>
      <w:pPr>
        <w:spacing w:after="120" w:line="300"/>
      </w:pPr>
      <w:r>
        <w:rPr>
          <w:b/>
          <w:bCs/>
        </w:rPr>
        <w:t xml:space="preserve">Full title: </w:t>
      </w:r>
      <w:r>
        <w:t xml:space="preserve">Evaluating Identifier Readability Using CodeBERT Embeddings and Self-Attention Bi-LSTM with Explainable Modeling</w:t>
      </w:r>
    </w:p>
    <w:p>
      <w:pPr>
        <w:spacing w:after="120" w:line="300"/>
      </w:pPr>
      <w:r>
        <w:rPr>
          <w:b/>
          <w:bCs/>
        </w:rPr>
        <w:t xml:space="preserve">Model name: </w:t>
      </w:r>
      <w:r>
        <w:t xml:space="preserve">IRAF-XADL — Identifier Readability Analysis Framework using Explainable Attention-Based Deep Learning.</w:t>
      </w:r>
    </w:p>
    <w:p>
      <w:pPr>
        <w:spacing w:after="120" w:line="300"/>
      </w:pPr>
      <w:r>
        <w:rPr>
          <w:b/>
          <w:bCs/>
        </w:rPr>
        <w:t xml:space="preserve">Status: </w:t>
      </w:r>
      <w:r>
        <w:t xml:space="preserve">Accepted, in publication/indexing pipeline.</w:t>
      </w:r>
    </w:p>
    <w:p>
      <w:pPr>
        <w:pStyle w:val="Heading2"/>
        <w:spacing w:after="120" w:before="240"/>
      </w:pPr>
      <w:r>
        <w:rPr>
          <w:b/>
          <w:bCs/>
        </w:rPr>
        <w:t xml:space="preserve">1.1 The problem in one paragraph</w:t>
      </w:r>
    </w:p>
    <w:p>
      <w:pPr>
        <w:spacing w:after="120" w:line="300"/>
      </w:pPr>
      <w:r>
        <w:t xml:space="preserve">Code readability tools have historically measured surface features — line length, indentation, bracket counts — and ignored the most semantically loaded piece of source code: the identifier name. Bad identifiers (cryptic abbreviations, ambiguous nouns, mixed conventions) hide intent and increase maintenance cost. The challenge is that the quality of a name is partly linguistic (is it meaningful?), partly stylistic (does it follow naming conventions?), partly contextual (does it fit its scope?), and partly cognitive (is it pronounceable, is it familiar?). A single-feature classifier cannot capture all of that.</w:t>
      </w:r>
    </w:p>
    <w:p>
      <w:pPr>
        <w:pStyle w:val="Heading2"/>
        <w:spacing w:after="120" w:before="240"/>
      </w:pPr>
      <w:r>
        <w:rPr>
          <w:b/>
          <w:bCs/>
        </w:rPr>
        <w:t xml:space="preserve">1.2 The idea</w:t>
      </w:r>
    </w:p>
    <w:p>
      <w:pPr>
        <w:spacing w:after="120" w:line="300"/>
      </w:pPr>
      <w:r>
        <w:t xml:space="preserve">Extract identifiers properly using a real syntax parser (not regex). Score every identifier against ten linguistically and cognitively grounded features. Pass the identifiers through CodeBERT so the model also sees their contextual meaning. Combine sequence learning (BiLSTM) with attention so the network can decide which tokens matter most. Then use SHAP to expose which features drove every prediction.</w:t>
      </w:r>
    </w:p>
    <w:p>
      <w:pPr>
        <w:pStyle w:val="Heading2"/>
        <w:spacing w:after="120" w:before="240"/>
      </w:pPr>
      <w:r>
        <w:rPr>
          <w:b/>
          <w:bCs/>
        </w:rPr>
        <w:t xml:space="preserve">1.3 The pipeline, stage by stage</w:t>
      </w:r>
    </w:p>
    <w:p>
      <w:pPr>
        <w:pStyle w:val="Heading3"/>
        <w:spacing w:after="120" w:before="240"/>
      </w:pPr>
      <w:r>
        <w:rPr>
          <w:b/>
          <w:bCs/>
        </w:rPr>
        <w:t xml:space="preserve">Stage 1 — Identifier preprocessing and normalisation</w:t>
      </w:r>
    </w:p>
    <w:p>
      <w:pPr>
        <w:spacing w:after="120" w:line="300"/>
      </w:pPr>
      <w:r>
        <w:t xml:space="preserve">Instead of regex tokenisation, use language-specific Abstract Syntax Tree parsers — LibCST for Python and Tree-Sitter for C++ — so you reliably get function names, class names, parameter names, and variable names.</w:t>
      </w:r>
    </w:p>
    <w:p>
      <w:pPr>
        <w:spacing w:after="120" w:line="300"/>
      </w:pPr>
      <w:r>
        <w:t xml:space="preserve">Then apply lexical normalisation to break compound identifiers into their semantic atoms:</w:t>
      </w:r>
    </w:p>
    <w:p>
      <w:pPr>
        <w:pStyle w:val="ListParagraph"/>
        <w:numPr>
          <w:ilvl w:val="0"/>
          <w:numId w:val="2"/>
        </w:numPr>
        <w:spacing w:after="60" w:line="280"/>
      </w:pPr>
      <w:r>
        <w:t xml:space="preserve">camelCase splitting: getUserName → get user name</w:t>
      </w:r>
    </w:p>
    <w:p>
      <w:pPr>
        <w:pStyle w:val="ListParagraph"/>
        <w:numPr>
          <w:ilvl w:val="0"/>
          <w:numId w:val="2"/>
        </w:numPr>
        <w:spacing w:after="60" w:line="280"/>
      </w:pPr>
      <w:r>
        <w:t xml:space="preserve">snake_case splitting: user_name_id → user name id</w:t>
      </w:r>
    </w:p>
    <w:p>
      <w:pPr>
        <w:pStyle w:val="ListParagraph"/>
        <w:numPr>
          <w:ilvl w:val="0"/>
          <w:numId w:val="2"/>
        </w:numPr>
        <w:spacing w:after="60" w:line="280"/>
      </w:pPr>
      <w:r>
        <w:t xml:space="preserve">digit-letter separation: file2Path → file 2 path</w:t>
      </w:r>
    </w:p>
    <w:p>
      <w:pPr>
        <w:pStyle w:val="ListParagraph"/>
        <w:numPr>
          <w:ilvl w:val="0"/>
          <w:numId w:val="2"/>
        </w:numPr>
        <w:spacing w:after="60" w:line="280"/>
      </w:pPr>
      <w:r>
        <w:t xml:space="preserve">lowercase everything to reduce vocabulary sparsity</w:t>
      </w:r>
    </w:p>
    <w:p>
      <w:pPr>
        <w:spacing w:after="120" w:line="300"/>
      </w:pPr>
      <w:r>
        <w:t xml:space="preserve">Finally clean the tokens: remove generic code stopwords (var, obj, tmp) and English stopwords, and lemmatise to base forms using WordNet so plurals and tenses collapse.</w:t>
      </w:r>
    </w:p>
    <w:p>
      <w:pPr>
        <w:pStyle w:val="Heading3"/>
        <w:spacing w:after="120" w:before="240"/>
      </w:pPr>
      <w:r>
        <w:rPr>
          <w:b/>
          <w:bCs/>
        </w:rPr>
        <w:t xml:space="preserve">Stage 2 — Ten readability features (this is the secret sauce)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w:t>
            </w:r>
          </w:p>
        </w:tc>
        <w:tc>
          <w:tcPr>
            <w:tcW w:type="dxa" w:w="24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Feature</w:t>
            </w:r>
          </w:p>
        </w:tc>
        <w:tc>
          <w:tcPr>
            <w:tcW w:type="dxa" w:w="636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What it measures</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1</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Meaningful Clarity (MC)</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How philologically meaningful the tokens are</w:t>
            </w:r>
          </w:p>
        </w:tc>
      </w:tr>
      <w:tr>
        <w:tc>
          <w:tcPr>
            <w:tcW w:type="dxa" w:w="6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2</w:t>
            </w:r>
          </w:p>
        </w:tc>
        <w:tc>
          <w:tcPr>
            <w:tcW w:type="dxa" w:w="24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Naming Conformance (NC)</w:t>
            </w:r>
          </w:p>
        </w:tc>
        <w:tc>
          <w:tcPr>
            <w:tcW w:type="dxa" w:w="63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Adherence to language-specific naming conventions</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3</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Optimal Length (OL)</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How close the identifier length is to an ideal range</w:t>
            </w:r>
          </w:p>
        </w:tc>
      </w:tr>
      <w:tr>
        <w:tc>
          <w:tcPr>
            <w:tcW w:type="dxa" w:w="6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4</w:t>
            </w:r>
          </w:p>
        </w:tc>
        <w:tc>
          <w:tcPr>
            <w:tcW w:type="dxa" w:w="24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Domain Relevance (DR)</w:t>
            </w:r>
          </w:p>
        </w:tc>
        <w:tc>
          <w:tcPr>
            <w:tcW w:type="dxa" w:w="63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Closeness of tokens to domain-specific vocabulary</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5</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Pronounceability (PR)</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Vowel-to-character ratio — can you say it aloud?</w:t>
            </w:r>
          </w:p>
        </w:tc>
      </w:tr>
      <w:tr>
        <w:tc>
          <w:tcPr>
            <w:tcW w:type="dxa" w:w="6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6</w:t>
            </w:r>
          </w:p>
        </w:tc>
        <w:tc>
          <w:tcPr>
            <w:tcW w:type="dxa" w:w="24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Lexical Familiarity (LF)</w:t>
            </w:r>
          </w:p>
        </w:tc>
        <w:tc>
          <w:tcPr>
            <w:tcW w:type="dxa" w:w="63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Average word-frequency of the tokens in natural-language corpora</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Context Consistency (CC)</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Embedding-similarity with nearby identifiers</w:t>
            </w:r>
          </w:p>
        </w:tc>
      </w:tr>
      <w:tr>
        <w:tc>
          <w:tcPr>
            <w:tcW w:type="dxa" w:w="6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8</w:t>
            </w:r>
          </w:p>
        </w:tc>
        <w:tc>
          <w:tcPr>
            <w:tcW w:type="dxa" w:w="24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Scope Appropriateness (SA)</w:t>
            </w:r>
          </w:p>
        </w:tc>
        <w:tc>
          <w:tcPr>
            <w:tcW w:type="dxa" w:w="63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Whether identifier length is suitable for its scope</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Cognitive Load Score (CLS)</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Combined familiarity + clarity + ambiguity penalty</w:t>
            </w:r>
          </w:p>
        </w:tc>
      </w:tr>
      <w:tr>
        <w:tc>
          <w:tcPr>
            <w:tcW w:type="dxa" w:w="6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10</w:t>
            </w:r>
          </w:p>
        </w:tc>
        <w:tc>
          <w:tcPr>
            <w:tcW w:type="dxa" w:w="24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Predictability (PRED)</w:t>
            </w:r>
          </w:p>
        </w:tc>
        <w:tc>
          <w:tcPr>
            <w:tcW w:type="dxa" w:w="63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How likely the identifier is, given its surrounding code (stochastic LM)</w:t>
            </w:r>
          </w:p>
        </w:tc>
      </w:tr>
    </w:tbl>
    <w:p>
      <w:pPr>
        <w:pStyle w:val="Heading3"/>
        <w:spacing w:after="120" w:before="240"/>
      </w:pPr>
      <w:r>
        <w:rPr>
          <w:b/>
          <w:bCs/>
        </w:rPr>
        <w:t xml:space="preserve">Stage 3 — CodeBERT embeddings</w:t>
      </w:r>
    </w:p>
    <w:p>
      <w:pPr>
        <w:spacing w:after="120" w:line="300"/>
      </w:pPr>
      <w:r>
        <w:t xml:space="preserve">CodeBERT is a 12-layer Transformer pre-trained on programming languages, with 768 hidden units per layer. Each token is encoded with three vectors: a token embedding, a segment embedding, and a position embedding (so a token appearing twice produces two distinct vectors). Multi-head self-attention lets it learn variable dependencies and control flow. Every token ends up as a 768-dimensional vector; an average-pooling layer condenses the per-token vectors into a single fixed-length feature vector used downstream.</w:t>
      </w:r>
    </w:p>
    <w:p>
      <w:pPr>
        <w:pStyle w:val="Heading3"/>
        <w:spacing w:after="120" w:before="240"/>
      </w:pPr>
      <w:r>
        <w:rPr>
          <w:b/>
          <w:bCs/>
        </w:rPr>
        <w:t xml:space="preserve">Stage 4 — Self-Attention BiLSTM (SA-BiLSTM) classifier</w:t>
      </w:r>
    </w:p>
    <w:p>
      <w:pPr>
        <w:spacing w:after="120" w:line="300"/>
      </w:pPr>
      <w:r>
        <w:t xml:space="preserve">BiLSTM reads the identifier sequence in both directions. The standard LSTM gate equations apply — forget gate, input gate, output gate, input modulation, cell state, hidden state — at every time step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LSTM gates (informal recap)</w:t>
            </w:r>
          </w:p>
          <w:p>
            <w:pPr>
              <w:spacing w:after="60"/>
            </w:pPr>
            <w:r>
              <w:t xml:space="preserve">f_t = σ(W_f · [h_{t-1}, x_t] + b_f)       — forget gate (what to drop from memory)</w:t>
            </w:r>
          </w:p>
          <w:p>
            <w:pPr>
              <w:spacing w:after="60"/>
            </w:pPr>
            <w:r>
              <w:t xml:space="preserve">i_t = σ(W_i · [h_{t-1}, x_t] + b_i)       — input gate (what to admit)</w:t>
            </w:r>
          </w:p>
          <w:p>
            <w:pPr>
              <w:spacing w:after="60"/>
            </w:pPr>
            <w:r>
              <w:t xml:space="preserve">g_t = tanh(W_g · [h_{t-1}, x_t] + b_g)    — candidate cell update</w:t>
            </w:r>
          </w:p>
          <w:p>
            <w:pPr>
              <w:spacing w:after="60"/>
            </w:pPr>
            <w:r>
              <w:t xml:space="preserve">c_t = f_t * c_{t-1} + i_t * g_t           — new cell memory</w:t>
            </w:r>
          </w:p>
          <w:p>
            <w:pPr>
              <w:spacing w:after="60"/>
            </w:pPr>
            <w:r>
              <w:t xml:space="preserve">o_t = σ(W_o · [h_{t-1}, x_t] + b_o)       — output gate</w:t>
            </w:r>
          </w:p>
          <w:p>
            <w:pPr>
              <w:spacing w:after="60"/>
            </w:pPr>
            <w:r>
              <w:t xml:space="preserve">h_t = o_t * tanh(c_t)                     — hidden state</w:t>
            </w:r>
          </w:p>
          <w:p>
            <w:pPr>
              <w:spacing w:after="60"/>
            </w:pPr>
            <w:r>
              <w:t xml:space="preserve"/>
            </w:r>
          </w:p>
          <w:p>
            <w:pPr>
              <w:spacing w:after="60"/>
            </w:pPr>
            <w:r>
              <w:t xml:space="preserve">In BiLSTM, you compute h_t in the forward direction and h'_t in the backward direction, then concatenate them to get the final per-step representation.</w:t>
            </w:r>
          </w:p>
        </w:tc>
      </w:tr>
    </w:tbl>
    <w:p>
      <w:pPr>
        <w:spacing w:after="120" w:line="300"/>
      </w:pPr>
      <w:r>
        <w:t xml:space="preserve">Self-attention sits on top of the BiLSTM. It takes the BiLSTM hidden states H, computes a learned context vector u, and produces attention weights α via softmax. The final representation is the weighted sum of the hidden states. The softmax over the attention scores tells the model which tokens are most important for predicting readability.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Self-attention (informal)</w:t>
            </w:r>
          </w:p>
          <w:p>
            <w:pPr>
              <w:spacing w:after="60"/>
            </w:pPr>
            <w:r>
              <w:t xml:space="preserve">u_t = tanh(W_a · h_t + b_a)</w:t>
            </w:r>
          </w:p>
          <w:p>
            <w:pPr>
              <w:spacing w:after="60"/>
            </w:pPr>
            <w:r>
              <w:t xml:space="preserve">α_t = exp(u_tᵀ · u) / Σ exp(u_tᵀ · u)        — softmax over time steps</w:t>
            </w:r>
          </w:p>
          <w:p>
            <w:pPr>
              <w:spacing w:after="60"/>
            </w:pPr>
            <w:r>
              <w:t xml:space="preserve">v   = Σ_t α_t · h_t                          — context vector</w:t>
            </w:r>
          </w:p>
          <w:p>
            <w:pPr>
              <w:spacing w:after="60"/>
            </w:pPr>
            <w:r>
              <w:t xml:space="preserve"/>
            </w:r>
          </w:p>
          <w:p>
            <w:pPr>
              <w:spacing w:after="60"/>
            </w:pPr>
            <w:r>
              <w:t xml:space="preserve">v is then passed to a dense + softmax layer to predict one of three classes: High, Medium, Low.</w:t>
            </w:r>
          </w:p>
        </w:tc>
      </w:tr>
    </w:tbl>
    <w:p>
      <w:pPr>
        <w:pStyle w:val="Heading3"/>
        <w:spacing w:after="120" w:before="240"/>
      </w:pPr>
      <w:r>
        <w:rPr>
          <w:b/>
          <w:bCs/>
        </w:rPr>
        <w:t xml:space="preserve">Stage 5 — AdamW optimisation</w:t>
      </w:r>
    </w:p>
    <w:p>
      <w:pPr>
        <w:spacing w:after="120" w:line="300"/>
      </w:pPr>
      <w:r>
        <w:t xml:space="preserve">Adam couples L2 regularisation to the gradient update; AdamW decouples weight decay from the moment estimates so regularisation acts directly on the parameters. The update rule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AdamW update</w:t>
            </w:r>
          </w:p>
          <w:p>
            <w:pPr>
              <w:spacing w:after="60"/>
            </w:pPr>
            <w:r>
              <w:t xml:space="preserve">m_t = β₁ · m_{t-1} + (1 - β₁) · g_t          — 1st moment (mean of gradients)</w:t>
            </w:r>
          </w:p>
          <w:p>
            <w:pPr>
              <w:spacing w:after="60"/>
            </w:pPr>
            <w:r>
              <w:t xml:space="preserve">v_t = β₂ · v_{t-1} + (1 - β₂) · g_t²         — 2nd moment (mean of squared gradients)</w:t>
            </w:r>
          </w:p>
          <w:p>
            <w:pPr>
              <w:spacing w:after="60"/>
            </w:pPr>
            <w:r>
              <w:t xml:space="preserve">m̂_t = m_t / (1 - β₁ᵗ),   v̂_t = v_t / (1 - β₂ᵗ)   — bias correction</w:t>
            </w:r>
          </w:p>
          <w:p>
            <w:pPr>
              <w:spacing w:after="60"/>
            </w:pPr>
            <w:r>
              <w:t xml:space="preserve">θ_t = θ_{t-1} - α · ( m̂_t / (√v̂_t + ε) + λ · θ_{t-1} )</w:t>
            </w:r>
          </w:p>
          <w:p>
            <w:pPr>
              <w:spacing w:after="60"/>
            </w:pPr>
            <w:r>
              <w:t xml:space="preserve"/>
            </w:r>
          </w:p>
          <w:p>
            <w:pPr>
              <w:spacing w:after="60"/>
            </w:pPr>
            <w:r>
              <w:t xml:space="preserve">The last term λ · θ_{t-1} is the decoupled weight decay — that is the AdamW twist.</w:t>
            </w:r>
          </w:p>
        </w:tc>
      </w:tr>
    </w:tbl>
    <w:p>
      <w:pPr>
        <w:spacing w:after="120" w:line="300"/>
      </w:pPr>
      <w:r>
        <w:t xml:space="preserve">Hyperparameters you used: max sequence length 50; BiLSTM with 3 layers, 128 hidden units, dropout 0.3; self-attention with 4 heads and dimension 128; dense layer 64 units with ReLU; AdamW learning rate 0.001, weight decay 0.01, β₁ = 0.9, β₂ = 0.999; batch size 32; 100 epochs; gradient clipping 1.0.</w:t>
      </w:r>
    </w:p>
    <w:p>
      <w:pPr>
        <w:pStyle w:val="Heading3"/>
        <w:spacing w:after="120" w:before="240"/>
      </w:pPr>
      <w:r>
        <w:rPr>
          <w:b/>
          <w:bCs/>
        </w:rPr>
        <w:t xml:space="preserve">Stage 6 — SHAP explainability</w:t>
      </w:r>
    </w:p>
    <w:p>
      <w:pPr>
        <w:spacing w:after="120" w:line="300"/>
      </w:pPr>
      <w:r>
        <w:t xml:space="preserve">SHAP (Shapley Additive Explanations) is grounded in cooperative game theory. Every feature is treated as a player; its Shapley value is its average marginal contribution to the prediction across all coalitions of features. Local explanations show feature contributions for one prediction; global explanations summarise feature importance across the whole dataset. You produced global summary plots and per-sample dot plots for both Python and C++.</w:t>
      </w:r>
    </w:p>
    <w:p>
      <w:pPr>
        <w:pStyle w:val="Heading2"/>
        <w:spacing w:after="120" w:before="240"/>
      </w:pPr>
      <w:r>
        <w:rPr>
          <w:b/>
          <w:bCs/>
        </w:rPr>
        <w:t xml:space="preserve">1.4 Dataset</w:t>
      </w:r>
    </w:p>
    <w:p>
      <w:pPr>
        <w:spacing w:after="120" w:line="300"/>
      </w:pPr>
      <w:r>
        <w:t xml:space="preserve">Code Snippets: Insights and Readability — public Kaggle dataset, https://www.kaggle.com/datasets/paakhim10/code-snippets-insights-and-readability/data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Readability level</w:t>
            </w:r>
          </w:p>
        </w:tc>
        <w:tc>
          <w:tcPr>
            <w:tcW w:type="dxa" w:w="318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Python samples</w:t>
            </w:r>
          </w:p>
        </w:tc>
        <w:tc>
          <w:tcPr>
            <w:tcW w:type="dxa" w:w="318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C++ samples</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High</w:t>
            </w:r>
          </w:p>
        </w:tc>
        <w:tc>
          <w:tcPr>
            <w:tcW w:type="dxa" w:w="31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560</w:t>
            </w:r>
          </w:p>
        </w:tc>
        <w:tc>
          <w:tcPr>
            <w:tcW w:type="dxa" w:w="31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502</w:t>
            </w:r>
          </w:p>
        </w:tc>
      </w:tr>
      <w:tr>
        <w:tc>
          <w:tcPr>
            <w:tcW w:type="dxa" w:w="30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Medium</w:t>
            </w:r>
          </w:p>
        </w:tc>
        <w:tc>
          <w:tcPr>
            <w:tcW w:type="dxa" w:w="318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560</w:t>
            </w:r>
          </w:p>
        </w:tc>
        <w:tc>
          <w:tcPr>
            <w:tcW w:type="dxa" w:w="318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500</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Low</w:t>
            </w:r>
          </w:p>
        </w:tc>
        <w:tc>
          <w:tcPr>
            <w:tcW w:type="dxa" w:w="31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561</w:t>
            </w:r>
          </w:p>
        </w:tc>
        <w:tc>
          <w:tcPr>
            <w:tcW w:type="dxa" w:w="31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502</w:t>
            </w:r>
          </w:p>
        </w:tc>
      </w:tr>
      <w:tr>
        <w:tc>
          <w:tcPr>
            <w:tcW w:type="dxa" w:w="30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Total</w:t>
            </w:r>
          </w:p>
        </w:tc>
        <w:tc>
          <w:tcPr>
            <w:tcW w:type="dxa" w:w="318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1,681</w:t>
            </w:r>
          </w:p>
        </w:tc>
        <w:tc>
          <w:tcPr>
            <w:tcW w:type="dxa" w:w="318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1,504</w:t>
            </w:r>
          </w:p>
        </w:tc>
      </w:tr>
    </w:tbl>
    <w:p>
      <w:pPr>
        <w:pStyle w:val="Heading2"/>
        <w:spacing w:after="120" w:before="240"/>
      </w:pPr>
      <w:r>
        <w:rPr>
          <w:b/>
          <w:bCs/>
        </w:rPr>
        <w:t xml:space="preserve">1.5 Metrics used</w:t>
      </w:r>
    </w:p>
    <w:p>
      <w:pPr>
        <w:spacing w:after="120" w:line="300"/>
      </w:pPr>
      <w:r>
        <w:t xml:space="preserve">Accuracy = (TP+TN)/(TP+TN+FP+FN). Precision = TP/(TP+FP). Recall = TP/(TP+FN). F1 = 2·P·R/(P+R). AUC = area under TPR-vs-FPR curve.</w:t>
      </w:r>
    </w:p>
    <w:p>
      <w:pPr>
        <w:pStyle w:val="Heading2"/>
        <w:spacing w:after="120" w:before="240"/>
      </w:pPr>
      <w:r>
        <w:rPr>
          <w:b/>
          <w:bCs/>
        </w:rPr>
        <w:t xml:space="preserve">1.6 Headline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40"/>
        <w:gridCol w:w="1340"/>
        <w:gridCol w:w="1340"/>
        <w:gridCol w:w="1340"/>
        <w:gridCol w:w="1400"/>
      </w:tblGrid>
      <w:tr>
        <w:trPr>
          <w:tblHeader/>
        </w:trPr>
        <w:tc>
          <w:tcPr>
            <w:tcW w:type="dxa" w:w="13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Split</w:t>
            </w:r>
          </w:p>
        </w:tc>
        <w:tc>
          <w:tcPr>
            <w:tcW w:type="dxa" w:w="13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Dataset</w:t>
            </w:r>
          </w:p>
        </w:tc>
        <w:tc>
          <w:tcPr>
            <w:tcW w:type="dxa" w:w="134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Accuracy</w:t>
            </w:r>
          </w:p>
        </w:tc>
        <w:tc>
          <w:tcPr>
            <w:tcW w:type="dxa" w:w="134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Precision</w:t>
            </w:r>
          </w:p>
        </w:tc>
        <w:tc>
          <w:tcPr>
            <w:tcW w:type="dxa" w:w="134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Recall</w:t>
            </w:r>
          </w:p>
        </w:tc>
        <w:tc>
          <w:tcPr>
            <w:tcW w:type="dxa" w:w="134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F1</w:t>
            </w:r>
          </w:p>
        </w:tc>
        <w:tc>
          <w:tcPr>
            <w:tcW w:type="dxa" w:w="14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AUC</w:t>
            </w:r>
          </w:p>
        </w:tc>
      </w:tr>
      <w:tr>
        <w:tc>
          <w:tcPr>
            <w:tcW w:type="dxa" w:w="13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70% train</w:t>
            </w:r>
          </w:p>
        </w:tc>
        <w:tc>
          <w:tcPr>
            <w:tcW w:type="dxa" w:w="13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Python</w:t>
            </w:r>
          </w:p>
        </w:tc>
        <w:tc>
          <w:tcPr>
            <w:tcW w:type="dxa" w:w="13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98.13</w:t>
            </w:r>
          </w:p>
        </w:tc>
        <w:tc>
          <w:tcPr>
            <w:tcW w:type="dxa" w:w="13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97.22</w:t>
            </w:r>
          </w:p>
        </w:tc>
        <w:tc>
          <w:tcPr>
            <w:tcW w:type="dxa" w:w="13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97.20</w:t>
            </w:r>
          </w:p>
        </w:tc>
        <w:tc>
          <w:tcPr>
            <w:tcW w:type="dxa" w:w="13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97.21</w:t>
            </w:r>
          </w:p>
        </w:tc>
        <w:tc>
          <w:tcPr>
            <w:tcW w:type="dxa" w:w="1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97.90</w:t>
            </w:r>
          </w:p>
        </w:tc>
      </w:tr>
      <w:tr>
        <w:tc>
          <w:tcPr>
            <w:tcW w:type="dxa" w:w="13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30% test</w:t>
            </w:r>
          </w:p>
        </w:tc>
        <w:tc>
          <w:tcPr>
            <w:tcW w:type="dxa" w:w="13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Python</w:t>
            </w:r>
          </w:p>
        </w:tc>
        <w:tc>
          <w:tcPr>
            <w:tcW w:type="dxa" w:w="13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97.36</w:t>
            </w:r>
          </w:p>
        </w:tc>
        <w:tc>
          <w:tcPr>
            <w:tcW w:type="dxa" w:w="13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96.14</w:t>
            </w:r>
          </w:p>
        </w:tc>
        <w:tc>
          <w:tcPr>
            <w:tcW w:type="dxa" w:w="13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96.01</w:t>
            </w:r>
          </w:p>
        </w:tc>
        <w:tc>
          <w:tcPr>
            <w:tcW w:type="dxa" w:w="13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96.03</w:t>
            </w:r>
          </w:p>
        </w:tc>
        <w:tc>
          <w:tcPr>
            <w:tcW w:type="dxa" w:w="14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97.02</w:t>
            </w:r>
          </w:p>
        </w:tc>
      </w:tr>
      <w:tr>
        <w:tc>
          <w:tcPr>
            <w:tcW w:type="dxa" w:w="13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70% train</w:t>
            </w:r>
          </w:p>
        </w:tc>
        <w:tc>
          <w:tcPr>
            <w:tcW w:type="dxa" w:w="13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C++</w:t>
            </w:r>
          </w:p>
        </w:tc>
        <w:tc>
          <w:tcPr>
            <w:tcW w:type="dxa" w:w="13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98.42</w:t>
            </w:r>
          </w:p>
        </w:tc>
        <w:tc>
          <w:tcPr>
            <w:tcW w:type="dxa" w:w="13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97.62</w:t>
            </w:r>
          </w:p>
        </w:tc>
        <w:tc>
          <w:tcPr>
            <w:tcW w:type="dxa" w:w="13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97.61</w:t>
            </w:r>
          </w:p>
        </w:tc>
        <w:tc>
          <w:tcPr>
            <w:tcW w:type="dxa" w:w="13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97.61</w:t>
            </w:r>
          </w:p>
        </w:tc>
        <w:tc>
          <w:tcPr>
            <w:tcW w:type="dxa" w:w="1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98.21</w:t>
            </w:r>
          </w:p>
        </w:tc>
      </w:tr>
      <w:tr>
        <w:tc>
          <w:tcPr>
            <w:tcW w:type="dxa" w:w="13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30% test</w:t>
            </w:r>
          </w:p>
        </w:tc>
        <w:tc>
          <w:tcPr>
            <w:tcW w:type="dxa" w:w="13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C++</w:t>
            </w:r>
          </w:p>
        </w:tc>
        <w:tc>
          <w:tcPr>
            <w:tcW w:type="dxa" w:w="13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97.94</w:t>
            </w:r>
          </w:p>
        </w:tc>
        <w:tc>
          <w:tcPr>
            <w:tcW w:type="dxa" w:w="13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96.96</w:t>
            </w:r>
          </w:p>
        </w:tc>
        <w:tc>
          <w:tcPr>
            <w:tcW w:type="dxa" w:w="13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96.85</w:t>
            </w:r>
          </w:p>
        </w:tc>
        <w:tc>
          <w:tcPr>
            <w:tcW w:type="dxa" w:w="13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96.89</w:t>
            </w:r>
          </w:p>
        </w:tc>
        <w:tc>
          <w:tcPr>
            <w:tcW w:type="dxa" w:w="14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97.64</w:t>
            </w:r>
          </w:p>
        </w:tc>
      </w:tr>
    </w:tbl>
    <w:p>
      <w:pPr>
        <w:spacing w:after="120" w:line="300"/>
      </w:pPr>
      <w:r>
        <w:t xml:space="preserve">Best comparators are far behind: on Python, the strongest baseline (SMO) sits at 82% accuracy; on C++, MLP gets 79.33%. On both languages your model wins on every metric.</w:t>
      </w:r>
    </w:p>
    <w:p>
      <w:pPr>
        <w:spacing w:after="120" w:line="300"/>
      </w:pPr>
      <w:r>
        <w:t xml:space="preserve">From the SHAP analysis: Meaningful Clarity (MC) and Naming Conformance (NC) are the dominant features for both languages — that is your single most important interpretability finding. The raw "readability" feature contributes almost nothing in comparison, which validates the choice of building richer features.</w:t>
      </w:r>
    </w:p>
    <w:p>
      <w:pPr>
        <w:pStyle w:val="Heading2"/>
        <w:spacing w:after="120" w:before="240"/>
      </w:pPr>
      <w:r>
        <w:rPr>
          <w:b/>
          <w:bCs/>
        </w:rPr>
        <w:t xml:space="preserve">1.7 Limitations to be honest about</w:t>
      </w:r>
    </w:p>
    <w:p>
      <w:pPr>
        <w:pStyle w:val="ListParagraph"/>
        <w:numPr>
          <w:ilvl w:val="0"/>
          <w:numId w:val="2"/>
        </w:numPr>
        <w:spacing w:after="60" w:line="280"/>
      </w:pPr>
      <w:r>
        <w:t xml:space="preserve">Only two languages — Python and C++. Generalisation to Java, JavaScript, Rust, Go is not validated.</w:t>
      </w:r>
    </w:p>
    <w:p>
      <w:pPr>
        <w:pStyle w:val="ListParagraph"/>
        <w:numPr>
          <w:ilvl w:val="0"/>
          <w:numId w:val="2"/>
        </w:numPr>
        <w:spacing w:after="60" w:line="280"/>
      </w:pPr>
      <w:r>
        <w:t xml:space="preserve">The Kaggle dataset is competitive-programming heavy; production codebases may behave differently.</w:t>
      </w:r>
    </w:p>
    <w:p>
      <w:pPr>
        <w:pStyle w:val="ListParagraph"/>
        <w:numPr>
          <w:ilvl w:val="0"/>
          <w:numId w:val="2"/>
        </w:numPr>
        <w:spacing w:after="60" w:line="280"/>
      </w:pPr>
      <w:r>
        <w:t xml:space="preserve">Several features (Domain Relevance, Lexical Familiarity, Predictability) depend on external corpora and a language model — choices there influence the score.</w:t>
      </w:r>
    </w:p>
    <w:p>
      <w:pPr>
        <w:pStyle w:val="ListParagraph"/>
        <w:numPr>
          <w:ilvl w:val="0"/>
          <w:numId w:val="2"/>
        </w:numPr>
        <w:spacing w:after="60" w:line="280"/>
      </w:pPr>
      <w:r>
        <w:t xml:space="preserve">100 epochs at this dataset size — risk of overfitting is real even with dropout and gradient clipping; you mitigated it but did not formally test on out-of-distribution code.</w:t>
      </w:r>
    </w:p>
    <w:p>
      <w:pPr>
        <w:pStyle w:val="Heading2"/>
        <w:spacing w:after="120" w:before="240"/>
      </w:pPr>
      <w:r>
        <w:rPr>
          <w:b/>
          <w:bCs/>
        </w:rPr>
        <w:t xml:space="preserve">1.8 What to remember in viva</w:t>
      </w:r>
    </w:p>
    <w:p>
      <w:pPr>
        <w:pStyle w:val="ListParagraph"/>
        <w:numPr>
          <w:ilvl w:val="0"/>
          <w:numId w:val="2"/>
        </w:numPr>
        <w:spacing w:after="60" w:line="280"/>
      </w:pPr>
      <w:r>
        <w:rPr>
          <w:b/>
          <w:bCs/>
        </w:rPr>
        <w:t xml:space="preserve">Why CodeBERT and not Word2Vec? </w:t>
      </w:r>
      <w:r>
        <w:t xml:space="preserve">Word2Vec gives one vector per token regardless of context. CodeBERT is contextual — "count" inside a loop differs from "count" as a parameter — and it was pre-trained on actual code, not just English.</w:t>
      </w:r>
    </w:p>
    <w:p>
      <w:pPr>
        <w:pStyle w:val="ListParagraph"/>
        <w:numPr>
          <w:ilvl w:val="0"/>
          <w:numId w:val="2"/>
        </w:numPr>
        <w:spacing w:after="60" w:line="280"/>
      </w:pPr>
      <w:r>
        <w:rPr>
          <w:b/>
          <w:bCs/>
        </w:rPr>
        <w:t xml:space="preserve">Why BiLSTM and not just Transformer? </w:t>
      </w:r>
      <w:r>
        <w:t xml:space="preserve">You did use a Transformer (CodeBERT) for embeddings. BiLSTM sits on top because it gives a compact sequence encoder over the identifier token series; attention then highlights which tokens matter.</w:t>
      </w:r>
    </w:p>
    <w:p>
      <w:pPr>
        <w:pStyle w:val="ListParagraph"/>
        <w:numPr>
          <w:ilvl w:val="0"/>
          <w:numId w:val="2"/>
        </w:numPr>
        <w:spacing w:after="60" w:line="280"/>
      </w:pPr>
      <w:r>
        <w:rPr>
          <w:b/>
          <w:bCs/>
        </w:rPr>
        <w:t xml:space="preserve">Why AdamW and not Adam? </w:t>
      </w:r>
      <w:r>
        <w:t xml:space="preserve">AdamW decouples weight decay from the moment-based update, giving better generalisation in deep models — this is a well-cited result (Loshchilov &amp; Hutter, ICLR 2019).</w:t>
      </w:r>
    </w:p>
    <w:p>
      <w:pPr>
        <w:pStyle w:val="ListParagraph"/>
        <w:numPr>
          <w:ilvl w:val="0"/>
          <w:numId w:val="2"/>
        </w:numPr>
        <w:spacing w:after="60" w:line="280"/>
      </w:pPr>
      <w:r>
        <w:rPr>
          <w:b/>
          <w:bCs/>
        </w:rPr>
        <w:t xml:space="preserve">Why SHAP and not LIME here? </w:t>
      </w:r>
      <w:r>
        <w:t xml:space="preserve">SHAP has a stronger theoretical foundation in cooperative game theory (Shapley values are the unique fair attribution). For a feature-level analysis where every one of your 10 features matters, SHAP's consistent global view was the right tool. Paper 2 uses LIME because it works better for showing local perturbation-based explanations on code-snippet text.</w:t>
      </w:r>
    </w:p>
    <w:p>
      <w:r>
        <w:br w:type="page"/>
      </w:r>
    </w:p>
    <w:p>
      <w:pPr>
        <w:pStyle w:val="Heading1"/>
        <w:spacing w:after="120" w:before="240"/>
      </w:pPr>
      <w:r>
        <w:rPr>
          <w:b/>
          <w:bCs/>
        </w:rPr>
        <w:t xml:space="preserve">Paper 2 — Explainable Hybrid Ensemble for Code Comprehension</w:t>
      </w:r>
    </w:p>
    <w:p>
      <w:pPr>
        <w:spacing w:after="120" w:line="300"/>
      </w:pPr>
      <w:r>
        <w:rPr>
          <w:b/>
          <w:bCs/>
        </w:rPr>
        <w:t xml:space="preserve">Full title: </w:t>
      </w:r>
      <w:r>
        <w:t xml:space="preserve">Explainable Artificial Intelligence with Hybrid Ensemble Learning based Automated Code Comprehension Prediction</w:t>
      </w:r>
    </w:p>
    <w:p>
      <w:pPr>
        <w:spacing w:after="120" w:line="300"/>
      </w:pPr>
      <w:r>
        <w:rPr>
          <w:b/>
          <w:bCs/>
        </w:rPr>
        <w:t xml:space="preserve">Model name: </w:t>
      </w:r>
      <w:r>
        <w:t xml:space="preserve">ECRVR-MVEL — Explainable Code Readability Classification using Vector Representations and Majority Voting-based Ensemble Learning.</w:t>
      </w:r>
    </w:p>
    <w:p>
      <w:pPr>
        <w:spacing w:after="120" w:line="300"/>
      </w:pPr>
      <w:r>
        <w:rPr>
          <w:b/>
          <w:bCs/>
        </w:rPr>
        <w:t xml:space="preserve">Status: </w:t>
      </w:r>
      <w:r>
        <w:t xml:space="preserve">Accepted, in publication/indexing pipeline.</w:t>
      </w:r>
    </w:p>
    <w:p>
      <w:pPr>
        <w:pStyle w:val="Heading2"/>
        <w:spacing w:after="120" w:before="240"/>
      </w:pPr>
      <w:r>
        <w:rPr>
          <w:b/>
          <w:bCs/>
        </w:rPr>
        <w:t xml:space="preserve">2.1 The problem in one paragraph</w:t>
      </w:r>
    </w:p>
    <w:p>
      <w:pPr>
        <w:spacing w:after="120" w:line="300"/>
      </w:pPr>
      <w:r>
        <w:t xml:space="preserve">Around 70% of software lifecycle cost is in maintenance, and the bottleneck in maintenance is reading other people's code. Existing tools either use shallow handcrafted features (line length, comment density) or use black-box deep models that no developer can act on. You need a model that classifies code readability into more than just binary, performs better than feature-engineering baselines, and tells the developer why.</w:t>
      </w:r>
    </w:p>
    <w:p>
      <w:pPr>
        <w:pStyle w:val="Heading2"/>
        <w:spacing w:after="120" w:before="240"/>
      </w:pPr>
      <w:r>
        <w:rPr>
          <w:b/>
          <w:bCs/>
        </w:rPr>
        <w:t xml:space="preserve">2.2 The idea</w:t>
      </w:r>
    </w:p>
    <w:p>
      <w:pPr>
        <w:spacing w:after="120" w:line="300"/>
      </w:pPr>
      <w:r>
        <w:t xml:space="preserve">Replace handcrafted features with CodeBERT embeddings; replace a single classifier with an ensemble of three complementary architectures so each picks up a different signal; learn ensemble weights from validation performance; train with Nadam for fast, stable convergence; and add LIME on top so every prediction is interpretable to a developer.</w:t>
      </w:r>
    </w:p>
    <w:p>
      <w:pPr>
        <w:pStyle w:val="Heading2"/>
        <w:spacing w:after="120" w:before="240"/>
      </w:pPr>
      <w:r>
        <w:rPr>
          <w:b/>
          <w:bCs/>
        </w:rPr>
        <w:t xml:space="preserve">2.3 The pipeline, stage by stage</w:t>
      </w:r>
    </w:p>
    <w:p>
      <w:pPr>
        <w:pStyle w:val="Heading3"/>
        <w:spacing w:after="120" w:before="240"/>
      </w:pPr>
      <w:r>
        <w:rPr>
          <w:b/>
          <w:bCs/>
        </w:rPr>
        <w:t xml:space="preserve">Stage 1 — Text preprocessing</w:t>
      </w:r>
    </w:p>
    <w:p>
      <w:pPr>
        <w:spacing w:after="120" w:line="300"/>
      </w:pPr>
      <w:r>
        <w:t xml:space="preserve">Four sub-steps applied to raw source code: tokenisation that respects programming syntax (keywords, identifiers, literals, operators, punctuation kept as atomic units); comment removal and whitespace normalisation, with care to preserve Python's syntactically meaningful indentation; programming-language detection via file extensions, reserved keywords, and syntactic patterns; sequence encoding to fixed-length numerical vectors using a training-corpus vocabulary.</w:t>
      </w:r>
    </w:p>
    <w:p>
      <w:pPr>
        <w:pStyle w:val="Heading3"/>
        <w:spacing w:after="120" w:before="240"/>
      </w:pPr>
      <w:r>
        <w:rPr>
          <w:b/>
          <w:bCs/>
        </w:rPr>
        <w:t xml:space="preserve">Stage 2 — CodeBERT embeddings</w:t>
      </w:r>
    </w:p>
    <w:p>
      <w:pPr>
        <w:spacing w:after="120" w:line="300"/>
      </w:pPr>
      <w:r>
        <w:t xml:space="preserve">Same backbone as Paper 1 but used at the snippet level: multi-head self-attention extracts token-level relations capturing variable dependencies and control flow; positional encoding preserves long-distance relations across statements. The output is a vector representation of the whole snippet that captures both semantics and structure.</w:t>
      </w:r>
    </w:p>
    <w:p>
      <w:pPr>
        <w:pStyle w:val="Heading3"/>
        <w:spacing w:after="120" w:before="240"/>
      </w:pPr>
      <w:r>
        <w:rPr>
          <w:b/>
          <w:bCs/>
        </w:rPr>
        <w:t xml:space="preserve">Stage 3 — The weighted majority voting ensemble (WMVE)</w:t>
      </w:r>
    </w:p>
    <w:p>
      <w:pPr>
        <w:spacing w:after="120" w:line="300"/>
      </w:pPr>
      <w:r>
        <w:t xml:space="preserve">Three classifiers run in parallel; their outputs are combined via a weighted majority vote where weights are assigned based on each classifier's validation performance — better classifiers carry more influence.</w:t>
      </w:r>
    </w:p>
    <w:p>
      <w:pPr>
        <w:pStyle w:val="Heading4"/>
        <w:spacing w:after="120" w:before="240"/>
      </w:pPr>
      <w:r>
        <w:rPr>
          <w:b/>
          <w:bCs/>
        </w:rPr>
        <w:t xml:space="preserve">GCN (Graph Convolutional Network)</w:t>
      </w:r>
    </w:p>
    <w:p>
      <w:pPr>
        <w:spacing w:after="120" w:line="300"/>
      </w:pPr>
      <w:r>
        <w:t xml:space="preserve">Treats the code as a graph; node embeddings are updated by aggregating information from neighbouring nodes. Edge weights are derived from cosine similarity between connected nodes. You use three GCN layers, so each node sees up to three hops. After the final layer, a mean-pooling operation aggregates per-node embeddings into a graph-level vector for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GCN propagation (informal)</w:t>
            </w:r>
          </w:p>
          <w:p>
            <w:pPr>
              <w:spacing w:after="60"/>
            </w:pPr>
            <w:r>
              <w:t xml:space="preserve">H^{(l+1)} = σ( D^{-1/2} · A · D^{-1/2} · H^{(l)} · W^{(l)} )</w:t>
            </w:r>
          </w:p>
          <w:p>
            <w:pPr>
              <w:spacing w:after="60"/>
            </w:pPr>
            <w:r>
              <w:t xml:space="preserve"/>
            </w:r>
          </w:p>
          <w:p>
            <w:pPr>
              <w:spacing w:after="60"/>
            </w:pPr>
            <w:r>
              <w:t xml:space="preserve">A = adjacency matrix, D = degree matrix (for normalisation), H^{(l)} = node features at layer l, W^{(l)} = learnable weights, σ = activation (ReLU). The D^{-1/2}AD^{-1/2} normalisation prevents node features from blowing up in highly-connected nodes.</w:t>
            </w:r>
          </w:p>
        </w:tc>
      </w:tr>
    </w:tbl>
    <w:p>
      <w:pPr>
        <w:pStyle w:val="Heading4"/>
        <w:spacing w:after="120" w:before="240"/>
      </w:pPr>
      <w:r>
        <w:rPr>
          <w:b/>
          <w:bCs/>
        </w:rPr>
        <w:t xml:space="preserve">DBN (Deep Belief Network)</w:t>
      </w:r>
    </w:p>
    <w:p>
      <w:pPr>
        <w:spacing w:after="120" w:line="300"/>
      </w:pPr>
      <w:r>
        <w:t xml:space="preserve">A stack of Restricted Boltzmann Machines, each layer trained unsupervised before fine-tuning. The visible layer feeds a hidden layer, the hidden layer becomes the visible layer of the next RBM, and so on. Each RBM is governed by an energy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RBM energy and joint</w:t>
            </w:r>
          </w:p>
          <w:p>
            <w:pPr>
              <w:spacing w:after="60"/>
            </w:pPr>
            <w:r>
              <w:t xml:space="preserve">E(v, h) = - Σ a_i v_i  - Σ b_j h_j  - Σ v_i w_{ij} h_j</w:t>
            </w:r>
          </w:p>
          <w:p>
            <w:pPr>
              <w:spacing w:after="60"/>
            </w:pPr>
            <w:r>
              <w:t xml:space="preserve">P(v, h) = (1/Z) · exp(-E(v, h)),   Z = partition function</w:t>
            </w:r>
          </w:p>
          <w:p>
            <w:pPr>
              <w:spacing w:after="60"/>
            </w:pPr>
            <w:r>
              <w:t xml:space="preserve"/>
            </w:r>
          </w:p>
          <w:p>
            <w:pPr>
              <w:spacing w:after="60"/>
            </w:pPr>
            <w:r>
              <w:t xml:space="preserve">The DBN's job is hierarchical unsupervised feature extraction — it discovers abstract patterns in the CodeBERT embeddings that a single layer cannot.</w:t>
            </w:r>
          </w:p>
        </w:tc>
      </w:tr>
    </w:tbl>
    <w:p>
      <w:pPr>
        <w:pStyle w:val="Heading4"/>
        <w:spacing w:after="120" w:before="240"/>
      </w:pPr>
      <w:r>
        <w:rPr>
          <w:b/>
          <w:bCs/>
        </w:rPr>
        <w:t xml:space="preserve">Bi-TCN (Bidirectional Temporal Convolutional Network)</w:t>
      </w:r>
    </w:p>
    <w:p>
      <w:pPr>
        <w:spacing w:after="120" w:line="300"/>
      </w:pPr>
      <w:r>
        <w:t xml:space="preserve">Three building blocks: bidirectional temporal blocks using dilated convolutions to capture both past dependencies and future covariates; a feature fusion layer that combines forward and backward outputs; residual connections to stabilise training and avoid vanishing gradients in deep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Forward and backward dilated convolutions</w:t>
            </w:r>
          </w:p>
          <w:p>
            <w:pPr>
              <w:spacing w:after="60"/>
            </w:pPr>
            <w:r>
              <w:t xml:space="preserve">y_t^→ = Σ_{i=0}^{k-1} f^→_i · x_{t - d·i}      (looks at past)</w:t>
            </w:r>
          </w:p>
          <w:p>
            <w:pPr>
              <w:spacing w:after="60"/>
            </w:pPr>
            <w:r>
              <w:t xml:space="preserve">y_t^← = Σ_{i=0}^{k-1} f^←_i · x_{t + d·i}      (looks at future)</w:t>
            </w:r>
          </w:p>
          <w:p>
            <w:pPr>
              <w:spacing w:after="60"/>
            </w:pPr>
            <w:r>
              <w:t xml:space="preserve">y_t   = y_t^→ ⊕ y_t^←                         (fusion)</w:t>
            </w:r>
          </w:p>
          <w:p>
            <w:pPr>
              <w:spacing w:after="60"/>
            </w:pPr>
            <w:r>
              <w:t xml:space="preserve">out_t = ReLU( y_t + x_t )                     (residual)</w:t>
            </w:r>
          </w:p>
          <w:p>
            <w:pPr>
              <w:spacing w:after="60"/>
            </w:pPr>
            <w:r>
              <w:t xml:space="preserve"/>
            </w:r>
          </w:p>
          <w:p>
            <w:pPr>
              <w:spacing w:after="60"/>
            </w:pPr>
            <w:r>
              <w:t xml:space="preserve">k = kernel size, d = dilation factor. Dilation lets you cover a long temporal context without making the kernel huge.</w:t>
            </w:r>
          </w:p>
        </w:tc>
      </w:tr>
    </w:tbl>
    <w:p>
      <w:pPr>
        <w:pStyle w:val="Heading4"/>
        <w:spacing w:after="120" w:before="240"/>
      </w:pPr>
      <w:r>
        <w:rPr>
          <w:b/>
          <w:bCs/>
        </w:rPr>
        <w:t xml:space="preserve">How the votes combine</w:t>
      </w:r>
    </w:p>
    <w:p>
      <w:pPr>
        <w:spacing w:after="120" w:line="300"/>
      </w:pPr>
      <w:r>
        <w:t xml:space="preserve">Each classifier produces a probability vector over {High, Medium, Low}. Each vector is multiplied by that classifier's learned weight, the weighted vectors are summed, and the argmax becomes the predicted class. Because the three models capture different things — graph structure (GCN), hierarchical abstraction (DBN), sequential context (Bi-TCN) — their errors are less correlated and the ensemble outperforms any individual model by a clear margin.</w:t>
      </w:r>
    </w:p>
    <w:p>
      <w:pPr>
        <w:pStyle w:val="Heading3"/>
        <w:spacing w:after="120" w:before="240"/>
      </w:pPr>
      <w:r>
        <w:rPr>
          <w:b/>
          <w:bCs/>
        </w:rPr>
        <w:t xml:space="preserve">Stage 4 — Nadam optimisation</w:t>
      </w:r>
    </w:p>
    <w:p>
      <w:pPr>
        <w:spacing w:after="120" w:line="300"/>
      </w:pPr>
      <w:r>
        <w:t xml:space="preserve">Nadam = Nesterov-accelerated Adaptive Moment Estimation. It is Adam with Nesterov's lookahead. Where standard momentum updates use the gradient at the current position, Nesterov computes the gradient at the projected next position, which gives the optimizer foresight.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Nadam update (sketch)</w:t>
            </w:r>
          </w:p>
          <w:p>
            <w:pPr>
              <w:spacing w:after="60"/>
            </w:pPr>
            <w:r>
              <w:t xml:space="preserve">m_t = β₁ · m_{t-1} + (1 - β₁) · g_t</w:t>
            </w:r>
          </w:p>
          <w:p>
            <w:pPr>
              <w:spacing w:after="60"/>
            </w:pPr>
            <w:r>
              <w:t xml:space="preserve">v_t = β₂ · v_{t-1} + (1 - β₂) · g_t²</w:t>
            </w:r>
          </w:p>
          <w:p>
            <w:pPr>
              <w:spacing w:after="60"/>
            </w:pPr>
            <w:r>
              <w:t xml:space="preserve">m̂_t = m_t / (1 - β₁ᵗ),   v̂_t = v_t / (1 - β₂ᵗ)</w:t>
            </w:r>
          </w:p>
          <w:p>
            <w:pPr>
              <w:spacing w:after="60"/>
            </w:pPr>
            <w:r>
              <w:t xml:space="preserve">θ_t = θ_{t-1} - (α / (√v̂_t + ε)) · ( β₁ · m̂_t + ((1 - β₁) · g_t) / (1 - β₁ᵗ) )</w:t>
            </w:r>
          </w:p>
          <w:p>
            <w:pPr>
              <w:spacing w:after="60"/>
            </w:pPr>
            <w:r>
              <w:t xml:space="preserve"/>
            </w:r>
          </w:p>
          <w:p>
            <w:pPr>
              <w:spacing w:after="60"/>
            </w:pPr>
            <w:r>
              <w:t xml:space="preserve">The Nesterov twist is the inner blend of β₁·m̂_t with the latest gradient g_t — that is what gives the lookahead.</w:t>
            </w:r>
          </w:p>
        </w:tc>
      </w:tr>
    </w:tbl>
    <w:p>
      <w:pPr>
        <w:pStyle w:val="Heading3"/>
        <w:spacing w:after="120" w:before="240"/>
      </w:pPr>
      <w:r>
        <w:rPr>
          <w:b/>
          <w:bCs/>
        </w:rPr>
        <w:t xml:space="preserve">Stage 5 — LIME explainability</w:t>
      </w:r>
    </w:p>
    <w:p>
      <w:pPr>
        <w:spacing w:after="120" w:line="300"/>
      </w:pPr>
      <w:r>
        <w:t xml:space="preserve">LIME (Local Interpretable Model-agnostic Explanations) explains a single prediction by perturbing the input around that point, asking the black-box model to predict on each perturbation, and fitting a simple interpretable model (usually weighted linear regression) on the perturbations weighted by their distance from the original sample. The fitted linear model's coefficients become the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LIME objective</w:t>
            </w:r>
          </w:p>
          <w:p>
            <w:pPr>
              <w:spacing w:after="60"/>
            </w:pPr>
            <w:r>
              <w:t xml:space="preserve">ξ(x) = argmin_g  L(f, g, π_x)  +  Ω(g)</w:t>
            </w:r>
          </w:p>
          <w:p>
            <w:pPr>
              <w:spacing w:after="60"/>
            </w:pPr>
            <w:r>
              <w:t xml:space="preserve"/>
            </w:r>
          </w:p>
          <w:p>
            <w:pPr>
              <w:spacing w:after="60"/>
            </w:pPr>
            <w:r>
              <w:t xml:space="preserve">f = the black-box model, g = a simple interpretable model from a class G (e.g. sparse linear), </w:t>
            </w:r>
          </w:p>
          <w:p>
            <w:pPr>
              <w:spacing w:after="60"/>
            </w:pPr>
            <w:r>
              <w:t xml:space="preserve">π_x = a proximity kernel that down-weights samples far from x, L = a faithfulness loss </w:t>
            </w:r>
          </w:p>
          <w:p>
            <w:pPr>
              <w:spacing w:after="60"/>
            </w:pPr>
            <w:r>
              <w:t xml:space="preserve">(squared loss weighted by π_x), Ω(g) = a complexity penalty (e.g. number of non-zero weights).</w:t>
            </w:r>
          </w:p>
        </w:tc>
      </w:tr>
    </w:tbl>
    <w:p>
      <w:pPr>
        <w:pStyle w:val="Heading2"/>
        <w:spacing w:after="120" w:before="240"/>
      </w:pPr>
      <w:r>
        <w:rPr>
          <w:b/>
          <w:bCs/>
        </w:rPr>
        <w:t xml:space="preserve">2.4 Dataset</w:t>
      </w:r>
    </w:p>
    <w:p>
      <w:pPr>
        <w:spacing w:after="120" w:line="300"/>
      </w:pPr>
      <w:r>
        <w:t xml:space="preserve">Same Kaggle dataset as Paper 1. 1,681 Python snippets, 1,504 C++ snippets, balanced across High/Medium/Low. Combined readability score statistics: mean 3.79, std 1.72, min -7.19, max 7.15, with Low ≤ 2.81, Medium ≈ 4.10, High ≥ 5.02.</w:t>
      </w:r>
    </w:p>
    <w:p>
      <w:pPr>
        <w:pStyle w:val="Heading2"/>
        <w:spacing w:after="120" w:before="240"/>
      </w:pPr>
      <w:r>
        <w:rPr>
          <w:b/>
          <w:bCs/>
        </w:rPr>
        <w:t xml:space="preserve">2.5 Headline results</w:t>
      </w:r>
    </w:p>
    <w:p>
      <w:pPr>
        <w:spacing w:after="120" w:line="300"/>
      </w:pPr>
      <w:r>
        <w:t xml:space="preserve">On Python (30% test split): GCN 92.87%, DBN 94.46%, Bi-TCN 95.38%, WMVE ensemble 98.15%. On C++ (30% test split): GCN 92.77%, DBN 93.07%, Bi-TCN 93.81%, WMVE ensemble 98.38%. The ensemble adds 3–5 percentage points over the best single model, which is exactly the case for using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Method</w:t>
            </w:r>
          </w:p>
        </w:tc>
        <w:tc>
          <w:tcPr>
            <w:tcW w:type="dxa" w:w="174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Python Acc</w:t>
            </w:r>
          </w:p>
        </w:tc>
        <w:tc>
          <w:tcPr>
            <w:tcW w:type="dxa" w:w="174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Python F1</w:t>
            </w:r>
          </w:p>
        </w:tc>
        <w:tc>
          <w:tcPr>
            <w:tcW w:type="dxa" w:w="174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C++ Acc</w:t>
            </w:r>
          </w:p>
        </w:tc>
        <w:tc>
          <w:tcPr>
            <w:tcW w:type="dxa" w:w="174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C++ F1</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Decision Tree</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60.40</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78.43</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92.84</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85.21</w:t>
            </w:r>
          </w:p>
        </w:tc>
      </w:tr>
      <w:tr>
        <w:tc>
          <w:tcPr>
            <w:tcW w:type="dxa" w:w="24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Logistic Regression</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65.10</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76.83</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69.23</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75.66</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Random Forest</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69.20</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76.07</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78.04</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72.88</w:t>
            </w:r>
          </w:p>
        </w:tc>
      </w:tr>
      <w:tr>
        <w:tc>
          <w:tcPr>
            <w:tcW w:type="dxa" w:w="24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Naïve Bayes</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88.58</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90.02</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94.58</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71.49</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Bayesian Network</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87.02</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84.13</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73.20</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89.36</w:t>
            </w:r>
          </w:p>
        </w:tc>
      </w:tr>
      <w:tr>
        <w:tc>
          <w:tcPr>
            <w:tcW w:type="dxa" w:w="24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SVM</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89.62</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82.05</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76.00</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80.44</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Neural Network</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90.11</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81.80</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88.58</w:t>
            </w:r>
          </w:p>
        </w:tc>
        <w:tc>
          <w:tcPr>
            <w:tcW w:type="dxa" w:w="17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86.55</w:t>
            </w:r>
          </w:p>
        </w:tc>
      </w:tr>
      <w:tr>
        <w:tc>
          <w:tcPr>
            <w:tcW w:type="dxa" w:w="24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ECRVR-MVEL</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98.15</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97.21</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98.38</w:t>
            </w:r>
          </w:p>
        </w:tc>
        <w:tc>
          <w:tcPr>
            <w:tcW w:type="dxa" w:w="17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97.59</w:t>
            </w:r>
          </w:p>
        </w:tc>
      </w:tr>
    </w:tbl>
    <w:p>
      <w:pPr>
        <w:spacing w:after="120" w:line="300"/>
      </w:pPr>
      <w:r>
        <w:t xml:space="preserve">LIME findings: for Python, features such as readability &gt; 4.88 and Meaningful Clarity &gt; 0.24 strongly push predictions toward their corresponding classes; for C++, Predictability and overall readability are the dominant signals, while Scope Appropriateness and Cognitive Load Score sometimes work against the High class. Useful for the discussion section — explanations are not identical across languages, which is a real observation worth highlighting.</w:t>
      </w:r>
    </w:p>
    <w:p>
      <w:pPr>
        <w:pStyle w:val="Heading2"/>
        <w:spacing w:after="120" w:before="240"/>
      </w:pPr>
      <w:r>
        <w:rPr>
          <w:b/>
          <w:bCs/>
        </w:rPr>
        <w:t xml:space="preserve">2.6 Limitations</w:t>
      </w:r>
    </w:p>
    <w:p>
      <w:pPr>
        <w:pStyle w:val="ListParagraph"/>
        <w:numPr>
          <w:ilvl w:val="0"/>
          <w:numId w:val="2"/>
        </w:numPr>
        <w:spacing w:after="60" w:line="280"/>
      </w:pPr>
      <w:r>
        <w:t xml:space="preserve">Computational cost: training three deep models in parallel is heavy; you mention Nadam keeps complexity manageable, but inference at IDE-plugin speed is not validated.</w:t>
      </w:r>
    </w:p>
    <w:p>
      <w:pPr>
        <w:pStyle w:val="ListParagraph"/>
        <w:numPr>
          <w:ilvl w:val="0"/>
          <w:numId w:val="2"/>
        </w:numPr>
        <w:spacing w:after="60" w:line="280"/>
      </w:pPr>
      <w:r>
        <w:t xml:space="preserve">Ensemble weights are tuned on validation performance; if the validation set is not representative, weights are biased.</w:t>
      </w:r>
    </w:p>
    <w:p>
      <w:pPr>
        <w:pStyle w:val="ListParagraph"/>
        <w:numPr>
          <w:ilvl w:val="0"/>
          <w:numId w:val="2"/>
        </w:numPr>
        <w:spacing w:after="60" w:line="280"/>
      </w:pPr>
      <w:r>
        <w:t xml:space="preserve">LIME is local and stochastic — running it twice on the same sample can give slightly different explanations due to perturbation sampling.</w:t>
      </w:r>
    </w:p>
    <w:p>
      <w:pPr>
        <w:pStyle w:val="ListParagraph"/>
        <w:numPr>
          <w:ilvl w:val="0"/>
          <w:numId w:val="2"/>
        </w:numPr>
        <w:spacing w:after="60" w:line="280"/>
      </w:pPr>
      <w:r>
        <w:t xml:space="preserve">Same dataset as Paper 1 — same generalisation concern.</w:t>
      </w:r>
    </w:p>
    <w:p>
      <w:pPr>
        <w:pStyle w:val="Heading2"/>
        <w:spacing w:after="120" w:before="240"/>
      </w:pPr>
      <w:r>
        <w:rPr>
          <w:b/>
          <w:bCs/>
        </w:rPr>
        <w:t xml:space="preserve">2.7 What to remember in viva</w:t>
      </w:r>
    </w:p>
    <w:p>
      <w:pPr>
        <w:pStyle w:val="ListParagraph"/>
        <w:numPr>
          <w:ilvl w:val="0"/>
          <w:numId w:val="2"/>
        </w:numPr>
        <w:spacing w:after="60" w:line="280"/>
      </w:pPr>
      <w:r>
        <w:rPr>
          <w:b/>
          <w:bCs/>
        </w:rPr>
        <w:t xml:space="preserve">Why an ensemble? </w:t>
      </w:r>
      <w:r>
        <w:t xml:space="preserve">Different architectures fail in different places. GCN captures structural dependencies among code tokens, DBN extracts hierarchical abstract patterns, Bi-TCN captures bidirectional sequence context. Their errors are decorrelated, so combining them reduces variance and improves accuracy.</w:t>
      </w:r>
    </w:p>
    <w:p>
      <w:pPr>
        <w:pStyle w:val="ListParagraph"/>
        <w:numPr>
          <w:ilvl w:val="0"/>
          <w:numId w:val="2"/>
        </w:numPr>
        <w:spacing w:after="60" w:line="280"/>
      </w:pPr>
      <w:r>
        <w:rPr>
          <w:b/>
          <w:bCs/>
        </w:rPr>
        <w:t xml:space="preserve">Why weighted majority and not stacking? </w:t>
      </w:r>
      <w:r>
        <w:t xml:space="preserve">Weighted majority is simpler and faster, and gives well-calibrated probabilistic outputs when the base learners are themselves probabilistic. Stacking introduces a meta-learner and an extra training-validation split that would have cost more for a marginal gain on this dataset size.</w:t>
      </w:r>
    </w:p>
    <w:p>
      <w:pPr>
        <w:pStyle w:val="ListParagraph"/>
        <w:numPr>
          <w:ilvl w:val="0"/>
          <w:numId w:val="2"/>
        </w:numPr>
        <w:spacing w:after="60" w:line="280"/>
      </w:pPr>
      <w:r>
        <w:rPr>
          <w:b/>
          <w:bCs/>
        </w:rPr>
        <w:t xml:space="preserve">Why Nadam over Adam? </w:t>
      </w:r>
      <w:r>
        <w:t xml:space="preserve">Nesterov lookahead gives faster convergence on the non-convex landscape of ensemble training; in practice you saw clean, monotonic loss curves with minimal train-val gap.</w:t>
      </w:r>
    </w:p>
    <w:p>
      <w:pPr>
        <w:pStyle w:val="ListParagraph"/>
        <w:numPr>
          <w:ilvl w:val="0"/>
          <w:numId w:val="2"/>
        </w:numPr>
        <w:spacing w:after="60" w:line="280"/>
      </w:pPr>
      <w:r>
        <w:rPr>
          <w:b/>
          <w:bCs/>
        </w:rPr>
        <w:t xml:space="preserve">Why LIME and not SHAP here? </w:t>
      </w:r>
      <w:r>
        <w:t xml:space="preserve">LIME's local linear approximation is more intuitive when explaining whole snippets (perturbing whole lines/tokens is natural); SHAP at the snippet level can be computationally expensive for high-dimensional code inputs.</w:t>
      </w:r>
    </w:p>
    <w:p>
      <w:r>
        <w:br w:type="page"/>
      </w:r>
    </w:p>
    <w:p>
      <w:pPr>
        <w:pStyle w:val="Heading1"/>
        <w:spacing w:after="120" w:before="240"/>
      </w:pPr>
      <w:r>
        <w:rPr>
          <w:b/>
          <w:bCs/>
        </w:rPr>
        <w:t xml:space="preserve">Paper 3 — Spiking Neural Network for Developer Quality Assessment</w:t>
      </w:r>
    </w:p>
    <w:p>
      <w:pPr>
        <w:spacing w:after="120" w:line="300"/>
      </w:pPr>
      <w:r>
        <w:rPr>
          <w:b/>
          <w:bCs/>
        </w:rPr>
        <w:t xml:space="preserve">Full title: </w:t>
      </w:r>
      <w:r>
        <w:t xml:space="preserve">Feature Optimization with Simplified Spiking Neural Network for Developer-Centric Software Quality Assessment</w:t>
      </w:r>
    </w:p>
    <w:p>
      <w:pPr>
        <w:spacing w:after="120" w:line="300"/>
      </w:pPr>
      <w:r>
        <w:rPr>
          <w:b/>
          <w:bCs/>
        </w:rPr>
        <w:t xml:space="preserve">Model name: </w:t>
      </w:r>
      <w:r>
        <w:t xml:space="preserve">EESQA-DELMOA — Empirical Evaluation of Software Quality Assessment through Developer's Experience Level using Metaheuristic Optimization Algorithms.</w:t>
      </w:r>
    </w:p>
    <w:p>
      <w:pPr>
        <w:spacing w:after="120" w:line="300"/>
      </w:pPr>
      <w:r>
        <w:rPr>
          <w:b/>
          <w:bCs/>
        </w:rPr>
        <w:t xml:space="preserve">Status: </w:t>
      </w:r>
      <w:r>
        <w:t xml:space="preserve">To be submitted.</w:t>
      </w:r>
    </w:p>
    <w:p>
      <w:pPr>
        <w:pStyle w:val="Heading2"/>
        <w:spacing w:after="120" w:before="240"/>
      </w:pPr>
      <w:r>
        <w:rPr>
          <w:b/>
          <w:bCs/>
        </w:rPr>
        <w:t xml:space="preserve">3.1 The problem in one paragraph</w:t>
      </w:r>
    </w:p>
    <w:p>
      <w:pPr>
        <w:spacing w:after="120" w:line="300"/>
      </w:pPr>
      <w:r>
        <w:t xml:space="preserve">Software quality depends not only on the code but also on the developer who writes it. Project managers and clients need to know whether the person they assign to a project actually has the experience to deliver well. Manually evaluating developers is slow and expensive; you want an automatic, data-driven way to classify a developer's experience level from their code metrics.</w:t>
      </w:r>
    </w:p>
    <w:p>
      <w:pPr>
        <w:pStyle w:val="Heading2"/>
        <w:spacing w:after="120" w:before="240"/>
      </w:pPr>
      <w:r>
        <w:rPr>
          <w:b/>
          <w:bCs/>
        </w:rPr>
        <w:t xml:space="preserve">3.2 The idea</w:t>
      </w:r>
    </w:p>
    <w:p>
      <w:pPr>
        <w:spacing w:after="120" w:line="300"/>
      </w:pPr>
      <w:r>
        <w:t xml:space="preserve">Take a labelled dataset of open-source developers with computed code metrics, normalise it, use the Bio-inspired Artificial Hummingbird algorithm to pick the most informative subset of features, classify with a Simplified Spiking Neural Network because it is computationally cheaper than a dense ANN while still handling temporal patterns, and tune SSNN hyperparameters with the Adaptive Migration Butterfly Optimisation Algorithm.</w:t>
      </w:r>
    </w:p>
    <w:p>
      <w:pPr>
        <w:pStyle w:val="Heading2"/>
        <w:spacing w:after="120" w:before="240"/>
      </w:pPr>
      <w:r>
        <w:rPr>
          <w:b/>
          <w:bCs/>
        </w:rPr>
        <w:t xml:space="preserve">3.3 The pipeline, stage by stage</w:t>
      </w:r>
    </w:p>
    <w:p>
      <w:pPr>
        <w:pStyle w:val="Heading3"/>
        <w:spacing w:after="120" w:before="240"/>
      </w:pPr>
      <w:r>
        <w:rPr>
          <w:b/>
          <w:bCs/>
        </w:rPr>
        <w:t xml:space="preserve">Stage 1 — Min-max normalisation</w:t>
      </w:r>
    </w:p>
    <w:p>
      <w:pPr>
        <w:spacing w:after="120" w:line="300"/>
      </w:pPr>
      <w:r>
        <w:t xml:space="preserve">Scale every numeric feature into [0, 1] so no feature dominates by magnitude. Standard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Min-max</w:t>
            </w:r>
          </w:p>
          <w:p>
            <w:pPr>
              <w:spacing w:after="60"/>
            </w:pPr>
            <w:r>
              <w:t xml:space="preserve">x' = (x - x_min) / (x_max - x_min)</w:t>
            </w:r>
          </w:p>
          <w:p>
            <w:pPr>
              <w:spacing w:after="60"/>
            </w:pPr>
            <w:r>
              <w:t xml:space="preserve"/>
            </w:r>
          </w:p>
          <w:p>
            <w:pPr>
              <w:spacing w:after="60"/>
            </w:pPr>
            <w:r>
              <w:t xml:space="preserve">x_min and x_max are the minimum and maximum of that feature over the training set.</w:t>
            </w:r>
          </w:p>
        </w:tc>
      </w:tr>
    </w:tbl>
    <w:p>
      <w:pPr>
        <w:pStyle w:val="Heading3"/>
        <w:spacing w:after="120" w:before="240"/>
      </w:pPr>
      <w:r>
        <w:rPr>
          <w:b/>
          <w:bCs/>
        </w:rPr>
        <w:t xml:space="preserve">Stage 2 — Feature selection with BAHB (Bio-inspired Artificial Hummingbird)</w:t>
      </w:r>
    </w:p>
    <w:p>
      <w:pPr>
        <w:spacing w:after="120" w:line="300"/>
      </w:pPr>
      <w:r>
        <w:t xml:space="preserve">BAHB is a swarm-based metaheuristic that mimics hummingbird foraging: each hummingbird represents a candidate feature subset; they move around food sources (good subsets) and balance exploration with exploitation. Three flight modes:</w:t>
      </w:r>
    </w:p>
    <w:p>
      <w:pPr>
        <w:pStyle w:val="ListParagraph"/>
        <w:numPr>
          <w:ilvl w:val="0"/>
          <w:numId w:val="2"/>
        </w:numPr>
        <w:spacing w:after="60" w:line="280"/>
      </w:pPr>
      <w:r>
        <w:t xml:space="preserve">Axial flight: move along one dimension at a time.</w:t>
      </w:r>
    </w:p>
    <w:p>
      <w:pPr>
        <w:pStyle w:val="ListParagraph"/>
        <w:numPr>
          <w:ilvl w:val="0"/>
          <w:numId w:val="2"/>
        </w:numPr>
        <w:spacing w:after="60" w:line="280"/>
      </w:pPr>
      <w:r>
        <w:t xml:space="preserve">Diagonal flight: move along multiple dimensions simultaneously.</w:t>
      </w:r>
    </w:p>
    <w:p>
      <w:pPr>
        <w:pStyle w:val="ListParagraph"/>
        <w:numPr>
          <w:ilvl w:val="0"/>
          <w:numId w:val="2"/>
        </w:numPr>
        <w:spacing w:after="60" w:line="280"/>
      </w:pPr>
      <w:r>
        <w:t xml:space="preserve">Omnidirectional flight: move freely across all dimensions.</w:t>
      </w:r>
    </w:p>
    <w:p>
      <w:pPr>
        <w:spacing w:after="120" w:line="300"/>
      </w:pPr>
      <w:r>
        <w:t xml:space="preserve">The algorithm also includes guided foraging (move toward known good food sources), territorial search (refine locally around the current best), and a migration step when a food source has the lowest nectar-refilling rate (escape local minima).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BAHB fitness function</w:t>
            </w:r>
          </w:p>
          <w:p>
            <w:pPr>
              <w:spacing w:after="60"/>
            </w:pPr>
            <w:r>
              <w:t xml:space="preserve">Fitness = α · Error(C)  +  β · (|R| / |N|)</w:t>
            </w:r>
          </w:p>
          <w:p>
            <w:pPr>
              <w:spacing w:after="60"/>
            </w:pPr>
            <w:r>
              <w:t xml:space="preserve"/>
            </w:r>
          </w:p>
          <w:p>
            <w:pPr>
              <w:spacing w:after="60"/>
            </w:pPr>
            <w:r>
              <w:t xml:space="preserve">Error(C) = classification error of the classifier on the selected subset</w:t>
            </w:r>
          </w:p>
          <w:p>
            <w:pPr>
              <w:spacing w:after="60"/>
            </w:pPr>
            <w:r>
              <w:t xml:space="preserve">|R| = number of features selected, |N| = total features available</w:t>
            </w:r>
          </w:p>
          <w:p>
            <w:pPr>
              <w:spacing w:after="60"/>
            </w:pPr>
            <w:r>
              <w:t xml:space="preserve">α and β are weights that balance accuracy vs. compactness.</w:t>
            </w:r>
          </w:p>
          <w:p>
            <w:pPr>
              <w:spacing w:after="60"/>
            </w:pPr>
            <w:r>
              <w:t xml:space="preserve"/>
            </w:r>
          </w:p>
          <w:p>
            <w:pPr>
              <w:spacing w:after="60"/>
            </w:pPr>
            <w:r>
              <w:t xml:space="preserve">Minimising this fitness picks the smallest subset that still classifies well.</w:t>
            </w:r>
          </w:p>
        </w:tc>
      </w:tr>
    </w:tbl>
    <w:p>
      <w:pPr>
        <w:spacing w:after="120" w:line="300"/>
      </w:pPr>
      <w:r>
        <w:t xml:space="preserve">On your dataset, BAHB reduced the feature space from 26 to 18 features.</w:t>
      </w:r>
    </w:p>
    <w:p>
      <w:pPr>
        <w:pStyle w:val="Heading3"/>
        <w:spacing w:after="120" w:before="240"/>
      </w:pPr>
      <w:r>
        <w:rPr>
          <w:b/>
          <w:bCs/>
        </w:rPr>
        <w:t xml:space="preserve">Stage 3 — Simplified Spiking Neural Network (SSNN) classification</w:t>
      </w:r>
    </w:p>
    <w:p>
      <w:pPr>
        <w:spacing w:after="120" w:line="300"/>
      </w:pPr>
      <w:r>
        <w:t xml:space="preserve">A standard SNN uses spike-timing dynamics; SSNN simplifies the neuron model so it is much cheaper computationally while keeping the spike-based information-processing flavour. Each incoming spike s_j increases the membrane potential V by the synaptic weight w_j. The membrane potential decays over time with a decay constant 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SSNN membrane update</w:t>
            </w:r>
          </w:p>
          <w:p>
            <w:pPr>
              <w:spacing w:after="60"/>
            </w:pPr>
            <w:r>
              <w:t xml:space="preserve">V(t+1) = τ · V(t)  +  Σ_j w_j · s_j(t)</w:t>
            </w:r>
          </w:p>
          <w:p>
            <w:pPr>
              <w:spacing w:after="60"/>
            </w:pPr>
            <w:r>
              <w:t xml:space="preserve"/>
            </w:r>
          </w:p>
          <w:p>
            <w:pPr>
              <w:spacing w:after="60"/>
            </w:pPr>
            <w:r>
              <w:t xml:space="preserve">τ = decay factor (&lt; 1, so old activations fade)</w:t>
            </w:r>
          </w:p>
          <w:p>
            <w:pPr>
              <w:spacing w:after="60"/>
            </w:pPr>
            <w:r>
              <w:t xml:space="preserve">w_j = synaptic weight on input j</w:t>
            </w:r>
          </w:p>
          <w:p>
            <w:pPr>
              <w:spacing w:after="60"/>
            </w:pPr>
            <w:r>
              <w:t xml:space="preserve">s_j(t) = 1 if input j fired at time t, else 0</w:t>
            </w:r>
          </w:p>
          <w:p>
            <w:pPr>
              <w:spacing w:after="60"/>
            </w:pPr>
            <w:r>
              <w:t xml:space="preserve"/>
            </w:r>
          </w:p>
          <w:p>
            <w:pPr>
              <w:spacing w:after="60"/>
            </w:pPr>
            <w:r>
              <w:t xml:space="preserve">Firing rule:  if V(t) &gt; V_thresh,  emit a spike and reset V to V_rest.</w:t>
            </w:r>
          </w:p>
          <w:p>
            <w:pPr>
              <w:spacing w:after="60"/>
            </w:pPr>
            <w:r>
              <w:t xml:space="preserve"/>
            </w:r>
          </w:p>
          <w:p>
            <w:pPr>
              <w:spacing w:after="60"/>
            </w:pPr>
            <w:r>
              <w:t xml:space="preserve">The final output is decided by the spike pattern across the output layer.</w:t>
            </w:r>
          </w:p>
        </w:tc>
      </w:tr>
    </w:tbl>
    <w:p>
      <w:pPr>
        <w:spacing w:after="120" w:line="300"/>
      </w:pPr>
      <w:r>
        <w:t xml:space="preserve">Compared with a dense ANN, SSNN has no expensive matrix multiplications between layers in the standard sense — it processes events when spikes happen — which is why your execution time is dramatically lower than the baselines.</w:t>
      </w:r>
    </w:p>
    <w:p>
      <w:pPr>
        <w:pStyle w:val="Heading3"/>
        <w:spacing w:after="120" w:before="240"/>
      </w:pPr>
      <w:r>
        <w:rPr>
          <w:b/>
          <w:bCs/>
        </w:rPr>
        <w:t xml:space="preserve">Stage 4 — Hyperparameter tuning with AMBOA</w:t>
      </w:r>
    </w:p>
    <w:p>
      <w:pPr>
        <w:spacing w:after="120" w:line="300"/>
      </w:pPr>
      <w:r>
        <w:t xml:space="preserve">AMBOA is an enhancement of the Butterfly Optimisation Algorithm. Butterflies are guided by fragrance, where fragrance intensity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BOA fragrance</w:t>
            </w:r>
          </w:p>
          <w:p>
            <w:pPr>
              <w:spacing w:after="60"/>
            </w:pPr>
            <w:r>
              <w:t xml:space="preserve">f = c · I^a</w:t>
            </w:r>
          </w:p>
          <w:p>
            <w:pPr>
              <w:spacing w:after="60"/>
            </w:pPr>
            <w:r>
              <w:t xml:space="preserve"/>
            </w:r>
          </w:p>
          <w:p>
            <w:pPr>
              <w:spacing w:after="60"/>
            </w:pPr>
            <w:r>
              <w:t xml:space="preserve">c = sensory modality (problem-specific)</w:t>
            </w:r>
          </w:p>
          <w:p>
            <w:pPr>
              <w:spacing w:after="60"/>
            </w:pPr>
            <w:r>
              <w:t xml:space="preserve">I = stimulus intensity (often the fitness value)</w:t>
            </w:r>
          </w:p>
          <w:p>
            <w:pPr>
              <w:spacing w:after="60"/>
            </w:pPr>
            <w:r>
              <w:t xml:space="preserve">a = power exponent that shapes how fragrance scales with intensity</w:t>
            </w:r>
          </w:p>
        </w:tc>
      </w:tr>
    </w:tbl>
    <w:p>
      <w:pPr>
        <w:spacing w:after="120" w:line="300"/>
      </w:pPr>
      <w:r>
        <w:t xml:space="preserve">Each butterfly does either global search (move toward the global best, perturbed by its own fragrance) or local search (move toward another butterfly weighted by fragrance differences). The Adaptive Migration twist injects a PSO-style velocity update with linearly decreasing inertia weight, so search starts exploratory and ends exploitative: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1F3864" w:sz="24"/>
              <w:bottom w:val="single" w:color="888888" w:sz="4"/>
              <w:right w:val="single" w:color="888888" w:sz="4"/>
            </w:tcBorders>
            <w:shd w:fill="E7EEF7" w:color="auto" w:val="clear"/>
            <w:tcMar>
              <w:top w:type="dxa" w:w="120"/>
              <w:left w:type="dxa" w:w="200"/>
              <w:bottom w:type="dxa" w:w="120"/>
              <w:right w:type="dxa" w:w="160"/>
            </w:tcMar>
          </w:tcPr>
          <w:p>
            <w:pPr>
              <w:spacing w:after="80"/>
            </w:pPr>
            <w:r>
              <w:rPr>
                <w:b/>
                <w:bCs/>
                <w:color w:val="1F3864"/>
              </w:rPr>
              <w:t xml:space="preserve">Position update (with PSO blend)</w:t>
            </w:r>
          </w:p>
          <w:p>
            <w:pPr>
              <w:spacing w:after="60"/>
            </w:pPr>
            <w:r>
              <w:t xml:space="preserve">v_{i}(t+1) = w · v_i(t)  +  c₁ · r₁ · (gBest - x_i)  +  c₂ · r₂ · (x_j - x_i)</w:t>
            </w:r>
          </w:p>
          <w:p>
            <w:pPr>
              <w:spacing w:after="60"/>
            </w:pPr>
            <w:r>
              <w:t xml:space="preserve">x_{i}(t+1) = x_i(t)  +  v_{i}(t+1)</w:t>
            </w:r>
          </w:p>
          <w:p>
            <w:pPr>
              <w:spacing w:after="60"/>
            </w:pPr>
            <w:r>
              <w:t xml:space="preserve"/>
            </w:r>
          </w:p>
          <w:p>
            <w:pPr>
              <w:spacing w:after="60"/>
            </w:pPr>
            <w:r>
              <w:t xml:space="preserve">w = inertia weight, decreasing linearly from w_max to w_end over iterations</w:t>
            </w:r>
          </w:p>
          <w:p>
            <w:pPr>
              <w:spacing w:after="60"/>
            </w:pPr>
            <w:r>
              <w:t xml:space="preserve">c₁, c₂ = acceleration constants, r₁, r₂ = uniform random in [0,1]</w:t>
            </w:r>
          </w:p>
        </w:tc>
      </w:tr>
    </w:tbl>
    <w:p>
      <w:pPr>
        <w:spacing w:after="120" w:line="300"/>
      </w:pPr>
      <w:r>
        <w:t xml:space="preserve">Fitness used during tuning is accuracy (TP / (TP+FP)) — AMBOA searches the SSNN hyperparameter space for whatever combination maximises that.</w:t>
      </w:r>
    </w:p>
    <w:p>
      <w:pPr>
        <w:pStyle w:val="Heading2"/>
        <w:spacing w:after="120" w:before="240"/>
      </w:pPr>
      <w:r>
        <w:rPr>
          <w:b/>
          <w:bCs/>
        </w:rPr>
        <w:t xml:space="preserve">3.4 Dataset</w:t>
      </w:r>
    </w:p>
    <w:p>
      <w:pPr>
        <w:spacing w:after="120" w:line="300"/>
      </w:pPr>
      <w:r>
        <w:t xml:space="preserve">Open developer-experience dataset on Zenodo (Perez et al., 2023, https://zenodo.org/records/7011334). Six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Class</w:t>
            </w:r>
          </w:p>
        </w:tc>
        <w:tc>
          <w:tcPr>
            <w:tcW w:type="dxa" w:w="456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Label</w:t>
            </w:r>
          </w:p>
        </w:tc>
        <w:tc>
          <w:tcPr>
            <w:tcW w:type="dxa" w:w="30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Samples</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SE</w:t>
            </w:r>
          </w:p>
        </w:tc>
        <w:tc>
          <w:tcPr>
            <w:tcW w:type="dxa" w:w="4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Software Engineer</w:t>
            </w:r>
          </w:p>
        </w:tc>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73</w:t>
            </w:r>
          </w:p>
        </w:tc>
      </w:tr>
      <w:tr>
        <w:tc>
          <w:tcPr>
            <w:tcW w:type="dxa" w:w="18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ESE</w:t>
            </w:r>
          </w:p>
        </w:tc>
        <w:tc>
          <w:tcPr>
            <w:tcW w:type="dxa" w:w="45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Experienced Software Engineer</w:t>
            </w:r>
          </w:p>
        </w:tc>
        <w:tc>
          <w:tcPr>
            <w:tcW w:type="dxa" w:w="30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69</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SA</w:t>
            </w:r>
          </w:p>
        </w:tc>
        <w:tc>
          <w:tcPr>
            <w:tcW w:type="dxa" w:w="4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Software Architect</w:t>
            </w:r>
          </w:p>
        </w:tc>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29</w:t>
            </w:r>
          </w:p>
        </w:tc>
      </w:tr>
      <w:tr>
        <w:tc>
          <w:tcPr>
            <w:tcW w:type="dxa" w:w="18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NSE</w:t>
            </w:r>
          </w:p>
        </w:tc>
        <w:tc>
          <w:tcPr>
            <w:tcW w:type="dxa" w:w="45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Non Software Engineer</w:t>
            </w:r>
          </w:p>
        </w:tc>
        <w:tc>
          <w:tcPr>
            <w:tcW w:type="dxa" w:w="30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17</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BOT</w:t>
            </w:r>
          </w:p>
        </w:tc>
        <w:tc>
          <w:tcPr>
            <w:tcW w:type="dxa" w:w="4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Bot</w:t>
            </w:r>
          </w:p>
        </w:tc>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10</w:t>
            </w:r>
          </w:p>
        </w:tc>
      </w:tr>
      <w:tr>
        <w:tc>
          <w:tcPr>
            <w:tcW w:type="dxa" w:w="18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UNK</w:t>
            </w:r>
          </w:p>
        </w:tc>
        <w:tc>
          <w:tcPr>
            <w:tcW w:type="dxa" w:w="45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Unknown</w:t>
            </w:r>
          </w:p>
        </w:tc>
        <w:tc>
          <w:tcPr>
            <w:tcW w:type="dxa" w:w="30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505</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Total</w:t>
            </w:r>
          </w:p>
        </w:tc>
        <w:tc>
          <w:tcPr>
            <w:tcW w:type="dxa" w:w="4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
            </w:r>
          </w:p>
        </w:tc>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703</w:t>
            </w:r>
          </w:p>
        </w:tc>
      </w:tr>
    </w:tbl>
    <w:p>
      <w:pPr>
        <w:spacing w:after="120" w:line="300"/>
      </w:pPr>
      <w:r>
        <w:t xml:space="preserve">Twenty-six software metrics initially; eighteen selected by BAHB.</w:t>
      </w:r>
    </w:p>
    <w:p>
      <w:pPr>
        <w:pStyle w:val="Heading2"/>
        <w:spacing w:after="120" w:before="240"/>
      </w:pPr>
      <w:r>
        <w:rPr>
          <w:b/>
          <w:bCs/>
        </w:rPr>
        <w:t xml:space="preserve">3.5 Headline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rPr>
          <w:tblHeader/>
        </w:trPr>
        <w:tc>
          <w:tcPr>
            <w:tcW w:type="dxa" w:w="16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Split</w:t>
            </w:r>
          </w:p>
        </w:tc>
        <w:tc>
          <w:tcPr>
            <w:tcW w:type="dxa" w:w="194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Accuracy</w:t>
            </w:r>
          </w:p>
        </w:tc>
        <w:tc>
          <w:tcPr>
            <w:tcW w:type="dxa" w:w="194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Precision</w:t>
            </w:r>
          </w:p>
        </w:tc>
        <w:tc>
          <w:tcPr>
            <w:tcW w:type="dxa" w:w="194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Recall</w:t>
            </w:r>
          </w:p>
        </w:tc>
        <w:tc>
          <w:tcPr>
            <w:tcW w:type="dxa" w:w="194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F1</w:t>
            </w:r>
          </w:p>
        </w:tc>
      </w:tr>
      <w:tr>
        <w:tc>
          <w:tcPr>
            <w:tcW w:type="dxa" w:w="1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70% train</w:t>
            </w:r>
          </w:p>
        </w:tc>
        <w:tc>
          <w:tcPr>
            <w:tcW w:type="dxa" w:w="19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98.10</w:t>
            </w:r>
          </w:p>
        </w:tc>
        <w:tc>
          <w:tcPr>
            <w:tcW w:type="dxa" w:w="19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93.84</w:t>
            </w:r>
          </w:p>
        </w:tc>
        <w:tc>
          <w:tcPr>
            <w:tcW w:type="dxa" w:w="19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75.21</w:t>
            </w:r>
          </w:p>
        </w:tc>
        <w:tc>
          <w:tcPr>
            <w:tcW w:type="dxa" w:w="19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79.54</w:t>
            </w:r>
          </w:p>
        </w:tc>
      </w:tr>
      <w:tr>
        <w:tc>
          <w:tcPr>
            <w:tcW w:type="dxa" w:w="16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30% test</w:t>
            </w:r>
          </w:p>
        </w:tc>
        <w:tc>
          <w:tcPr>
            <w:tcW w:type="dxa" w:w="19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98.74</w:t>
            </w:r>
          </w:p>
        </w:tc>
        <w:tc>
          <w:tcPr>
            <w:tcW w:type="dxa" w:w="19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96.16</w:t>
            </w:r>
          </w:p>
        </w:tc>
        <w:tc>
          <w:tcPr>
            <w:tcW w:type="dxa" w:w="19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83.54</w:t>
            </w:r>
          </w:p>
        </w:tc>
        <w:tc>
          <w:tcPr>
            <w:tcW w:type="dxa" w:w="194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85.38</w:t>
            </w:r>
          </w:p>
        </w:tc>
      </w:tr>
    </w:tbl>
    <w:p>
      <w:pPr>
        <w:spacing w:after="120" w:line="300"/>
      </w:pPr>
      <w:r>
        <w:t xml:space="preserve">Against comparators on the 30% test set: Random Forest 94.70, Decision Tree 94.08, Naïve Bayes 89.15, ANN 93.20, DBN 91.86, CNN 94.78, AlexNet 92.34 — your model at 98.74% is the clear leader. Execution time is also dramatically better: EESQA-DELMOA 8.27 s vs Random Forest 14.57 s, Decision Tree 16.18 s, CNN 17.33 s. That is the SSNN payoff.</w:t>
      </w:r>
    </w:p>
    <w:p>
      <w:pPr>
        <w:pStyle w:val="Heading2"/>
        <w:spacing w:after="120" w:before="240"/>
      </w:pPr>
      <w:r>
        <w:rPr>
          <w:b/>
          <w:bCs/>
        </w:rPr>
        <w:t xml:space="preserve">3.6 Limitations</w:t>
      </w:r>
    </w:p>
    <w:p>
      <w:pPr>
        <w:pStyle w:val="ListParagraph"/>
        <w:numPr>
          <w:ilvl w:val="0"/>
          <w:numId w:val="2"/>
        </w:numPr>
        <w:spacing w:after="60" w:line="280"/>
      </w:pPr>
      <w:r>
        <w:t xml:space="preserve">Heavy class imbalance: UNK has 505 samples while BOT has only 10. The recall on BOT is just 20% — the model essentially never predicts it. You should flag this honestly.</w:t>
      </w:r>
    </w:p>
    <w:p>
      <w:pPr>
        <w:pStyle w:val="ListParagraph"/>
        <w:numPr>
          <w:ilvl w:val="0"/>
          <w:numId w:val="2"/>
        </w:numPr>
        <w:spacing w:after="60" w:line="280"/>
      </w:pPr>
      <w:r>
        <w:t xml:space="preserve">The dataset comes from a single labelled source (Perez et al. 2023); reproducibility on other developer-experience datasets is not demonstrated.</w:t>
      </w:r>
    </w:p>
    <w:p>
      <w:pPr>
        <w:pStyle w:val="ListParagraph"/>
        <w:numPr>
          <w:ilvl w:val="0"/>
          <w:numId w:val="2"/>
        </w:numPr>
        <w:spacing w:after="60" w:line="280"/>
      </w:pPr>
      <w:r>
        <w:t xml:space="preserve">AMBOA's hyperparameters (c, a, c₁, c₂, w_max, w_end) themselves need tuning — you do not describe how those meta-meta-parameters were set.</w:t>
      </w:r>
    </w:p>
    <w:p>
      <w:pPr>
        <w:pStyle w:val="ListParagraph"/>
        <w:numPr>
          <w:ilvl w:val="0"/>
          <w:numId w:val="2"/>
        </w:numPr>
        <w:spacing w:after="60" w:line="280"/>
      </w:pPr>
      <w:r>
        <w:t xml:space="preserve">The link between predicted developer experience and actual project outcomes is not measured — that would be the natural next study.</w:t>
      </w:r>
    </w:p>
    <w:p>
      <w:pPr>
        <w:pStyle w:val="Heading2"/>
        <w:spacing w:after="120" w:before="240"/>
      </w:pPr>
      <w:r>
        <w:rPr>
          <w:b/>
          <w:bCs/>
        </w:rPr>
        <w:t xml:space="preserve">3.7 What to remember in viva</w:t>
      </w:r>
    </w:p>
    <w:p>
      <w:pPr>
        <w:pStyle w:val="ListParagraph"/>
        <w:numPr>
          <w:ilvl w:val="0"/>
          <w:numId w:val="2"/>
        </w:numPr>
        <w:spacing w:after="60" w:line="280"/>
      </w:pPr>
      <w:r>
        <w:rPr>
          <w:b/>
          <w:bCs/>
        </w:rPr>
        <w:t xml:space="preserve">Why a Spiking Neural Network and not a deep CNN? </w:t>
      </w:r>
      <w:r>
        <w:t xml:space="preserve">SSNN processes information event-driven (spike events), so for tabular data of modest size it is significantly faster than CNN/DBN/AlexNet while staying competitive on accuracy. Your execution-time results back this up.</w:t>
      </w:r>
    </w:p>
    <w:p>
      <w:pPr>
        <w:pStyle w:val="ListParagraph"/>
        <w:numPr>
          <w:ilvl w:val="0"/>
          <w:numId w:val="2"/>
        </w:numPr>
        <w:spacing w:after="60" w:line="280"/>
      </w:pPr>
      <w:r>
        <w:rPr>
          <w:b/>
          <w:bCs/>
        </w:rPr>
        <w:t xml:space="preserve">Why BAHB for feature selection rather than e.g. LASSO? </w:t>
      </w:r>
      <w:r>
        <w:t xml:space="preserve">BAHB is a wrapper method — it evaluates feature subsets against the actual downstream classifier, so it picks features that are good for SSNN specifically rather than features with low linear correlation.</w:t>
      </w:r>
    </w:p>
    <w:p>
      <w:pPr>
        <w:pStyle w:val="ListParagraph"/>
        <w:numPr>
          <w:ilvl w:val="0"/>
          <w:numId w:val="2"/>
        </w:numPr>
        <w:spacing w:after="60" w:line="280"/>
      </w:pPr>
      <w:r>
        <w:rPr>
          <w:b/>
          <w:bCs/>
        </w:rPr>
        <w:t xml:space="preserve">Why metaheuristic tuning rather than grid search? </w:t>
      </w:r>
      <w:r>
        <w:t xml:space="preserve">The SSNN hyperparameter space (τ, threshold, synaptic weight ranges, layer sizes) is non-convex and grid search scales exponentially. AMBOA's exploration-exploitation balance finds good regions in far fewer evaluations.</w:t>
      </w:r>
    </w:p>
    <w:p>
      <w:pPr>
        <w:pStyle w:val="ListParagraph"/>
        <w:numPr>
          <w:ilvl w:val="0"/>
          <w:numId w:val="2"/>
        </w:numPr>
        <w:spacing w:after="60" w:line="280"/>
      </w:pPr>
      <w:r>
        <w:rPr>
          <w:b/>
          <w:bCs/>
        </w:rPr>
        <w:t xml:space="preserve">Why is this paper part of the thesis? </w:t>
      </w:r>
      <w:r>
        <w:t xml:space="preserve">Papers 1 and 2 look at the code; this paper looks at the developer. Comprehension is a two-sided phenomenon — the readability of the code and the capability of the reader. The thesis would be incomplete with only the code side.</w:t>
      </w:r>
    </w:p>
    <w:p>
      <w:r>
        <w:br w:type="page"/>
      </w:r>
    </w:p>
    <w:p>
      <w:pPr>
        <w:pStyle w:val="Heading1"/>
        <w:spacing w:after="120" w:before="240"/>
      </w:pPr>
      <w:r>
        <w:rPr>
          <w:b/>
          <w:bCs/>
        </w:rPr>
        <w:t xml:space="preserve">Cross-paper Comparison and Thesis Story</w:t>
      </w:r>
    </w:p>
    <w:p>
      <w:pPr>
        <w:pStyle w:val="Heading2"/>
        <w:spacing w:after="120" w:before="240"/>
      </w:pPr>
      <w:r>
        <w:rPr>
          <w:b/>
          <w:bCs/>
        </w:rPr>
        <w:t xml:space="preserve">Side-by-side summary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520"/>
        <w:gridCol w:w="2520"/>
        <w:gridCol w:w="2520"/>
      </w:tblGrid>
      <w:tr>
        <w:trPr>
          <w:tblHeader/>
        </w:trPr>
        <w:tc>
          <w:tcPr>
            <w:tcW w:type="dxa" w:w="16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Aspect</w:t>
            </w:r>
          </w:p>
        </w:tc>
        <w:tc>
          <w:tcPr>
            <w:tcW w:type="dxa" w:w="252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Paper 1 — IRAF-XADL</w:t>
            </w:r>
          </w:p>
        </w:tc>
        <w:tc>
          <w:tcPr>
            <w:tcW w:type="dxa" w:w="252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Paper 2 — ECRVR-MVEL</w:t>
            </w:r>
          </w:p>
        </w:tc>
        <w:tc>
          <w:tcPr>
            <w:tcW w:type="dxa" w:w="252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Paper 3 — EESQA-DELMOA</w:t>
            </w:r>
          </w:p>
        </w:tc>
      </w:tr>
      <w:tr>
        <w:tc>
          <w:tcPr>
            <w:tcW w:type="dxa" w:w="1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Unit of analysis</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Single identifier</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Whole code snippet</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Developer</w:t>
            </w:r>
          </w:p>
        </w:tc>
      </w:tr>
      <w:tr>
        <w:tc>
          <w:tcPr>
            <w:tcW w:type="dxa" w:w="16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Embedding / features</w:t>
            </w:r>
          </w:p>
        </w:tc>
        <w:tc>
          <w:tcPr>
            <w:tcW w:type="dxa" w:w="252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CodeBERT + 10 readability features</w:t>
            </w:r>
          </w:p>
        </w:tc>
        <w:tc>
          <w:tcPr>
            <w:tcW w:type="dxa" w:w="252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CodeBERT only</w:t>
            </w:r>
          </w:p>
        </w:tc>
        <w:tc>
          <w:tcPr>
            <w:tcW w:type="dxa" w:w="252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26 code metrics → 18 via BAHB</w:t>
            </w:r>
          </w:p>
        </w:tc>
      </w:tr>
      <w:tr>
        <w:tc>
          <w:tcPr>
            <w:tcW w:type="dxa" w:w="1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Classifier</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Self-Attention BiLSTM</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GCN + DBN + Bi-TCN weighted ensemble</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Simplified Spiking NN</w:t>
            </w:r>
          </w:p>
        </w:tc>
      </w:tr>
      <w:tr>
        <w:tc>
          <w:tcPr>
            <w:tcW w:type="dxa" w:w="16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Optimiser</w:t>
            </w:r>
          </w:p>
        </w:tc>
        <w:tc>
          <w:tcPr>
            <w:tcW w:type="dxa" w:w="252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AdamW</w:t>
            </w:r>
          </w:p>
        </w:tc>
        <w:tc>
          <w:tcPr>
            <w:tcW w:type="dxa" w:w="252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Nadam</w:t>
            </w:r>
          </w:p>
        </w:tc>
        <w:tc>
          <w:tcPr>
            <w:tcW w:type="dxa" w:w="252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AMBOA (metaheuristic)</w:t>
            </w:r>
          </w:p>
        </w:tc>
      </w:tr>
      <w:tr>
        <w:tc>
          <w:tcPr>
            <w:tcW w:type="dxa" w:w="1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Explainability</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SHAP (global + local)</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LIME (local)</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Feature-importance via BAHB</w:t>
            </w:r>
          </w:p>
        </w:tc>
      </w:tr>
      <w:tr>
        <w:tc>
          <w:tcPr>
            <w:tcW w:type="dxa" w:w="16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Dataset</w:t>
            </w:r>
          </w:p>
        </w:tc>
        <w:tc>
          <w:tcPr>
            <w:tcW w:type="dxa" w:w="252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Kaggle Code Snippets (Py + C++)</w:t>
            </w:r>
          </w:p>
        </w:tc>
        <w:tc>
          <w:tcPr>
            <w:tcW w:type="dxa" w:w="252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Same Kaggle Code Snippets</w:t>
            </w:r>
          </w:p>
        </w:tc>
        <w:tc>
          <w:tcPr>
            <w:tcW w:type="dxa" w:w="252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Zenodo developer-experience</w:t>
            </w:r>
          </w:p>
        </w:tc>
      </w:tr>
      <w:tr>
        <w:tc>
          <w:tcPr>
            <w:tcW w:type="dxa" w:w="1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Best accuracy</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98.13 / 98.42 (Py / C++)</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98.15 / 98.38 (Py / C++)</w:t>
            </w:r>
          </w:p>
        </w:tc>
        <w:tc>
          <w:tcPr>
            <w:tcW w:type="dxa" w:w="252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98.74 (30% test)</w:t>
            </w:r>
          </w:p>
        </w:tc>
      </w:tr>
      <w:tr>
        <w:tc>
          <w:tcPr>
            <w:tcW w:type="dxa" w:w="16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Classes</w:t>
            </w:r>
          </w:p>
        </w:tc>
        <w:tc>
          <w:tcPr>
            <w:tcW w:type="dxa" w:w="252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High / Medium / Low</w:t>
            </w:r>
          </w:p>
        </w:tc>
        <w:tc>
          <w:tcPr>
            <w:tcW w:type="dxa" w:w="252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High / Medium / Low</w:t>
            </w:r>
          </w:p>
        </w:tc>
        <w:tc>
          <w:tcPr>
            <w:tcW w:type="dxa" w:w="252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6 classes (SE, ESE, SA, NSE, BOT, UNK)</w:t>
            </w:r>
          </w:p>
        </w:tc>
      </w:tr>
    </w:tbl>
    <w:p>
      <w:pPr>
        <w:pStyle w:val="Heading2"/>
        <w:spacing w:after="120" w:before="240"/>
      </w:pPr>
      <w:r>
        <w:rPr>
          <w:b/>
          <w:bCs/>
        </w:rPr>
        <w:t xml:space="preserve">The research gap each paper closes</w:t>
      </w:r>
    </w:p>
    <w:p>
      <w:pPr>
        <w:spacing w:after="120" w:line="300"/>
      </w:pPr>
      <w:r>
        <w:t xml:space="preserve">Paper 1 closes the identifier-semantics gap that classical readability metrics ignored. Paper 2 closes the explainability gap left open by black-box DL readability classifiers. Paper 3 closes the developer-side gap — code is not the only variable in software quality.</w:t>
      </w:r>
    </w:p>
    <w:p>
      <w:pPr>
        <w:pStyle w:val="Heading2"/>
        <w:spacing w:after="120" w:before="240"/>
      </w:pPr>
      <w:r>
        <w:rPr>
          <w:b/>
          <w:bCs/>
        </w:rPr>
        <w:t xml:space="preserve">Common methodological themes</w:t>
      </w:r>
    </w:p>
    <w:p>
      <w:pPr>
        <w:pStyle w:val="ListParagraph"/>
        <w:numPr>
          <w:ilvl w:val="0"/>
          <w:numId w:val="2"/>
        </w:numPr>
        <w:spacing w:after="60" w:line="280"/>
      </w:pPr>
      <w:r>
        <w:t xml:space="preserve">Embedding or feature representation is the first lever — getting it right matters more than which classifier you pick.</w:t>
      </w:r>
    </w:p>
    <w:p>
      <w:pPr>
        <w:pStyle w:val="ListParagraph"/>
        <w:numPr>
          <w:ilvl w:val="0"/>
          <w:numId w:val="2"/>
        </w:numPr>
        <w:spacing w:after="60" w:line="280"/>
      </w:pPr>
      <w:r>
        <w:t xml:space="preserve">Ensemble / attention / metaheuristic — each paper uses a mechanism that compensates for the weakness of a single model.</w:t>
      </w:r>
    </w:p>
    <w:p>
      <w:pPr>
        <w:pStyle w:val="ListParagraph"/>
        <w:numPr>
          <w:ilvl w:val="0"/>
          <w:numId w:val="2"/>
        </w:numPr>
        <w:spacing w:after="60" w:line="280"/>
      </w:pPr>
      <w:r>
        <w:t xml:space="preserve">Explainability is non-negotiable. The thesis argues you cannot deploy a comprehension model that you cannot interrogate.</w:t>
      </w:r>
    </w:p>
    <w:p>
      <w:pPr>
        <w:pStyle w:val="ListParagraph"/>
        <w:numPr>
          <w:ilvl w:val="0"/>
          <w:numId w:val="2"/>
        </w:numPr>
        <w:spacing w:after="60" w:line="280"/>
      </w:pPr>
      <w:r>
        <w:t xml:space="preserve">All three are validated on multi-class classification with publicly available datasets — no proprietary data, fully reproducible.</w:t>
      </w:r>
    </w:p>
    <w:p>
      <w:pPr>
        <w:pStyle w:val="Heading2"/>
        <w:spacing w:after="120" w:before="240"/>
      </w:pPr>
      <w:r>
        <w:rPr>
          <w:b/>
          <w:bCs/>
        </w:rPr>
        <w:t xml:space="preserve">Honest open questions across the three papers</w:t>
      </w:r>
    </w:p>
    <w:p>
      <w:pPr>
        <w:pStyle w:val="ListParagraph"/>
        <w:numPr>
          <w:ilvl w:val="0"/>
          <w:numId w:val="2"/>
        </w:numPr>
        <w:spacing w:after="60" w:line="280"/>
      </w:pPr>
      <w:r>
        <w:t xml:space="preserve">None of the three has been evaluated on actual industrial codebases — Kaggle and Zenodo data only.</w:t>
      </w:r>
    </w:p>
    <w:p>
      <w:pPr>
        <w:pStyle w:val="ListParagraph"/>
        <w:numPr>
          <w:ilvl w:val="0"/>
          <w:numId w:val="2"/>
        </w:numPr>
        <w:spacing w:after="60" w:line="280"/>
      </w:pPr>
      <w:r>
        <w:t xml:space="preserve">None of them measures whether the predictions actually improve downstream outcomes (e.g. fewer bugs after refactoring identifiers flagged as Low).</w:t>
      </w:r>
    </w:p>
    <w:p>
      <w:pPr>
        <w:pStyle w:val="ListParagraph"/>
        <w:numPr>
          <w:ilvl w:val="0"/>
          <w:numId w:val="2"/>
        </w:numPr>
        <w:spacing w:after="60" w:line="280"/>
      </w:pPr>
      <w:r>
        <w:t xml:space="preserve">Real-time integration (IDE plugin, code-review bot) is mentioned as future work in all three but not built.</w:t>
      </w:r>
    </w:p>
    <w:p>
      <w:pPr>
        <w:pStyle w:val="ListParagraph"/>
        <w:numPr>
          <w:ilvl w:val="0"/>
          <w:numId w:val="2"/>
        </w:numPr>
        <w:spacing w:after="60" w:line="280"/>
      </w:pPr>
      <w:r>
        <w:t xml:space="preserve">Language coverage is narrow: Python and C++ for Papers 1 and 2; a single mixed corpus for Paper 3.</w:t>
      </w:r>
    </w:p>
    <w:p>
      <w:pPr>
        <w:pStyle w:val="Heading2"/>
        <w:spacing w:after="120" w:before="240"/>
      </w:pPr>
      <w:r>
        <w:rPr>
          <w:b/>
          <w:bCs/>
        </w:rPr>
        <w:t xml:space="preserve">Likely viva questions</w:t>
      </w:r>
    </w:p>
    <w:p>
      <w:pPr>
        <w:pStyle w:val="ListParagraph"/>
        <w:numPr>
          <w:ilvl w:val="0"/>
          <w:numId w:val="2"/>
        </w:numPr>
        <w:spacing w:after="60" w:line="280"/>
      </w:pPr>
      <w:r>
        <w:t xml:space="preserve">Why three separate papers rather than one big one?</w:t>
      </w:r>
    </w:p>
    <w:p>
      <w:pPr>
        <w:pStyle w:val="ListParagraph"/>
        <w:numPr>
          <w:ilvl w:val="0"/>
          <w:numId w:val="2"/>
        </w:numPr>
        <w:spacing w:after="60" w:line="280"/>
      </w:pPr>
      <w:r>
        <w:t xml:space="preserve">What is the single biggest empirical finding of the thesis?</w:t>
      </w:r>
    </w:p>
    <w:p>
      <w:pPr>
        <w:pStyle w:val="ListParagraph"/>
        <w:numPr>
          <w:ilvl w:val="0"/>
          <w:numId w:val="2"/>
        </w:numPr>
        <w:spacing w:after="60" w:line="280"/>
      </w:pPr>
      <w:r>
        <w:t xml:space="preserve">How would you defend the choice of accuracy as your primary metric when class imbalance is present in Paper 3?</w:t>
      </w:r>
    </w:p>
    <w:p>
      <w:pPr>
        <w:pStyle w:val="ListParagraph"/>
        <w:numPr>
          <w:ilvl w:val="0"/>
          <w:numId w:val="2"/>
        </w:numPr>
        <w:spacing w:after="60" w:line="280"/>
      </w:pPr>
      <w:r>
        <w:t xml:space="preserve">If you had to drop one of the three papers, which would you drop and why?</w:t>
      </w:r>
    </w:p>
    <w:p>
      <w:pPr>
        <w:pStyle w:val="ListParagraph"/>
        <w:numPr>
          <w:ilvl w:val="0"/>
          <w:numId w:val="2"/>
        </w:numPr>
        <w:spacing w:after="60" w:line="280"/>
      </w:pPr>
      <w:r>
        <w:t xml:space="preserve">What is the smallest realistic deployment story for this work — a feature in an IDE, a code-review checker, a hiring tool?</w:t>
      </w:r>
    </w:p>
    <w:p>
      <w:pPr>
        <w:pStyle w:val="ListParagraph"/>
        <w:numPr>
          <w:ilvl w:val="0"/>
          <w:numId w:val="2"/>
        </w:numPr>
        <w:spacing w:after="60" w:line="280"/>
      </w:pPr>
      <w:r>
        <w:t xml:space="preserve">How does CodeBERT compare with newer code-LLMs (StarCoder, CodeLlama) — would your results change?</w:t>
      </w:r>
    </w:p>
    <w:p>
      <w:r>
        <w:br w:type="page"/>
      </w:r>
    </w:p>
    <w:p>
      <w:pPr>
        <w:pStyle w:val="Heading1"/>
        <w:spacing w:after="120" w:before="240"/>
      </w:pPr>
      <w:r>
        <w:rPr>
          <w:b/>
          <w:bCs/>
        </w:rPr>
        <w:t xml:space="preserve">Quick-reference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60"/>
        <w:gridCol w:w="2700"/>
      </w:tblGrid>
      <w:tr>
        <w:trPr>
          <w:tblHeader/>
        </w:trPr>
        <w:tc>
          <w:tcPr>
            <w:tcW w:type="dxa" w:w="18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Acronym</w:t>
            </w:r>
          </w:p>
        </w:tc>
        <w:tc>
          <w:tcPr>
            <w:tcW w:type="dxa" w:w="486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Expansion</w:t>
            </w:r>
          </w:p>
        </w:tc>
        <w:tc>
          <w:tcPr>
            <w:tcW w:type="dxa" w:w="2700"/>
            <w:tcBorders>
              <w:top w:val="single" w:color="888888" w:sz="4"/>
              <w:left w:val="single" w:color="888888" w:sz="4"/>
              <w:bottom w:val="single" w:color="888888" w:sz="4"/>
              <w:right w:val="single" w:color="888888" w:sz="4"/>
            </w:tcBorders>
            <w:shd w:fill="1F3864" w:color="auto" w:val="clear"/>
            <w:tcMar>
              <w:top w:type="dxa" w:w="80"/>
              <w:left w:type="dxa" w:w="120"/>
              <w:bottom w:type="dxa" w:w="80"/>
              <w:right w:type="dxa" w:w="120"/>
            </w:tcMar>
          </w:tcPr>
          <w:p>
            <w:r>
              <w:rPr>
                <w:b/>
                <w:bCs/>
                <w:color w:val="FFFFFF"/>
              </w:rPr>
              <w:t xml:space="preserve">Role</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IRAF-XADL</w:t>
            </w:r>
          </w:p>
        </w:tc>
        <w:tc>
          <w:tcPr>
            <w:tcW w:type="dxa" w:w="4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Identifier Readability Analysis Framework using Explainable Attention-based Deep Learning</w:t>
            </w:r>
          </w:p>
        </w:tc>
        <w:tc>
          <w:tcPr>
            <w:tcW w:type="dxa" w:w="2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Model name in Paper 1</w:t>
            </w:r>
          </w:p>
        </w:tc>
      </w:tr>
      <w:tr>
        <w:tc>
          <w:tcPr>
            <w:tcW w:type="dxa" w:w="18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ECRVR-MVEL</w:t>
            </w:r>
          </w:p>
        </w:tc>
        <w:tc>
          <w:tcPr>
            <w:tcW w:type="dxa" w:w="48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Explainable Code Readability classification using Vector Representations and Majority Voting-based Ensemble Learning</w:t>
            </w:r>
          </w:p>
        </w:tc>
        <w:tc>
          <w:tcPr>
            <w:tcW w:type="dxa" w:w="27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Model name in Paper 2</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EESQA-DELMOA</w:t>
            </w:r>
          </w:p>
        </w:tc>
        <w:tc>
          <w:tcPr>
            <w:tcW w:type="dxa" w:w="4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Empirical Evaluation of Software Quality Assessment through Developer's Experience Level using Metaheuristic Optimisation Algorithms</w:t>
            </w:r>
          </w:p>
        </w:tc>
        <w:tc>
          <w:tcPr>
            <w:tcW w:type="dxa" w:w="2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Model name in Paper 3</w:t>
            </w:r>
          </w:p>
        </w:tc>
      </w:tr>
      <w:tr>
        <w:tc>
          <w:tcPr>
            <w:tcW w:type="dxa" w:w="18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SA-BiLSTM</w:t>
            </w:r>
          </w:p>
        </w:tc>
        <w:tc>
          <w:tcPr>
            <w:tcW w:type="dxa" w:w="48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Self-Attention Bidirectional LSTM</w:t>
            </w:r>
          </w:p>
        </w:tc>
        <w:tc>
          <w:tcPr>
            <w:tcW w:type="dxa" w:w="27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Sequence classifier in Paper 1</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GCN</w:t>
            </w:r>
          </w:p>
        </w:tc>
        <w:tc>
          <w:tcPr>
            <w:tcW w:type="dxa" w:w="4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Graph Convolutional Network</w:t>
            </w:r>
          </w:p>
        </w:tc>
        <w:tc>
          <w:tcPr>
            <w:tcW w:type="dxa" w:w="2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Ensemble member, Paper 2</w:t>
            </w:r>
          </w:p>
        </w:tc>
      </w:tr>
      <w:tr>
        <w:tc>
          <w:tcPr>
            <w:tcW w:type="dxa" w:w="18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DBN</w:t>
            </w:r>
          </w:p>
        </w:tc>
        <w:tc>
          <w:tcPr>
            <w:tcW w:type="dxa" w:w="48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Deep Belief Network</w:t>
            </w:r>
          </w:p>
        </w:tc>
        <w:tc>
          <w:tcPr>
            <w:tcW w:type="dxa" w:w="27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Ensemble member, Paper 2</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Bi-TCN</w:t>
            </w:r>
          </w:p>
        </w:tc>
        <w:tc>
          <w:tcPr>
            <w:tcW w:type="dxa" w:w="4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Bidirectional Temporal Convolutional Network</w:t>
            </w:r>
          </w:p>
        </w:tc>
        <w:tc>
          <w:tcPr>
            <w:tcW w:type="dxa" w:w="2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Ensemble member, Paper 2</w:t>
            </w:r>
          </w:p>
        </w:tc>
      </w:tr>
      <w:tr>
        <w:tc>
          <w:tcPr>
            <w:tcW w:type="dxa" w:w="18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WMVE</w:t>
            </w:r>
          </w:p>
        </w:tc>
        <w:tc>
          <w:tcPr>
            <w:tcW w:type="dxa" w:w="48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Weighted Majority Voting Ensemble</w:t>
            </w:r>
          </w:p>
        </w:tc>
        <w:tc>
          <w:tcPr>
            <w:tcW w:type="dxa" w:w="27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Ensemble scheme, Paper 2</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BAHB</w:t>
            </w:r>
          </w:p>
        </w:tc>
        <w:tc>
          <w:tcPr>
            <w:tcW w:type="dxa" w:w="4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Bio-inspired Artificial Hummingbird</w:t>
            </w:r>
          </w:p>
        </w:tc>
        <w:tc>
          <w:tcPr>
            <w:tcW w:type="dxa" w:w="2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Feature-selection algorithm, Paper 3</w:t>
            </w:r>
          </w:p>
        </w:tc>
      </w:tr>
      <w:tr>
        <w:tc>
          <w:tcPr>
            <w:tcW w:type="dxa" w:w="18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SSNN</w:t>
            </w:r>
          </w:p>
        </w:tc>
        <w:tc>
          <w:tcPr>
            <w:tcW w:type="dxa" w:w="48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Simplified Spiking Neural Network</w:t>
            </w:r>
          </w:p>
        </w:tc>
        <w:tc>
          <w:tcPr>
            <w:tcW w:type="dxa" w:w="27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Classifier in Paper 3</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AMBOA</w:t>
            </w:r>
          </w:p>
        </w:tc>
        <w:tc>
          <w:tcPr>
            <w:tcW w:type="dxa" w:w="4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Adaptive Migration Butterfly Optimisation Algorithm</w:t>
            </w:r>
          </w:p>
        </w:tc>
        <w:tc>
          <w:tcPr>
            <w:tcW w:type="dxa" w:w="2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Hyperparameter tuner, Paper 3</w:t>
            </w:r>
          </w:p>
        </w:tc>
      </w:tr>
      <w:tr>
        <w:tc>
          <w:tcPr>
            <w:tcW w:type="dxa" w:w="18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SHAP</w:t>
            </w:r>
          </w:p>
        </w:tc>
        <w:tc>
          <w:tcPr>
            <w:tcW w:type="dxa" w:w="48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SHapley Additive exPlanations</w:t>
            </w:r>
          </w:p>
        </w:tc>
        <w:tc>
          <w:tcPr>
            <w:tcW w:type="dxa" w:w="27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Explainability, Paper 1</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LIME</w:t>
            </w:r>
          </w:p>
        </w:tc>
        <w:tc>
          <w:tcPr>
            <w:tcW w:type="dxa" w:w="4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Local Interpretable Model-agnostic Explanations</w:t>
            </w:r>
          </w:p>
        </w:tc>
        <w:tc>
          <w:tcPr>
            <w:tcW w:type="dxa" w:w="2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Explainability, Paper 2</w:t>
            </w:r>
          </w:p>
        </w:tc>
      </w:tr>
      <w:tr>
        <w:tc>
          <w:tcPr>
            <w:tcW w:type="dxa" w:w="18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AdamW</w:t>
            </w:r>
          </w:p>
        </w:tc>
        <w:tc>
          <w:tcPr>
            <w:tcW w:type="dxa" w:w="486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Adam with decoupled Weight decay</w:t>
            </w:r>
          </w:p>
        </w:tc>
        <w:tc>
          <w:tcPr>
            <w:tcW w:type="dxa" w:w="2700"/>
            <w:tcBorders>
              <w:top w:val="single" w:color="888888" w:sz="4"/>
              <w:left w:val="single" w:color="888888" w:sz="4"/>
              <w:bottom w:val="single" w:color="888888" w:sz="4"/>
              <w:right w:val="single" w:color="888888" w:sz="4"/>
            </w:tcBorders>
            <w:shd w:fill="F2F2F2" w:color="auto" w:val="clear"/>
            <w:tcMar>
              <w:top w:type="dxa" w:w="60"/>
              <w:left w:type="dxa" w:w="120"/>
              <w:bottom w:type="dxa" w:w="60"/>
              <w:right w:type="dxa" w:w="120"/>
            </w:tcMar>
          </w:tcPr>
          <w:p>
            <w:pPr>
              <w:spacing w:after="40"/>
            </w:pPr>
            <w:r>
              <w:t xml:space="preserve">Optimiser, Paper 1</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Nadam</w:t>
            </w:r>
          </w:p>
        </w:tc>
        <w:tc>
          <w:tcPr>
            <w:tcW w:type="dxa" w:w="4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Nesterov-accelerated Adam</w:t>
            </w:r>
          </w:p>
        </w:tc>
        <w:tc>
          <w:tcPr>
            <w:tcW w:type="dxa" w:w="2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40"/>
            </w:pPr>
            <w:r>
              <w:t xml:space="preserve">Optimiser, Paper 2</w:t>
            </w:r>
          </w:p>
        </w:tc>
      </w:tr>
    </w:tbl>
    <w:p>
      <w:pPr>
        <w:spacing w:after="120" w:line="300"/>
      </w:pPr>
      <w:r>
        <w:t xml:space="preserve"/>
      </w:r>
    </w:p>
    <w:p>
      <w:pPr>
        <w:spacing w:after="120" w:line="300"/>
      </w:pPr>
      <w:r>
        <w:t xml:space="preserve">End of study guide. Once you have re-internalised these three papers, the next step is to rewrite the synopsis so it reads in your voice rather than mine — keeping the structure but flattening anything that sounds like a model wrote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PhD Study Guide — Mane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4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PhD Study Guide — Three Papers</dc:title>
  <dc:creator>Bharat Babaso Mane</dc:creator>
  <cp:lastModifiedBy>Un-named</cp:lastModifiedBy>
  <cp:revision>1</cp:revision>
  <dcterms:created xsi:type="dcterms:W3CDTF">2026-05-30T01:31:34.792Z</dcterms:created>
  <dcterms:modified xsi:type="dcterms:W3CDTF">2026-05-30T01:31:34.792Z</dcterms:modified>
</cp:coreProperties>
</file>

<file path=docProps/custom.xml><?xml version="1.0" encoding="utf-8"?>
<Properties xmlns="http://schemas.openxmlformats.org/officeDocument/2006/custom-properties" xmlns:vt="http://schemas.openxmlformats.org/officeDocument/2006/docPropsVTypes"/>
</file>