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016CC6A7">
      <w:pPr>
        <w:keepNext/>
        <w:spacing w:before="0" w:after="160" w:line="240" w:lineRule="auto"/>
        <w:jc w:val="center"/>
      </w:pPr>
      <w:r>
        <w:rPr>
          <w:rFonts w:ascii="Times New Roman" w:hAnsi="Times New Roman" w:eastAsia="Times New Roman"/>
          <w:b/>
          <w:sz w:val="32"/>
        </w:rPr>
        <w:t>XMalGuard: An Explainable and Threat-Aware Machine Learning Framework for Static Malware Detection</w:t>
      </w:r>
    </w:p>
    <w:p w14:paraId="5AD5CF24">
      <w:pPr>
        <w:keepNext/>
        <w:spacing w:after="60" w:line="240" w:lineRule="auto"/>
        <w:jc w:val="center"/>
      </w:pPr>
      <w:r>
        <w:rPr>
          <w:rFonts w:ascii="Times New Roman" w:hAnsi="Times New Roman" w:eastAsia="Times New Roman"/>
          <w:b w:val="0"/>
          <w:sz w:val="20"/>
        </w:rPr>
        <w:t>M. V. S. Bharat (2320030109), P. Siddharth Reddy (2320030436), and C. Sai Balaji Singh (2320030494)</w:t>
      </w:r>
    </w:p>
    <w:p w14:paraId="593A93B4">
      <w:pPr>
        <w:keepNext/>
        <w:spacing w:after="160" w:line="240" w:lineRule="auto"/>
        <w:jc w:val="center"/>
      </w:pPr>
      <w:r>
        <w:rPr>
          <w:rFonts w:ascii="Times New Roman" w:hAnsi="Times New Roman" w:eastAsia="Times New Roman"/>
          <w:i/>
          <w:sz w:val="17"/>
        </w:rPr>
        <w:t>Department of Computer Science and Engineering, Koneru Lakshmaiah Education Foundation</w:t>
      </w:r>
      <w:r>
        <w:rPr>
          <w:rFonts w:ascii="Times New Roman" w:hAnsi="Times New Roman" w:eastAsia="Times New Roman"/>
          <w:i/>
          <w:sz w:val="17"/>
        </w:rPr>
        <w:br w:type="textWrapping"/>
      </w:r>
      <w:r>
        <w:rPr>
          <w:rFonts w:ascii="Times New Roman" w:hAnsi="Times New Roman" w:eastAsia="Times New Roman"/>
          <w:i/>
          <w:sz w:val="17"/>
        </w:rPr>
        <w:t>Under the guidance of Dr. K. Swapnika, Assistant Professor</w:t>
      </w:r>
    </w:p>
    <w:p>
      <w:pPr>
        <w:spacing w:after="50" w:line="240" w:lineRule="auto"/>
        <w:jc w:val="both"/>
      </w:pPr>
      <w:r>
        <w:rPr>
          <w:rFonts w:ascii="Times New Roman" w:hAnsi="Times New Roman" w:eastAsia="Times New Roman"/>
          <w:sz w:val="18"/>
        </w:rPr>
        <w:t>Review-3 Final Manuscript. Empirical evaluation results, comparative benchmarks, explainability analyses, and demonstration artifacts have been verified and incorporated.</w:t>
      </w:r>
    </w:p>
    <w:p w14:paraId="40981A72">
      <w:pPr>
        <w:pStyle w:val="2"/>
        <w:spacing w:before="80" w:after="60"/>
        <w:jc w:val="center"/>
      </w:pPr>
      <w:r>
        <w:rPr>
          <w:rFonts w:ascii="Times New Roman" w:hAnsi="Times New Roman" w:eastAsia="Times New Roman"/>
          <w:b/>
          <w:sz w:val="20"/>
        </w:rPr>
        <w:t>ABSTRACT</w:t>
      </w:r>
    </w:p>
    <w:p>
      <w:pPr>
        <w:spacing w:after="50" w:line="240" w:lineRule="auto"/>
        <w:jc w:val="both"/>
      </w:pPr>
      <w:r>
        <w:rPr>
          <w:rFonts w:ascii="Times New Roman" w:hAnsi="Times New Roman" w:eastAsia="Times New Roman"/>
          <w:sz w:val="18"/>
        </w:rPr>
        <w:t>Static malware detection can identify patterns in executable metadata without running a file, but an effective analyst workflow requires more than a binary label. This paper presents XMalGuard, a comprehensive framework for static Windows Portable Executable (PE) analysis that brings together machine-learning classification, local feature explanation, threat-intelligence context, and composite risk prioritization. The evaluation design leverages 4,250 balanced Win32/Win64 PE samples derived from the EMBER benchmark and systematically compares baseline and ensemble classifiers under a consistent temporal evaluation protocol. Using a non-executing static extraction pipeline engineered with pefile, 35 structural, section entropy, and Windows API import features are parsed and normalized. On held-out test evaluation comprising 750 binaries, the proposed XMalGuard XGBoost ensemble achieves 98.80% accuracy, 99.19% precision, 98.40% recall, 98.79% F1-score, and an ROC-AUC of 0.9982, with an exceptionally low false-positive rate of 0.80% (3/375). Game-theoretic SHAP (SHapley Additive exPlanations) via TreeExplainer quantifies exact feature attribution per prediction, revealing that suspicious_import_count (+0.384), section_max_entropy (+0.291), and has_upx_sections (+0.182) dominate malicious decisions. An integrated heuristic engine maps machine-learning probabilities (50%), structural anomalies (20%), live VirusTotal SHA-256 threat intelligence (20%), and suspicious import frequencies (10%) into an actionable 0–100 risk score. The main contribution is the unification of high-speed static detection (&lt;25 ms per binary) and analyst-facing evidence in a reproducible, full-stack workflow.</w:t>
      </w:r>
    </w:p>
    <w:p w14:paraId="6847498F">
      <w:pPr>
        <w:spacing w:before="60" w:after="120" w:line="240" w:lineRule="auto"/>
        <w:jc w:val="both"/>
      </w:pPr>
      <w:r>
        <w:rPr>
          <w:rFonts w:ascii="Times New Roman" w:hAnsi="Times New Roman" w:eastAsia="Times New Roman"/>
          <w:sz w:val="17"/>
        </w:rPr>
        <w:t>Keywords: static malware detection; Portable Executable; machine learning; explainable AI; SHAP; threat intelligence; risk scoring; EMBER2024; malware analysis.</w:t>
      </w:r>
    </w:p>
    <w:p w14:paraId="76E49A59">
      <w:pPr>
        <w:pStyle w:val="2"/>
      </w:pPr>
      <w:r>
        <w:rPr>
          <w:rFonts w:ascii="Times New Roman" w:hAnsi="Times New Roman" w:eastAsia="Times New Roman"/>
        </w:rPr>
        <w:t>1. INTRODUCTION</w:t>
      </w:r>
    </w:p>
    <w:p w14:paraId="2BCF26B9">
      <w:pPr>
        <w:pStyle w:val="3"/>
      </w:pPr>
      <w:r>
        <w:rPr>
          <w:rFonts w:ascii="Times New Roman" w:hAnsi="Times New Roman" w:eastAsia="Times New Roman"/>
        </w:rPr>
        <w:t>1.1 Background</w:t>
      </w:r>
    </w:p>
    <w:p w14:paraId="56EA9FBB">
      <w:pPr>
        <w:spacing w:after="50" w:line="240" w:lineRule="auto"/>
        <w:jc w:val="both"/>
      </w:pPr>
      <w:r>
        <w:rPr>
          <w:rFonts w:ascii="Times New Roman" w:hAnsi="Times New Roman" w:eastAsia="Times New Roman"/>
          <w:sz w:val="18"/>
        </w:rPr>
        <w:t>Malware detection has historically relied heavily on signatures and manually maintained rules. Such methods remain valuable for known threats, but the continual appearance of new variants, packing, obfuscation and previously unseen samples creates a need for methods that can generalize from observable program characteristics. Machine learning (ML) reframes detection as a classification problem in which features extracted from executable files are used to learn patterns associated with malicious and benign software [21], [22], [23]. Static analysis is especially attractive because it can inspect an executable without executing it, reducing operational risk and enabling large-scale feature extraction [23], [24].</w:t>
      </w:r>
    </w:p>
    <w:p w14:paraId="6F1328DD">
      <w:pPr>
        <w:spacing w:after="50" w:line="240" w:lineRule="auto"/>
        <w:jc w:val="both"/>
      </w:pPr>
      <w:r>
        <w:rPr>
          <w:rFonts w:ascii="Times New Roman" w:hAnsi="Times New Roman" w:eastAsia="Times New Roman"/>
          <w:sz w:val="18"/>
        </w:rPr>
        <w:t>Windows Portable Executable (PE) files expose structural information such as headers, sections, imported libraries and APIs, entropy and strings. These characteristics have been used in traditional ML and deep-learning malware detectors. Early work demonstrated that machine learning could distinguish malicious executables using byte n-grams and other static representations [21], while later studies explored PE headers, raw bytes, learned representations and benchmark datasets [20], [24], [25]. The release of EMBER established a large open benchmark for static PE malware research, containing extracted features from more than one million binaries in its original release [20]. More recent benchmark work has extended the evaluation scope and emphasized temporal and heterogeneous malware classification [17].</w:t>
      </w:r>
    </w:p>
    <w:p w14:paraId="1B7C449A">
      <w:pPr>
        <w:spacing w:after="50" w:line="240" w:lineRule="auto"/>
        <w:jc w:val="both"/>
      </w:pPr>
      <w:r>
        <w:rPr>
          <w:rFonts w:ascii="Times New Roman" w:hAnsi="Times New Roman" w:eastAsia="Times New Roman"/>
          <w:sz w:val="18"/>
        </w:rPr>
        <w:t>Despite these advances, an operational analyst does not only need a binary prediction. A detection result is more useful when the system can indicate which features influenced the decision, whether external intelligence supports the finding, and how urgently the sample should be investigated. Explainable AI (XAI) has therefore become an active research direction in malware analysis [2], [16]. XMalGuard is motivated by the need to bring these complementary capabilities together rather than treating classification, explanation, threat intelligence and risk assessment as independent outputs.</w:t>
      </w:r>
    </w:p>
    <w:p w14:paraId="7CE897BB">
      <w:pPr>
        <w:pStyle w:val="3"/>
      </w:pPr>
      <w:r>
        <w:rPr>
          <w:rFonts w:ascii="Times New Roman" w:hAnsi="Times New Roman" w:eastAsia="Times New Roman"/>
        </w:rPr>
        <w:t>1.2 Problem Statement</w:t>
      </w:r>
    </w:p>
    <w:p w14:paraId="70650B94">
      <w:pPr>
        <w:spacing w:after="50" w:line="240" w:lineRule="auto"/>
        <w:jc w:val="both"/>
      </w:pPr>
      <w:r>
        <w:rPr>
          <w:rFonts w:ascii="Times New Roman" w:hAnsi="Times New Roman" w:eastAsia="Times New Roman"/>
          <w:sz w:val="18"/>
        </w:rPr>
        <w:t>Many static ML malware detectors are evaluated primarily as binary classifiers. Although this can produce strong accuracy or F1 values, it does not by itself answer three analyst-oriented questions: why did the model make the decision, what external evidence is associated with the sample, and how should the alert be prioritized? Deep-learning systems can further increase representational capacity but may introduce additional interpretability challenges [2], [7], [23], [30]. The problem addressed by XMalGuard is therefore the design of a static PE malware detection framework that preserves rigorous predictive evaluation while integrating local explanation, threat context and risk prioritization.</w:t>
      </w:r>
    </w:p>
    <w:p w14:paraId="5893525A">
      <w:pPr>
        <w:pStyle w:val="3"/>
      </w:pPr>
      <w:r>
        <w:rPr>
          <w:rFonts w:ascii="Times New Roman" w:hAnsi="Times New Roman" w:eastAsia="Times New Roman"/>
        </w:rPr>
        <w:t>1.3 Research Gap</w:t>
      </w:r>
    </w:p>
    <w:p w14:paraId="087D4AE9">
      <w:pPr>
        <w:spacing w:after="50" w:line="240" w:lineRule="auto"/>
        <w:jc w:val="both"/>
      </w:pPr>
      <w:r>
        <w:rPr>
          <w:rFonts w:ascii="Times New Roman" w:hAnsi="Times New Roman" w:eastAsia="Times New Roman"/>
          <w:sz w:val="18"/>
        </w:rPr>
        <w:t>Prior literature establishes strong individual components but leaves an integration gap. Classical and ensemble ML studies demonstrate high detection performance using PE-derived features [1], [10], [21]. Deep-learning research shows that learned representations can capture complex executable patterns [2], [24], [30]. XAI studies demonstrate that feature attribution can make malware predictions more interpretable [2], [16], while robustness studies show that packing, appending and other transformations remain important concerns [12], [18]. Surveys also identify challenges around dataset construction, feature engineering, generalization and operational evaluation [5], [7], [13], [14], [19], [22], [23].</w:t>
      </w:r>
    </w:p>
    <w:p w14:paraId="699F8258">
      <w:pPr>
        <w:spacing w:after="50" w:line="240" w:lineRule="auto"/>
        <w:jc w:val="both"/>
      </w:pPr>
      <w:r>
        <w:rPr>
          <w:rFonts w:ascii="Times New Roman" w:hAnsi="Times New Roman" w:eastAsia="Times New Roman"/>
          <w:sz w:val="18"/>
        </w:rPr>
        <w:t>The gap targeted by this work is the lack of a single, reproducible analyst-oriented pipeline that connects static PE classification with feature-level explanation, external threat-intelligence enrichment and risk scoring, while evaluating the detection component on time-separated data. XMalGuard is therefore positioned as an integration framework whose novelty must ultimately be demonstrated through implementation and comparative experiments rather than through the use of any one novel classifier.</w:t>
      </w:r>
    </w:p>
    <w:p w14:paraId="5AB178E9">
      <w:pPr>
        <w:pStyle w:val="3"/>
      </w:pPr>
      <w:r>
        <w:rPr>
          <w:rFonts w:ascii="Times New Roman" w:hAnsi="Times New Roman" w:eastAsia="Times New Roman"/>
        </w:rPr>
        <w:t>1.4 Research Objectives</w:t>
      </w:r>
    </w:p>
    <w:p w14:paraId="26D68FD2">
      <w:pPr>
        <w:pStyle w:val="23"/>
        <w:spacing w:after="50" w:line="240" w:lineRule="auto"/>
      </w:pPr>
      <w:r>
        <w:rPr>
          <w:rFonts w:ascii="Times New Roman" w:hAnsi="Times New Roman" w:eastAsia="Times New Roman"/>
          <w:sz w:val="18"/>
        </w:rPr>
        <w:t>Develop a static PE malware detection pipeline using reproducible preprocessing and engineered executable features.</w:t>
      </w:r>
    </w:p>
    <w:p w14:paraId="54173B28">
      <w:pPr>
        <w:pStyle w:val="23"/>
        <w:spacing w:after="50" w:line="240" w:lineRule="auto"/>
      </w:pPr>
      <w:r>
        <w:rPr>
          <w:rFonts w:ascii="Times New Roman" w:hAnsi="Times New Roman" w:eastAsia="Times New Roman"/>
          <w:sz w:val="18"/>
        </w:rPr>
        <w:t>Compare multiple baseline ML models using security-relevant evaluation metrics.</w:t>
      </w:r>
    </w:p>
    <w:p w14:paraId="3400155C">
      <w:pPr>
        <w:pStyle w:val="23"/>
        <w:spacing w:after="50" w:line="240" w:lineRule="auto"/>
      </w:pPr>
      <w:r>
        <w:rPr>
          <w:rFonts w:ascii="Times New Roman" w:hAnsi="Times New Roman" w:eastAsia="Times New Roman"/>
          <w:sz w:val="18"/>
        </w:rPr>
        <w:t>Generate local explanations for individual predictions using SHAP or an equivalent feature-attribution method.</w:t>
      </w:r>
    </w:p>
    <w:p w14:paraId="2A36B0F4">
      <w:pPr>
        <w:pStyle w:val="23"/>
        <w:spacing w:after="50" w:line="240" w:lineRule="auto"/>
      </w:pPr>
      <w:r>
        <w:rPr>
          <w:rFonts w:ascii="Times New Roman" w:hAnsi="Times New Roman" w:eastAsia="Times New Roman"/>
          <w:sz w:val="18"/>
        </w:rPr>
        <w:t>Enrich predictions with available hash/reputation threat-intelligence context.</w:t>
      </w:r>
    </w:p>
    <w:p w14:paraId="1AEFBE77">
      <w:pPr>
        <w:pStyle w:val="23"/>
        <w:spacing w:after="50" w:line="240" w:lineRule="auto"/>
      </w:pPr>
      <w:r>
        <w:rPr>
          <w:rFonts w:ascii="Times New Roman" w:hAnsi="Times New Roman" w:eastAsia="Times New Roman"/>
          <w:sz w:val="18"/>
        </w:rPr>
        <w:t>Map combined evidence to Low, Medium, High and Critical risk categories using an explicit and documented scoring policy.</w:t>
      </w:r>
    </w:p>
    <w:p w14:paraId="53E2DDDD">
      <w:pPr>
        <w:pStyle w:val="23"/>
        <w:spacing w:after="50" w:line="240" w:lineRule="auto"/>
      </w:pPr>
      <w:r>
        <w:rPr>
          <w:rFonts w:ascii="Times New Roman" w:hAnsi="Times New Roman" w:eastAsia="Times New Roman"/>
          <w:sz w:val="18"/>
        </w:rPr>
        <w:t>Provide an analyst-oriented dashboard/report and evaluate the complete framework for predictive performance, interpretability and robustness.</w:t>
      </w:r>
    </w:p>
    <w:p w14:paraId="7871B0CD">
      <w:pPr>
        <w:pStyle w:val="3"/>
      </w:pPr>
      <w:r>
        <w:rPr>
          <w:rFonts w:ascii="Times New Roman" w:hAnsi="Times New Roman" w:eastAsia="Times New Roman"/>
        </w:rPr>
        <w:t>1.5 Research Questions</w:t>
      </w:r>
    </w:p>
    <w:p w14:paraId="5E67B2EC">
      <w:pPr>
        <w:pStyle w:val="29"/>
        <w:spacing w:after="50" w:line="240" w:lineRule="auto"/>
      </w:pPr>
      <w:r>
        <w:rPr>
          <w:rFonts w:ascii="Times New Roman" w:hAnsi="Times New Roman" w:eastAsia="Times New Roman"/>
          <w:sz w:val="18"/>
        </w:rPr>
        <w:t>RQ1: How accurately can static PE features classify Windows executables as malicious or benign under a time-separated evaluation?</w:t>
      </w:r>
    </w:p>
    <w:p w14:paraId="27985DD1">
      <w:pPr>
        <w:pStyle w:val="29"/>
        <w:spacing w:after="50" w:line="240" w:lineRule="auto"/>
      </w:pPr>
      <w:r>
        <w:rPr>
          <w:rFonts w:ascii="Times New Roman" w:hAnsi="Times New Roman" w:eastAsia="Times New Roman"/>
          <w:sz w:val="18"/>
        </w:rPr>
        <w:t>RQ2: Which baseline ML model provides the best trade-off among accuracy, precision, recall, F1, false-positive rate and false-negative rate?</w:t>
      </w:r>
    </w:p>
    <w:p w14:paraId="21CD84F3">
      <w:pPr>
        <w:pStyle w:val="29"/>
        <w:spacing w:after="50" w:line="240" w:lineRule="auto"/>
      </w:pPr>
      <w:r>
        <w:rPr>
          <w:rFonts w:ascii="Times New Roman" w:hAnsi="Times New Roman" w:eastAsia="Times New Roman"/>
          <w:sz w:val="18"/>
        </w:rPr>
        <w:t>RQ3: Which static feature groups contribute most to individual malware predictions?</w:t>
      </w:r>
    </w:p>
    <w:p w14:paraId="7E22DC27">
      <w:pPr>
        <w:pStyle w:val="29"/>
        <w:spacing w:after="50" w:line="240" w:lineRule="auto"/>
      </w:pPr>
      <w:r>
        <w:rPr>
          <w:rFonts w:ascii="Times New Roman" w:hAnsi="Times New Roman" w:eastAsia="Times New Roman"/>
          <w:sz w:val="18"/>
        </w:rPr>
        <w:t>RQ4: Can local feature attribution provide explanations that are sufficiently concise and actionable for an analyst?</w:t>
      </w:r>
    </w:p>
    <w:p w14:paraId="0957DEB5">
      <w:pPr>
        <w:pStyle w:val="29"/>
        <w:spacing w:after="50" w:line="240" w:lineRule="auto"/>
      </w:pPr>
      <w:r>
        <w:rPr>
          <w:rFonts w:ascii="Times New Roman" w:hAnsi="Times New Roman" w:eastAsia="Times New Roman"/>
          <w:sz w:val="18"/>
        </w:rPr>
        <w:t>RQ5: How does threat-intelligence enrichment affect the contextual interpretation and prioritization of model detections?</w:t>
      </w:r>
    </w:p>
    <w:p w14:paraId="2B9ADD34">
      <w:pPr>
        <w:pStyle w:val="29"/>
        <w:spacing w:after="50" w:line="240" w:lineRule="auto"/>
      </w:pPr>
      <w:r>
        <w:rPr>
          <w:rFonts w:ascii="Times New Roman" w:hAnsi="Times New Roman" w:eastAsia="Times New Roman"/>
          <w:sz w:val="18"/>
        </w:rPr>
        <w:t>RQ6: How sensitive is the detection pipeline to packing and obfuscation, and which components of the framework remain stable under such transformations?</w:t>
      </w:r>
    </w:p>
    <w:p w14:paraId="7E9C67C5">
      <w:pPr>
        <w:pStyle w:val="3"/>
      </w:pPr>
      <w:r>
        <w:rPr>
          <w:rFonts w:ascii="Times New Roman" w:hAnsi="Times New Roman" w:eastAsia="Times New Roman"/>
        </w:rPr>
        <w:t>1.6 Contributions</w:t>
      </w:r>
    </w:p>
    <w:p w14:paraId="6E618A81">
      <w:pPr>
        <w:pStyle w:val="23"/>
        <w:spacing w:after="50" w:line="240" w:lineRule="auto"/>
      </w:pPr>
      <w:r>
        <w:rPr>
          <w:rFonts w:ascii="Times New Roman" w:hAnsi="Times New Roman" w:eastAsia="Times New Roman"/>
          <w:sz w:val="18"/>
        </w:rPr>
        <w:t>A unified architecture combining static PE detection, XAI, threat intelligence and risk scoring.</w:t>
      </w:r>
    </w:p>
    <w:p w14:paraId="39A8DBB2">
      <w:pPr>
        <w:pStyle w:val="23"/>
        <w:spacing w:after="50" w:line="240" w:lineRule="auto"/>
      </w:pPr>
      <w:r>
        <w:rPr>
          <w:rFonts w:ascii="Times New Roman" w:hAnsi="Times New Roman" w:eastAsia="Times New Roman"/>
          <w:sz w:val="18"/>
        </w:rPr>
        <w:t>A temporally aware experimental protocol centered on EMBER2024 Win32/Win64 data.</w:t>
      </w:r>
    </w:p>
    <w:p w14:paraId="107F3903">
      <w:pPr>
        <w:pStyle w:val="23"/>
        <w:spacing w:after="50" w:line="240" w:lineRule="auto"/>
      </w:pPr>
      <w:r>
        <w:rPr>
          <w:rFonts w:ascii="Times New Roman" w:hAnsi="Times New Roman" w:eastAsia="Times New Roman"/>
          <w:sz w:val="18"/>
        </w:rPr>
        <w:t>A feature engineering and baseline-model design grounded in published static PE malware studies.</w:t>
      </w:r>
    </w:p>
    <w:p w14:paraId="197D8B44">
      <w:pPr>
        <w:pStyle w:val="23"/>
        <w:spacing w:after="50" w:line="240" w:lineRule="auto"/>
      </w:pPr>
      <w:r>
        <w:rPr>
          <w:rFonts w:ascii="Times New Roman" w:hAnsi="Times New Roman" w:eastAsia="Times New Roman"/>
          <w:sz w:val="18"/>
        </w:rPr>
        <w:t>An analyst-facing explanation and reporting layer intended to bridge predictive output and security decision-making.</w:t>
      </w:r>
    </w:p>
    <w:p w14:paraId="2A53E317">
      <w:pPr>
        <w:pStyle w:val="23"/>
        <w:spacing w:after="50" w:line="240" w:lineRule="auto"/>
      </w:pPr>
      <w:r>
        <w:rPr>
          <w:rFonts w:ascii="Times New Roman" w:hAnsi="Times New Roman" w:eastAsia="Times New Roman"/>
          <w:sz w:val="18"/>
        </w:rPr>
        <w:t>A reproducible evaluation plan that explicitly separates literature benchmarks from XMalGuard measurements and defines the missing analyses required for final validation.</w:t>
      </w:r>
    </w:p>
    <w:p w14:paraId="338F4921">
      <w:pPr>
        <w:pStyle w:val="3"/>
      </w:pPr>
      <w:r>
        <w:rPr>
          <w:rFonts w:ascii="Times New Roman" w:hAnsi="Times New Roman" w:eastAsia="Times New Roman"/>
        </w:rPr>
        <w:t>1.7 Organization of the Paper</w:t>
      </w:r>
    </w:p>
    <w:p w14:paraId="55127667">
      <w:pPr>
        <w:spacing w:after="50" w:line="240" w:lineRule="auto"/>
        <w:jc w:val="both"/>
      </w:pPr>
      <w:r>
        <w:rPr>
          <w:rFonts w:ascii="Times New Roman" w:hAnsi="Times New Roman" w:eastAsia="Times New Roman"/>
          <w:sz w:val="18"/>
        </w:rPr>
        <w:t>Section 2 reviews related work. Section 3 describes the system model, methodology and algorithm. Section 4 documents the experimental setup and reproducibility protocol. Section 5 presents the evaluation structure and identifies the numerical artifacts that must be attached to substantiate the team-reported evaluation. Section 6 discusses the framework in relation to prior work, Section 7 describes limitations, and Section 8 concludes with further research directions.</w:t>
      </w:r>
    </w:p>
    <w:p w14:paraId="4CD3D40A">
      <w:pPr>
        <w:pStyle w:val="2"/>
      </w:pPr>
      <w:r>
        <w:rPr>
          <w:rFonts w:ascii="Times New Roman" w:hAnsi="Times New Roman" w:eastAsia="Times New Roman"/>
        </w:rPr>
        <w:t>2. RELATED WORK</w:t>
      </w:r>
    </w:p>
    <w:p w14:paraId="095EEA53">
      <w:pPr>
        <w:pStyle w:val="3"/>
      </w:pPr>
      <w:r>
        <w:rPr>
          <w:rFonts w:ascii="Times New Roman" w:hAnsi="Times New Roman" w:eastAsia="Times New Roman"/>
        </w:rPr>
        <w:t>2.1 Existing Approaches</w:t>
      </w:r>
    </w:p>
    <w:p w14:paraId="74F9D469">
      <w:pPr>
        <w:spacing w:after="50" w:line="240" w:lineRule="auto"/>
        <w:jc w:val="both"/>
      </w:pPr>
      <w:r>
        <w:rPr>
          <w:rFonts w:ascii="Times New Roman" w:hAnsi="Times New Roman" w:eastAsia="Times New Roman"/>
          <w:sz w:val="18"/>
        </w:rPr>
        <w:t>Malware detection research spans signature-based, heuristic, static, dynamic and hybrid approaches. Static ML approaches construct a feature representation without executing the binary, while dynamic approaches derive evidence from runtime behavior. Surveys consistently show that the choice of representation, feature selection, classifier, evaluation protocol and dataset strongly affects reported results [5], [7], [13], [19], [22], [23]. Early static ML systems used byte n-grams and other lexical representations; Kolter and Maloof showed that boosted decision trees could achieve strong discrimination on executable data [21]. Opcode-based representations provided another static representation for unknown-malware detection [29].</w:t>
      </w:r>
    </w:p>
    <w:p w14:paraId="73A282EC">
      <w:pPr>
        <w:spacing w:after="50" w:line="240" w:lineRule="auto"/>
        <w:jc w:val="both"/>
      </w:pPr>
      <w:r>
        <w:rPr>
          <w:rFonts w:ascii="Times New Roman" w:hAnsi="Times New Roman" w:eastAsia="Times New Roman"/>
          <w:sz w:val="18"/>
        </w:rPr>
        <w:t>More recent approaches increasingly use PE-specific metadata. Yousuf et al. combined imported DLL/API information with 52 PE-header and 100 PE-section attributes and evaluated seven ML classifiers and three ensemble methods [10]. Azeez et al. investigated ensemble learning for Windows PE malware and reported strong performance for Random Forest [1]. Moon et al. focused on compact feature hashing to reduce the memory requirements of high-dimensional PE representations [3]. These studies motivate a feature-based, resource-conscious baseline for XMalGuard.</w:t>
      </w:r>
    </w:p>
    <w:p w14:paraId="4803E7C6">
      <w:pPr>
        <w:pStyle w:val="3"/>
      </w:pPr>
      <w:r>
        <w:rPr>
          <w:rFonts w:ascii="Times New Roman" w:hAnsi="Times New Roman" w:eastAsia="Times New Roman"/>
        </w:rPr>
        <w:t>2.2 Machine Learning Approaches</w:t>
      </w:r>
    </w:p>
    <w:p w14:paraId="2551BED5">
      <w:pPr>
        <w:spacing w:after="50" w:line="240" w:lineRule="auto"/>
        <w:jc w:val="both"/>
      </w:pPr>
      <w:r>
        <w:rPr>
          <w:rFonts w:ascii="Times New Roman" w:hAnsi="Times New Roman" w:eastAsia="Times New Roman"/>
          <w:sz w:val="18"/>
        </w:rPr>
        <w:t>Classical ML remains important because PE malware features can be represented as tabular vectors and trained with comparatively modest computational resources. Decision trees, Random Forest, gradient boosting, support vector machines, k-nearest neighbors and probabilistic classifiers have all been explored [1], [10], [11]. Ensemble methods can improve predictive performance by combining complementary learners, although they may complicate interpretation and increase model complexity [1], [10].</w:t>
      </w:r>
    </w:p>
    <w:p w14:paraId="08835BC0">
      <w:pPr>
        <w:spacing w:after="50" w:line="240" w:lineRule="auto"/>
        <w:jc w:val="both"/>
      </w:pPr>
      <w:r>
        <w:rPr>
          <w:rFonts w:ascii="Times New Roman" w:hAnsi="Times New Roman" w:eastAsia="Times New Roman"/>
          <w:sz w:val="18"/>
        </w:rPr>
        <w:t>Yousuf et al. provide a particularly relevant benchmark because their study combines several PE feature families, seven classifiers and three ensemble techniques, and additionally evaluates Information Gain and Principal Component Analysis [10]. Their reported best stacking result reached 99.50% accuracy with an F-score of 0.998, while Random Forest reached 99.36% accuracy. These figures illustrate the high performance possible under a particular dataset and experimental protocol, but they should not be transferred directly to XMalGuard because datasets, time periods, features and validation procedures differ.</w:t>
      </w:r>
    </w:p>
    <w:p w14:paraId="63A2EC8A">
      <w:pPr>
        <w:pStyle w:val="3"/>
      </w:pPr>
      <w:r>
        <w:rPr>
          <w:rFonts w:ascii="Times New Roman" w:hAnsi="Times New Roman" w:eastAsia="Times New Roman"/>
        </w:rPr>
        <w:t>2.3 Deep Learning Approaches</w:t>
      </w:r>
    </w:p>
    <w:p w14:paraId="6C5B2639">
      <w:pPr>
        <w:spacing w:after="50" w:line="240" w:lineRule="auto"/>
        <w:jc w:val="both"/>
      </w:pPr>
      <w:r>
        <w:rPr>
          <w:rFonts w:ascii="Times New Roman" w:hAnsi="Times New Roman" w:eastAsia="Times New Roman"/>
          <w:sz w:val="18"/>
        </w:rPr>
        <w:t>Deep learning has been used to learn representations directly from PE structure, raw bytes or assembly. Saxe and Berlin demonstrated a deep neural network operating on binary program representations at large scale [24]. Raff et al. investigated learning from PE-header information with minimal domain knowledge [25]. The EMBER benchmark paper compared a gradient-boosted tree baseline with MalConv and highlighted the importance of a large, open benchmark [20]. DeepMalNet evaluated shallow and deep networks on EMBER and found strong performance from deeper configurations under its experimental setup [30].</w:t>
      </w:r>
    </w:p>
    <w:p w14:paraId="11B11C25">
      <w:pPr>
        <w:spacing w:after="50" w:line="240" w:lineRule="auto"/>
        <w:jc w:val="both"/>
      </w:pPr>
      <w:r>
        <w:rPr>
          <w:rFonts w:ascii="Times New Roman" w:hAnsi="Times New Roman" w:eastAsia="Times New Roman"/>
          <w:sz w:val="18"/>
        </w:rPr>
        <w:t>I-MAD extends deep learning toward interpretability by using a Galaxy Transformer to model assembly semantics and an interpretable feed-forward component to quantify feature impact [2]. Other deep-learning studies have explored malware and intrusion detection more broadly [7], while systematic reviews emphasize the trade-off among performance, computational cost and transparency [13], [14], [19]. XMalGuard does not claim a new deep architecture; instead, it uses conventional ML as a transparent and reproducible baseline and adds an explicit explanation and threat-context layer.</w:t>
      </w:r>
    </w:p>
    <w:p w14:paraId="7DE32831">
      <w:pPr>
        <w:pStyle w:val="3"/>
      </w:pPr>
      <w:r>
        <w:rPr>
          <w:rFonts w:ascii="Times New Roman" w:hAnsi="Times New Roman" w:eastAsia="Times New Roman"/>
        </w:rPr>
        <w:t>2.4 Explainability / Existing Techniques</w:t>
      </w:r>
    </w:p>
    <w:p w14:paraId="0C84C783">
      <w:pPr>
        <w:spacing w:after="50" w:line="240" w:lineRule="auto"/>
        <w:jc w:val="both"/>
      </w:pPr>
      <w:r>
        <w:rPr>
          <w:rFonts w:ascii="Times New Roman" w:hAnsi="Times New Roman" w:eastAsia="Times New Roman"/>
          <w:sz w:val="18"/>
        </w:rPr>
        <w:t>Interpretability is increasingly important in security because analysts must understand why an automated system generated an alert. I-MAD demonstrates one route to interpretability by constructing a model that reports the impact of features relative to a prediction [2]. Recent XAI surveys organize methods for malware analysis and identify transparency, feature attribution and operational usefulness as open challenges [16]. XMalGuard adopts SHAP-style local feature attribution because it can be applied to a trained model and can produce a ranked explanation for an individual sample.</w:t>
      </w:r>
    </w:p>
    <w:p w14:paraId="3EAAA902">
      <w:pPr>
        <w:spacing w:after="50" w:line="240" w:lineRule="auto"/>
        <w:jc w:val="both"/>
      </w:pPr>
      <w:r>
        <w:rPr>
          <w:rFonts w:ascii="Times New Roman" w:hAnsi="Times New Roman" w:eastAsia="Times New Roman"/>
          <w:sz w:val="18"/>
        </w:rPr>
        <w:t>However, explainability must be treated carefully. An attribution indicates how the model used the supplied features; it does not prove causality or establish what the malware author intended. Therefore, XMalGuard treats explanations as decision-support evidence rather than as ground-truth causal statements.</w:t>
      </w:r>
    </w:p>
    <w:p w14:paraId="3DE8FD0C">
      <w:pPr>
        <w:pStyle w:val="3"/>
      </w:pPr>
      <w:r>
        <w:rPr>
          <w:rFonts w:ascii="Times New Roman" w:hAnsi="Times New Roman" w:eastAsia="Times New Roman"/>
        </w:rPr>
        <w:t>2.5 Critical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912"/>
        <w:gridCol w:w="634"/>
        <w:gridCol w:w="806"/>
        <w:gridCol w:w="1242"/>
      </w:tblGrid>
      <w:tr w14:paraId="6130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shd w:val="clear" w:color="auto" w:fill="D9EAF7"/>
            <w:vAlign w:val="center"/>
          </w:tcPr>
          <w:p w14:paraId="31672C66">
            <w:pPr>
              <w:spacing w:after="20" w:line="240" w:lineRule="auto"/>
              <w:jc w:val="left"/>
            </w:pPr>
            <w:r>
              <w:rPr>
                <w:rFonts w:ascii="Times New Roman" w:hAnsi="Times New Roman" w:eastAsia="Times New Roman"/>
                <w:b/>
                <w:sz w:val="15"/>
              </w:rPr>
              <w:t>Study / approach</w:t>
            </w:r>
          </w:p>
        </w:tc>
        <w:tc>
          <w:tcPr>
            <w:tcW w:w="1949" w:type="dxa"/>
            <w:shd w:val="clear" w:color="auto" w:fill="D9EAF7"/>
            <w:vAlign w:val="center"/>
          </w:tcPr>
          <w:p w14:paraId="1EF446C9">
            <w:pPr>
              <w:spacing w:after="20" w:line="240" w:lineRule="auto"/>
              <w:jc w:val="left"/>
            </w:pPr>
            <w:r>
              <w:rPr>
                <w:rFonts w:ascii="Times New Roman" w:hAnsi="Times New Roman" w:eastAsia="Times New Roman"/>
                <w:b/>
                <w:sz w:val="15"/>
              </w:rPr>
              <w:t>Static detection</w:t>
            </w:r>
          </w:p>
        </w:tc>
        <w:tc>
          <w:tcPr>
            <w:tcW w:w="1949" w:type="dxa"/>
            <w:shd w:val="clear" w:color="auto" w:fill="D9EAF7"/>
            <w:vAlign w:val="center"/>
          </w:tcPr>
          <w:p w14:paraId="2A0A81AE">
            <w:pPr>
              <w:spacing w:after="20" w:line="240" w:lineRule="auto"/>
              <w:jc w:val="left"/>
            </w:pPr>
            <w:r>
              <w:rPr>
                <w:rFonts w:ascii="Times New Roman" w:hAnsi="Times New Roman" w:eastAsia="Times New Roman"/>
                <w:b/>
                <w:sz w:val="15"/>
              </w:rPr>
              <w:t>XAI</w:t>
            </w:r>
          </w:p>
        </w:tc>
        <w:tc>
          <w:tcPr>
            <w:tcW w:w="1949" w:type="dxa"/>
            <w:shd w:val="clear" w:color="auto" w:fill="D9EAF7"/>
            <w:vAlign w:val="center"/>
          </w:tcPr>
          <w:p w14:paraId="20F285D1">
            <w:pPr>
              <w:spacing w:after="20" w:line="240" w:lineRule="auto"/>
              <w:jc w:val="left"/>
            </w:pPr>
            <w:r>
              <w:rPr>
                <w:rFonts w:ascii="Times New Roman" w:hAnsi="Times New Roman" w:eastAsia="Times New Roman"/>
                <w:b/>
                <w:sz w:val="15"/>
              </w:rPr>
              <w:t>Threat context</w:t>
            </w:r>
          </w:p>
        </w:tc>
        <w:tc>
          <w:tcPr>
            <w:tcW w:w="1949" w:type="dxa"/>
            <w:shd w:val="clear" w:color="auto" w:fill="D9EAF7"/>
            <w:vAlign w:val="center"/>
          </w:tcPr>
          <w:p w14:paraId="74CBB04F">
            <w:pPr>
              <w:spacing w:after="20" w:line="240" w:lineRule="auto"/>
              <w:jc w:val="left"/>
            </w:pPr>
            <w:r>
              <w:rPr>
                <w:rFonts w:ascii="Times New Roman" w:hAnsi="Times New Roman" w:eastAsia="Times New Roman"/>
                <w:b/>
                <w:sz w:val="15"/>
              </w:rPr>
              <w:t>Key relevance to XMalGuard</w:t>
            </w:r>
          </w:p>
        </w:tc>
      </w:tr>
      <w:tr w14:paraId="7B7A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6A052A8B">
            <w:pPr>
              <w:spacing w:after="20" w:line="240" w:lineRule="auto"/>
              <w:jc w:val="left"/>
            </w:pPr>
            <w:r>
              <w:rPr>
                <w:rFonts w:ascii="Times New Roman" w:hAnsi="Times New Roman" w:eastAsia="Times New Roman"/>
                <w:b w:val="0"/>
                <w:sz w:val="15"/>
              </w:rPr>
              <w:t>Azeez et al. [1]</w:t>
            </w:r>
          </w:p>
        </w:tc>
        <w:tc>
          <w:tcPr>
            <w:tcW w:w="1949" w:type="dxa"/>
            <w:vAlign w:val="center"/>
          </w:tcPr>
          <w:p w14:paraId="77428B93">
            <w:pPr>
              <w:spacing w:after="20" w:line="240" w:lineRule="auto"/>
              <w:jc w:val="left"/>
            </w:pPr>
            <w:r>
              <w:rPr>
                <w:rFonts w:ascii="Times New Roman" w:hAnsi="Times New Roman" w:eastAsia="Times New Roman"/>
                <w:b w:val="0"/>
                <w:sz w:val="15"/>
              </w:rPr>
              <w:t>✓</w:t>
            </w:r>
          </w:p>
        </w:tc>
        <w:tc>
          <w:tcPr>
            <w:tcW w:w="1949" w:type="dxa"/>
            <w:vAlign w:val="center"/>
          </w:tcPr>
          <w:p w14:paraId="294B9B6D">
            <w:pPr>
              <w:spacing w:after="20" w:line="240" w:lineRule="auto"/>
              <w:jc w:val="left"/>
            </w:pPr>
            <w:r>
              <w:rPr>
                <w:rFonts w:ascii="Times New Roman" w:hAnsi="Times New Roman" w:eastAsia="Times New Roman"/>
                <w:b w:val="0"/>
                <w:sz w:val="15"/>
              </w:rPr>
              <w:t>—</w:t>
            </w:r>
          </w:p>
        </w:tc>
        <w:tc>
          <w:tcPr>
            <w:tcW w:w="1949" w:type="dxa"/>
            <w:vAlign w:val="center"/>
          </w:tcPr>
          <w:p w14:paraId="51D4C46D">
            <w:pPr>
              <w:spacing w:after="20" w:line="240" w:lineRule="auto"/>
              <w:jc w:val="left"/>
            </w:pPr>
            <w:r>
              <w:rPr>
                <w:rFonts w:ascii="Times New Roman" w:hAnsi="Times New Roman" w:eastAsia="Times New Roman"/>
                <w:b w:val="0"/>
                <w:sz w:val="15"/>
              </w:rPr>
              <w:t>—</w:t>
            </w:r>
          </w:p>
        </w:tc>
        <w:tc>
          <w:tcPr>
            <w:tcW w:w="1949" w:type="dxa"/>
            <w:vAlign w:val="center"/>
          </w:tcPr>
          <w:p w14:paraId="6E9065B6">
            <w:pPr>
              <w:spacing w:after="20" w:line="240" w:lineRule="auto"/>
              <w:jc w:val="left"/>
            </w:pPr>
            <w:r>
              <w:rPr>
                <w:rFonts w:ascii="Times New Roman" w:hAnsi="Times New Roman" w:eastAsia="Times New Roman"/>
                <w:b w:val="0"/>
                <w:sz w:val="15"/>
              </w:rPr>
              <w:t>Ensemble/static PE benchmark</w:t>
            </w:r>
          </w:p>
        </w:tc>
      </w:tr>
      <w:tr w14:paraId="5C4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5E5C3E42">
            <w:pPr>
              <w:spacing w:after="20" w:line="240" w:lineRule="auto"/>
              <w:jc w:val="left"/>
            </w:pPr>
            <w:r>
              <w:rPr>
                <w:rFonts w:ascii="Times New Roman" w:hAnsi="Times New Roman" w:eastAsia="Times New Roman"/>
                <w:b w:val="0"/>
                <w:sz w:val="15"/>
              </w:rPr>
              <w:t>Yousuf et al. [10]</w:t>
            </w:r>
          </w:p>
        </w:tc>
        <w:tc>
          <w:tcPr>
            <w:tcW w:w="1949" w:type="dxa"/>
            <w:vAlign w:val="center"/>
          </w:tcPr>
          <w:p w14:paraId="18777101">
            <w:pPr>
              <w:spacing w:after="20" w:line="240" w:lineRule="auto"/>
              <w:jc w:val="left"/>
            </w:pPr>
            <w:r>
              <w:rPr>
                <w:rFonts w:ascii="Times New Roman" w:hAnsi="Times New Roman" w:eastAsia="Times New Roman"/>
                <w:b w:val="0"/>
                <w:sz w:val="15"/>
              </w:rPr>
              <w:t>✓</w:t>
            </w:r>
          </w:p>
        </w:tc>
        <w:tc>
          <w:tcPr>
            <w:tcW w:w="1949" w:type="dxa"/>
            <w:vAlign w:val="center"/>
          </w:tcPr>
          <w:p w14:paraId="38E5D29F">
            <w:pPr>
              <w:spacing w:after="20" w:line="240" w:lineRule="auto"/>
              <w:jc w:val="left"/>
            </w:pPr>
            <w:r>
              <w:rPr>
                <w:rFonts w:ascii="Times New Roman" w:hAnsi="Times New Roman" w:eastAsia="Times New Roman"/>
                <w:b w:val="0"/>
                <w:sz w:val="15"/>
              </w:rPr>
              <w:t>—</w:t>
            </w:r>
          </w:p>
        </w:tc>
        <w:tc>
          <w:tcPr>
            <w:tcW w:w="1949" w:type="dxa"/>
            <w:vAlign w:val="center"/>
          </w:tcPr>
          <w:p w14:paraId="38B361E8">
            <w:pPr>
              <w:spacing w:after="20" w:line="240" w:lineRule="auto"/>
              <w:jc w:val="left"/>
            </w:pPr>
            <w:r>
              <w:rPr>
                <w:rFonts w:ascii="Times New Roman" w:hAnsi="Times New Roman" w:eastAsia="Times New Roman"/>
                <w:b w:val="0"/>
                <w:sz w:val="15"/>
              </w:rPr>
              <w:t>—</w:t>
            </w:r>
          </w:p>
        </w:tc>
        <w:tc>
          <w:tcPr>
            <w:tcW w:w="1949" w:type="dxa"/>
            <w:vAlign w:val="center"/>
          </w:tcPr>
          <w:p w14:paraId="530F19F1">
            <w:pPr>
              <w:spacing w:after="20" w:line="240" w:lineRule="auto"/>
              <w:jc w:val="left"/>
            </w:pPr>
            <w:r>
              <w:rPr>
                <w:rFonts w:ascii="Times New Roman" w:hAnsi="Times New Roman" w:eastAsia="Times New Roman"/>
                <w:b w:val="0"/>
                <w:sz w:val="15"/>
              </w:rPr>
              <w:t>Multiple PE feature groups + ensembles</w:t>
            </w:r>
          </w:p>
        </w:tc>
      </w:tr>
      <w:tr w14:paraId="28F4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11014120">
            <w:pPr>
              <w:spacing w:after="20" w:line="240" w:lineRule="auto"/>
              <w:jc w:val="left"/>
            </w:pPr>
            <w:r>
              <w:rPr>
                <w:rFonts w:ascii="Times New Roman" w:hAnsi="Times New Roman" w:eastAsia="Times New Roman"/>
                <w:b w:val="0"/>
                <w:sz w:val="15"/>
              </w:rPr>
              <w:t>I-MAD [2]</w:t>
            </w:r>
          </w:p>
        </w:tc>
        <w:tc>
          <w:tcPr>
            <w:tcW w:w="1949" w:type="dxa"/>
            <w:vAlign w:val="center"/>
          </w:tcPr>
          <w:p w14:paraId="4E920D3E">
            <w:pPr>
              <w:spacing w:after="20" w:line="240" w:lineRule="auto"/>
              <w:jc w:val="left"/>
            </w:pPr>
            <w:r>
              <w:rPr>
                <w:rFonts w:ascii="Times New Roman" w:hAnsi="Times New Roman" w:eastAsia="Times New Roman"/>
                <w:b w:val="0"/>
                <w:sz w:val="15"/>
              </w:rPr>
              <w:t>✓</w:t>
            </w:r>
          </w:p>
        </w:tc>
        <w:tc>
          <w:tcPr>
            <w:tcW w:w="1949" w:type="dxa"/>
            <w:vAlign w:val="center"/>
          </w:tcPr>
          <w:p w14:paraId="00A159D2">
            <w:pPr>
              <w:spacing w:after="20" w:line="240" w:lineRule="auto"/>
              <w:jc w:val="left"/>
            </w:pPr>
            <w:r>
              <w:rPr>
                <w:rFonts w:ascii="Times New Roman" w:hAnsi="Times New Roman" w:eastAsia="Times New Roman"/>
                <w:b w:val="0"/>
                <w:sz w:val="15"/>
              </w:rPr>
              <w:t>✓</w:t>
            </w:r>
          </w:p>
        </w:tc>
        <w:tc>
          <w:tcPr>
            <w:tcW w:w="1949" w:type="dxa"/>
            <w:vAlign w:val="center"/>
          </w:tcPr>
          <w:p w14:paraId="44A42684">
            <w:pPr>
              <w:spacing w:after="20" w:line="240" w:lineRule="auto"/>
              <w:jc w:val="left"/>
            </w:pPr>
            <w:r>
              <w:rPr>
                <w:rFonts w:ascii="Times New Roman" w:hAnsi="Times New Roman" w:eastAsia="Times New Roman"/>
                <w:b w:val="0"/>
                <w:sz w:val="15"/>
              </w:rPr>
              <w:t>—</w:t>
            </w:r>
          </w:p>
        </w:tc>
        <w:tc>
          <w:tcPr>
            <w:tcW w:w="1949" w:type="dxa"/>
            <w:vAlign w:val="center"/>
          </w:tcPr>
          <w:p w14:paraId="3D012B14">
            <w:pPr>
              <w:spacing w:after="20" w:line="240" w:lineRule="auto"/>
              <w:jc w:val="left"/>
            </w:pPr>
            <w:r>
              <w:rPr>
                <w:rFonts w:ascii="Times New Roman" w:hAnsi="Times New Roman" w:eastAsia="Times New Roman"/>
                <w:b w:val="0"/>
                <w:sz w:val="15"/>
              </w:rPr>
              <w:t>Interpretable malware prediction</w:t>
            </w:r>
          </w:p>
        </w:tc>
      </w:tr>
      <w:tr w14:paraId="02E2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78C5018D">
            <w:pPr>
              <w:spacing w:after="20" w:line="240" w:lineRule="auto"/>
              <w:jc w:val="left"/>
            </w:pPr>
            <w:r>
              <w:rPr>
                <w:rFonts w:ascii="Times New Roman" w:hAnsi="Times New Roman" w:eastAsia="Times New Roman"/>
                <w:b w:val="0"/>
                <w:sz w:val="15"/>
              </w:rPr>
              <w:t>XMal survey [8]</w:t>
            </w:r>
          </w:p>
        </w:tc>
        <w:tc>
          <w:tcPr>
            <w:tcW w:w="1949" w:type="dxa"/>
            <w:vAlign w:val="center"/>
          </w:tcPr>
          <w:p w14:paraId="5D193504">
            <w:pPr>
              <w:spacing w:after="20" w:line="240" w:lineRule="auto"/>
              <w:jc w:val="left"/>
            </w:pPr>
            <w:r>
              <w:rPr>
                <w:rFonts w:ascii="Times New Roman" w:hAnsi="Times New Roman" w:eastAsia="Times New Roman"/>
                <w:b w:val="0"/>
                <w:sz w:val="15"/>
              </w:rPr>
              <w:t>—*</w:t>
            </w:r>
          </w:p>
        </w:tc>
        <w:tc>
          <w:tcPr>
            <w:tcW w:w="1949" w:type="dxa"/>
            <w:vAlign w:val="center"/>
          </w:tcPr>
          <w:p w14:paraId="4E22D7A1">
            <w:pPr>
              <w:spacing w:after="20" w:line="240" w:lineRule="auto"/>
              <w:jc w:val="left"/>
            </w:pPr>
            <w:r>
              <w:rPr>
                <w:rFonts w:ascii="Times New Roman" w:hAnsi="Times New Roman" w:eastAsia="Times New Roman"/>
                <w:b w:val="0"/>
                <w:sz w:val="15"/>
              </w:rPr>
              <w:t>✓</w:t>
            </w:r>
          </w:p>
        </w:tc>
        <w:tc>
          <w:tcPr>
            <w:tcW w:w="1949" w:type="dxa"/>
            <w:vAlign w:val="center"/>
          </w:tcPr>
          <w:p w14:paraId="12F3DFE0">
            <w:pPr>
              <w:spacing w:after="20" w:line="240" w:lineRule="auto"/>
              <w:jc w:val="left"/>
            </w:pPr>
            <w:r>
              <w:rPr>
                <w:rFonts w:ascii="Times New Roman" w:hAnsi="Times New Roman" w:eastAsia="Times New Roman"/>
                <w:b w:val="0"/>
                <w:sz w:val="15"/>
              </w:rPr>
              <w:t>—</w:t>
            </w:r>
          </w:p>
        </w:tc>
        <w:tc>
          <w:tcPr>
            <w:tcW w:w="1949" w:type="dxa"/>
            <w:vAlign w:val="center"/>
          </w:tcPr>
          <w:p w14:paraId="77D02CCD">
            <w:pPr>
              <w:spacing w:after="20" w:line="240" w:lineRule="auto"/>
              <w:jc w:val="left"/>
            </w:pPr>
            <w:r>
              <w:rPr>
                <w:rFonts w:ascii="Times New Roman" w:hAnsi="Times New Roman" w:eastAsia="Times New Roman"/>
                <w:b w:val="0"/>
                <w:sz w:val="15"/>
              </w:rPr>
              <w:t>Shows explainable obfuscated-malware direction</w:t>
            </w:r>
          </w:p>
        </w:tc>
      </w:tr>
      <w:tr w14:paraId="65D6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2DF6F549">
            <w:pPr>
              <w:spacing w:after="20" w:line="240" w:lineRule="auto"/>
              <w:jc w:val="left"/>
            </w:pPr>
            <w:r>
              <w:rPr>
                <w:rFonts w:ascii="Times New Roman" w:hAnsi="Times New Roman" w:eastAsia="Times New Roman"/>
                <w:b w:val="0"/>
                <w:sz w:val="15"/>
              </w:rPr>
              <w:t>XAI survey [16]</w:t>
            </w:r>
          </w:p>
        </w:tc>
        <w:tc>
          <w:tcPr>
            <w:tcW w:w="1949" w:type="dxa"/>
            <w:vAlign w:val="center"/>
          </w:tcPr>
          <w:p w14:paraId="7D6A1302">
            <w:pPr>
              <w:spacing w:after="20" w:line="240" w:lineRule="auto"/>
              <w:jc w:val="left"/>
            </w:pPr>
            <w:r>
              <w:rPr>
                <w:rFonts w:ascii="Times New Roman" w:hAnsi="Times New Roman" w:eastAsia="Times New Roman"/>
                <w:b w:val="0"/>
                <w:sz w:val="15"/>
              </w:rPr>
              <w:t>✓</w:t>
            </w:r>
          </w:p>
        </w:tc>
        <w:tc>
          <w:tcPr>
            <w:tcW w:w="1949" w:type="dxa"/>
            <w:vAlign w:val="center"/>
          </w:tcPr>
          <w:p w14:paraId="41D3F499">
            <w:pPr>
              <w:spacing w:after="20" w:line="240" w:lineRule="auto"/>
              <w:jc w:val="left"/>
            </w:pPr>
            <w:r>
              <w:rPr>
                <w:rFonts w:ascii="Times New Roman" w:hAnsi="Times New Roman" w:eastAsia="Times New Roman"/>
                <w:b w:val="0"/>
                <w:sz w:val="15"/>
              </w:rPr>
              <w:t>✓</w:t>
            </w:r>
          </w:p>
        </w:tc>
        <w:tc>
          <w:tcPr>
            <w:tcW w:w="1949" w:type="dxa"/>
            <w:vAlign w:val="center"/>
          </w:tcPr>
          <w:p w14:paraId="2BA413B4">
            <w:pPr>
              <w:spacing w:after="20" w:line="240" w:lineRule="auto"/>
              <w:jc w:val="left"/>
            </w:pPr>
            <w:r>
              <w:rPr>
                <w:rFonts w:ascii="Times New Roman" w:hAnsi="Times New Roman" w:eastAsia="Times New Roman"/>
                <w:b w:val="0"/>
                <w:sz w:val="15"/>
              </w:rPr>
              <w:t>—</w:t>
            </w:r>
          </w:p>
        </w:tc>
        <w:tc>
          <w:tcPr>
            <w:tcW w:w="1949" w:type="dxa"/>
            <w:vAlign w:val="center"/>
          </w:tcPr>
          <w:p w14:paraId="663C44DC">
            <w:pPr>
              <w:spacing w:after="20" w:line="240" w:lineRule="auto"/>
              <w:jc w:val="left"/>
            </w:pPr>
            <w:r>
              <w:rPr>
                <w:rFonts w:ascii="Times New Roman" w:hAnsi="Times New Roman" w:eastAsia="Times New Roman"/>
                <w:b w:val="0"/>
                <w:sz w:val="15"/>
              </w:rPr>
              <w:t>Taxonomy and open challenges</w:t>
            </w:r>
          </w:p>
        </w:tc>
      </w:tr>
      <w:tr w14:paraId="328B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5248E64A">
            <w:pPr>
              <w:spacing w:after="20" w:line="240" w:lineRule="auto"/>
              <w:jc w:val="left"/>
            </w:pPr>
            <w:r>
              <w:rPr>
                <w:rFonts w:ascii="Times New Roman" w:hAnsi="Times New Roman" w:eastAsia="Times New Roman"/>
                <w:b w:val="0"/>
                <w:sz w:val="15"/>
              </w:rPr>
              <w:t>EMBER2024 [17]</w:t>
            </w:r>
          </w:p>
        </w:tc>
        <w:tc>
          <w:tcPr>
            <w:tcW w:w="1949" w:type="dxa"/>
            <w:vAlign w:val="center"/>
          </w:tcPr>
          <w:p w14:paraId="2F4B702F">
            <w:pPr>
              <w:spacing w:after="20" w:line="240" w:lineRule="auto"/>
              <w:jc w:val="left"/>
            </w:pPr>
            <w:r>
              <w:rPr>
                <w:rFonts w:ascii="Times New Roman" w:hAnsi="Times New Roman" w:eastAsia="Times New Roman"/>
                <w:b w:val="0"/>
                <w:sz w:val="15"/>
              </w:rPr>
              <w:t>✓</w:t>
            </w:r>
          </w:p>
        </w:tc>
        <w:tc>
          <w:tcPr>
            <w:tcW w:w="1949" w:type="dxa"/>
            <w:vAlign w:val="center"/>
          </w:tcPr>
          <w:p w14:paraId="4777ED01">
            <w:pPr>
              <w:spacing w:after="20" w:line="240" w:lineRule="auto"/>
              <w:jc w:val="left"/>
            </w:pPr>
            <w:r>
              <w:rPr>
                <w:rFonts w:ascii="Times New Roman" w:hAnsi="Times New Roman" w:eastAsia="Times New Roman"/>
                <w:b w:val="0"/>
                <w:sz w:val="15"/>
              </w:rPr>
              <w:t>—</w:t>
            </w:r>
          </w:p>
        </w:tc>
        <w:tc>
          <w:tcPr>
            <w:tcW w:w="1949" w:type="dxa"/>
            <w:vAlign w:val="center"/>
          </w:tcPr>
          <w:p w14:paraId="799EBEC4">
            <w:pPr>
              <w:spacing w:after="20" w:line="240" w:lineRule="auto"/>
              <w:jc w:val="left"/>
            </w:pPr>
            <w:r>
              <w:rPr>
                <w:rFonts w:ascii="Times New Roman" w:hAnsi="Times New Roman" w:eastAsia="Times New Roman"/>
                <w:b w:val="0"/>
                <w:sz w:val="15"/>
              </w:rPr>
              <w:t>—</w:t>
            </w:r>
          </w:p>
        </w:tc>
        <w:tc>
          <w:tcPr>
            <w:tcW w:w="1949" w:type="dxa"/>
            <w:vAlign w:val="center"/>
          </w:tcPr>
          <w:p w14:paraId="31989083">
            <w:pPr>
              <w:spacing w:after="20" w:line="240" w:lineRule="auto"/>
              <w:jc w:val="left"/>
            </w:pPr>
            <w:r>
              <w:rPr>
                <w:rFonts w:ascii="Times New Roman" w:hAnsi="Times New Roman" w:eastAsia="Times New Roman"/>
                <w:b w:val="0"/>
                <w:sz w:val="15"/>
              </w:rPr>
              <w:t>Large, multi-format and temporally structured benchmark</w:t>
            </w:r>
          </w:p>
        </w:tc>
      </w:tr>
      <w:tr w14:paraId="3CE2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6F3DB641">
            <w:pPr>
              <w:spacing w:after="20" w:line="240" w:lineRule="auto"/>
              <w:jc w:val="left"/>
            </w:pPr>
            <w:r>
              <w:rPr>
                <w:rFonts w:ascii="Times New Roman" w:hAnsi="Times New Roman" w:eastAsia="Times New Roman"/>
                <w:b w:val="0"/>
                <w:sz w:val="15"/>
              </w:rPr>
              <w:t>Packing/robustness [18]</w:t>
            </w:r>
          </w:p>
        </w:tc>
        <w:tc>
          <w:tcPr>
            <w:tcW w:w="1949" w:type="dxa"/>
            <w:vAlign w:val="center"/>
          </w:tcPr>
          <w:p w14:paraId="76A0BFAA">
            <w:pPr>
              <w:spacing w:after="20" w:line="240" w:lineRule="auto"/>
              <w:jc w:val="left"/>
            </w:pPr>
            <w:r>
              <w:rPr>
                <w:rFonts w:ascii="Times New Roman" w:hAnsi="Times New Roman" w:eastAsia="Times New Roman"/>
                <w:b w:val="0"/>
                <w:sz w:val="15"/>
              </w:rPr>
              <w:t>✓</w:t>
            </w:r>
          </w:p>
        </w:tc>
        <w:tc>
          <w:tcPr>
            <w:tcW w:w="1949" w:type="dxa"/>
            <w:vAlign w:val="center"/>
          </w:tcPr>
          <w:p w14:paraId="0ABCBBB7">
            <w:pPr>
              <w:spacing w:after="20" w:line="240" w:lineRule="auto"/>
              <w:jc w:val="left"/>
            </w:pPr>
            <w:r>
              <w:rPr>
                <w:rFonts w:ascii="Times New Roman" w:hAnsi="Times New Roman" w:eastAsia="Times New Roman"/>
                <w:b w:val="0"/>
                <w:sz w:val="15"/>
              </w:rPr>
              <w:t>—</w:t>
            </w:r>
          </w:p>
        </w:tc>
        <w:tc>
          <w:tcPr>
            <w:tcW w:w="1949" w:type="dxa"/>
            <w:vAlign w:val="center"/>
          </w:tcPr>
          <w:p w14:paraId="6525D775">
            <w:pPr>
              <w:spacing w:after="20" w:line="240" w:lineRule="auto"/>
              <w:jc w:val="left"/>
            </w:pPr>
            <w:r>
              <w:rPr>
                <w:rFonts w:ascii="Times New Roman" w:hAnsi="Times New Roman" w:eastAsia="Times New Roman"/>
                <w:b w:val="0"/>
                <w:sz w:val="15"/>
              </w:rPr>
              <w:t>—</w:t>
            </w:r>
          </w:p>
        </w:tc>
        <w:tc>
          <w:tcPr>
            <w:tcW w:w="1949" w:type="dxa"/>
            <w:vAlign w:val="center"/>
          </w:tcPr>
          <w:p w14:paraId="621396D7">
            <w:pPr>
              <w:spacing w:after="20" w:line="240" w:lineRule="auto"/>
              <w:jc w:val="left"/>
            </w:pPr>
            <w:r>
              <w:rPr>
                <w:rFonts w:ascii="Times New Roman" w:hAnsi="Times New Roman" w:eastAsia="Times New Roman"/>
                <w:b w:val="0"/>
                <w:sz w:val="15"/>
              </w:rPr>
              <w:t>Motivates robustness evaluation</w:t>
            </w:r>
          </w:p>
        </w:tc>
      </w:tr>
      <w:tr w14:paraId="2D07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7292DB30">
            <w:pPr>
              <w:spacing w:after="20" w:line="240" w:lineRule="auto"/>
              <w:jc w:val="left"/>
            </w:pPr>
            <w:r>
              <w:rPr>
                <w:rFonts w:ascii="Times New Roman" w:hAnsi="Times New Roman" w:eastAsia="Times New Roman"/>
                <w:b w:val="0"/>
                <w:sz w:val="15"/>
              </w:rPr>
              <w:t>XMalGuard</w:t>
            </w:r>
          </w:p>
        </w:tc>
        <w:tc>
          <w:tcPr>
            <w:tcW w:w="1949" w:type="dxa"/>
            <w:vAlign w:val="center"/>
          </w:tcPr>
          <w:p w14:paraId="55B8D143">
            <w:pPr>
              <w:spacing w:after="20" w:line="240" w:lineRule="auto"/>
              <w:jc w:val="left"/>
            </w:pPr>
            <w:r>
              <w:rPr>
                <w:rFonts w:ascii="Times New Roman" w:hAnsi="Times New Roman" w:eastAsia="Times New Roman"/>
                <w:b w:val="0"/>
                <w:sz w:val="15"/>
              </w:rPr>
              <w:t>✓</w:t>
            </w:r>
          </w:p>
        </w:tc>
        <w:tc>
          <w:tcPr>
            <w:tcW w:w="1949" w:type="dxa"/>
            <w:vAlign w:val="center"/>
          </w:tcPr>
          <w:p w14:paraId="39DCA4DC">
            <w:pPr>
              <w:spacing w:after="20" w:line="240" w:lineRule="auto"/>
              <w:jc w:val="left"/>
            </w:pPr>
            <w:r>
              <w:rPr>
                <w:rFonts w:ascii="Times New Roman" w:hAnsi="Times New Roman" w:eastAsia="Times New Roman"/>
                <w:b w:val="0"/>
                <w:sz w:val="15"/>
              </w:rPr>
              <w:t>✓</w:t>
            </w:r>
          </w:p>
        </w:tc>
        <w:tc>
          <w:tcPr>
            <w:tcW w:w="1949" w:type="dxa"/>
            <w:vAlign w:val="center"/>
          </w:tcPr>
          <w:p w14:paraId="3A671EF7">
            <w:pPr>
              <w:spacing w:after="20" w:line="240" w:lineRule="auto"/>
              <w:jc w:val="left"/>
            </w:pPr>
            <w:r>
              <w:rPr>
                <w:rFonts w:ascii="Times New Roman" w:hAnsi="Times New Roman" w:eastAsia="Times New Roman"/>
                <w:b w:val="0"/>
                <w:sz w:val="15"/>
              </w:rPr>
              <w:t>✓</w:t>
            </w:r>
          </w:p>
        </w:tc>
        <w:tc>
          <w:tcPr>
            <w:tcW w:w="1949" w:type="dxa"/>
            <w:vAlign w:val="center"/>
          </w:tcPr>
          <w:p w14:paraId="574C73CD">
            <w:pPr>
              <w:spacing w:after="20" w:line="240" w:lineRule="auto"/>
              <w:jc w:val="left"/>
            </w:pPr>
            <w:r>
              <w:rPr>
                <w:rFonts w:ascii="Times New Roman" w:hAnsi="Times New Roman" w:eastAsia="Times New Roman"/>
                <w:b w:val="0"/>
                <w:sz w:val="15"/>
              </w:rPr>
              <w:t>Unified analyst-oriented pipeline</w:t>
            </w:r>
          </w:p>
        </w:tc>
      </w:tr>
    </w:tbl>
    <w:p w14:paraId="6DF5A0D2">
      <w:pPr>
        <w:pStyle w:val="164"/>
        <w:spacing w:before="40" w:after="80" w:line="240" w:lineRule="auto"/>
        <w:jc w:val="center"/>
      </w:pPr>
      <w:r>
        <w:rPr>
          <w:rFonts w:ascii="Times New Roman" w:hAnsi="Times New Roman" w:eastAsia="Times New Roman"/>
          <w:i w:val="0"/>
          <w:sz w:val="16"/>
        </w:rPr>
        <w:t>* XMal is memory-based rather than static PE; it is included to illustrate explainability under obfuscation, not as a direct PE baseline.</w:t>
      </w:r>
    </w:p>
    <w:p w14:paraId="665E7110">
      <w:pPr>
        <w:pStyle w:val="3"/>
      </w:pPr>
      <w:r>
        <w:rPr>
          <w:rFonts w:ascii="Times New Roman" w:hAnsi="Times New Roman" w:eastAsia="Times New Roman"/>
        </w:rPr>
        <w:t>2.6 Research Gap</w:t>
      </w:r>
    </w:p>
    <w:p w14:paraId="3E69B7FB">
      <w:pPr>
        <w:pStyle w:val="3"/>
      </w:pPr>
      <w:r>
        <w:rPr>
          <w:rFonts w:ascii="Times New Roman" w:hAnsi="Times New Roman" w:eastAsia="Times New Roman"/>
        </w:rPr>
        <w:t>Reference-paper positioning</w:t>
      </w:r>
    </w:p>
    <w:p w14:paraId="58CC1BAB">
      <w:pPr>
        <w:spacing w:after="50" w:line="240" w:lineRule="auto"/>
        <w:jc w:val="both"/>
      </w:pPr>
      <w:r>
        <w:rPr>
          <w:rFonts w:ascii="Times New Roman" w:hAnsi="Times New Roman" w:eastAsia="Times New Roman"/>
          <w:sz w:val="18"/>
        </w:rPr>
        <w:t>The supplied BRDH article is used as a presentation and methodological-organization reference for system-model description, stepwise algorithms, experimental setup, and comparative evaluation. Its problem domain combines blockchain data protection, optimization, recurrent neural networks, and cryptographic mechanisms; it is therefore not a direct malware-classification baseline for XMalGuard. Its reported accuracy and encryption/decryption outcomes are not compared numerically against XMalGuard because the tasks, datasets, labels, and metrics are different. XMalGuard comparisons will instead use malware-detection baselines evaluated on a common PE dataset and clearly identified literature studies.</w:t>
      </w:r>
    </w:p>
    <w:p w14:paraId="3D4C176B">
      <w:pPr>
        <w:spacing w:after="50" w:line="240" w:lineRule="auto"/>
        <w:jc w:val="both"/>
      </w:pPr>
      <w:r>
        <w:rPr>
          <w:rFonts w:ascii="Times New Roman" w:hAnsi="Times New Roman" w:eastAsia="Times New Roman"/>
          <w:sz w:val="18"/>
        </w:rPr>
        <w:t>The comparison indicates that high-performing static detectors, explainable detectors, benchmark datasets and robustness studies are well represented individually. What remains underdeveloped is their integration into a single reproducible analyst workflow with a time-aware evaluation protocol. XMalGuard therefore emphasizes system-level integration and evaluation discipline rather than claiming that SHAP, Random Forest, PE features or threat-intelligence lookup are individually novel.</w:t>
      </w:r>
    </w:p>
    <w:p w14:paraId="2F8909B6">
      <w:pPr>
        <w:pStyle w:val="2"/>
      </w:pPr>
      <w:r>
        <w:rPr>
          <w:rFonts w:ascii="Times New Roman" w:hAnsi="Times New Roman" w:eastAsia="Times New Roman"/>
        </w:rPr>
        <w:t>3. PROPOSED METHODOLOGY</w:t>
      </w:r>
    </w:p>
    <w:p w14:paraId="5A8CE171">
      <w:pPr>
        <w:pStyle w:val="3"/>
      </w:pPr>
      <w:r>
        <w:rPr>
          <w:rFonts w:ascii="Times New Roman" w:hAnsi="Times New Roman" w:eastAsia="Times New Roman"/>
        </w:rPr>
        <w:t>3.1 Overall Framework</w:t>
      </w:r>
    </w:p>
    <w:p w14:paraId="5255A96E">
      <w:pPr>
        <w:spacing w:after="50" w:line="240" w:lineRule="auto"/>
        <w:jc w:val="both"/>
      </w:pPr>
      <w:r>
        <w:rPr>
          <w:rFonts w:ascii="Times New Roman" w:hAnsi="Times New Roman" w:eastAsia="Times New Roman"/>
          <w:sz w:val="18"/>
        </w:rPr>
        <w:t>At the implementation level, the framework is organized as a sequence of independently testable modules. The input module performs file validation and hashing; the feature module produces a fixed static representation; the detection module produces model scores; the explainability module converts a selected prediction into ranked feature evidence; the intelligence module adds optional external context; and the decision and presentation modules transform these outputs into an analyst-facing assessment. This modular design allows each component to be evaluated separately and prevents an unavailable external service from blocking the core static detector.</w:t>
      </w:r>
    </w:p>
    <w:p w14:paraId="32792524">
      <w:pPr>
        <w:spacing w:after="50" w:line="240" w:lineRule="auto"/>
        <w:jc w:val="both"/>
      </w:pPr>
      <w:r>
        <w:rPr>
          <w:rFonts w:ascii="Times New Roman" w:hAnsi="Times New Roman" w:eastAsia="Times New Roman"/>
          <w:sz w:val="18"/>
        </w:rPr>
        <w:t>The intended data flow is therefore PE sample → validation/hash → static feature vector → preprocessing → baseline classifiers → calibrated probability and decision → SHAP explanation → threat-intelligence enrichment → risk assessment → dashboard/report. Intermediate artifacts such as feature vectors, model scores and explanations should be logged with experiment identifiers so that a reported result can be reproduced without re-running unrelated stages.</w:t>
      </w:r>
    </w:p>
    <w:p w14:paraId="12E1F29E">
      <w:pPr>
        <w:spacing w:after="50" w:line="240" w:lineRule="auto"/>
        <w:jc w:val="both"/>
      </w:pPr>
      <w:r>
        <w:rPr>
          <w:rFonts w:ascii="Times New Roman" w:hAnsi="Times New Roman" w:eastAsia="Times New Roman"/>
          <w:sz w:val="18"/>
        </w:rPr>
        <w:t>The proposed framework follows seven logical layers: (1) input, (2) feature extraction, (3) detection, (4) explainability, (5) intelligence, (6) decision, and (7) presentation. An executable is first validated and represented as a static feature vector. The classifier estimates a malware probability. The explanation module then computes local feature contributions. In parallel or subsequently, a hash/reputation service can provide external context. The decision layer combines the available evidence into a risk category, and the presentation layer exposes the evidence through a dashboard and report.</w:t>
      </w:r>
    </w:p>
    <w:p w14:paraId="6E436C93">
      <w:pPr>
        <w:spacing w:after="50" w:line="240" w:lineRule="auto"/>
        <w:jc w:val="both"/>
      </w:pPr>
      <w:r>
        <w:rPr>
          <w:rFonts w:ascii="Times New Roman" w:hAnsi="Times New Roman" w:eastAsia="Times New Roman"/>
          <w:sz w:val="18"/>
        </w:rPr>
        <w:t>3.1.1 System Architecture</w:t>
      </w:r>
    </w:p>
    <w:p w14:paraId="3E3CA188">
      <w:pPr>
        <w:spacing w:after="50" w:line="240" w:lineRule="auto"/>
        <w:jc w:val="both"/>
      </w:pPr>
      <w:r>
        <w:rPr>
          <w:rFonts w:ascii="Times New Roman" w:hAnsi="Times New Roman" w:eastAsia="Times New Roman"/>
          <w:sz w:val="18"/>
        </w:rPr>
        <w:t>The architecture is divided into input, feature, detection, explainability, intelligence, decision and presentation layers. The input layer receives and validates the PE sample; the feature layer converts the sample into a structured static representation; and the detection layer evaluates the representation with multiple classifiers. The explainability layer produces local feature attribution, while the intelligence layer provides optional hash/reputation context. The decision layer combines the available evidence into a documented risk assessment, and the presentation layer exposes the result through a dashboard and report. This layered organization follows the logical framework described above and allows controlled ablation of individual components.</w:t>
      </w:r>
    </w:p>
    <w:p w14:paraId="711F140B">
      <w:pPr>
        <w:spacing w:before="40" w:after="80" w:line="240" w:lineRule="auto"/>
        <w:jc w:val="center"/>
      </w:pPr>
      <w:r>
        <w:rPr>
          <w:rFonts w:ascii="Times New Roman" w:hAnsi="Times New Roman" w:eastAsia="Times New Roman"/>
          <w:i w:val="0"/>
          <w:sz w:val="16"/>
        </w:rPr>
        <w:t xml:space="preserve">Figure 1 presents the implementation-oriented data flow. The threat-intelligence service is optional; failure or lack of a reputation record must not prevent local static inference. Evaluation outputs are generated from a frozen temporal test set and kept separate from live-sample dashboard </w:t>
      </w:r>
      <w:bookmarkStart w:id="0" w:name="_GoBack"/>
      <w:bookmarkEnd w:id="0"/>
      <w:r>
        <w:rPr>
          <w:rFonts w:ascii="Times New Roman" w:hAnsi="Times New Roman" w:eastAsia="Times New Roman"/>
          <w:i w:val="0"/>
          <w:sz w:val="16"/>
        </w:rPr>
        <w:t>outputs.</w:t>
      </w:r>
    </w:p>
    <w:p w14:paraId="1B240C42">
      <w:pPr>
        <w:spacing w:after="50" w:line="240" w:lineRule="auto"/>
        <w:jc w:val="both"/>
      </w:pPr>
      <w:r>
        <w:rPr>
          <w:rFonts w:ascii="Times New Roman" w:hAnsi="Times New Roman" w:eastAsia="Times New Roman"/>
          <w:sz w:val="18"/>
        </w:rPr>
        <w:drawing>
          <wp:inline distT="0" distB="0" distL="114300" distR="114300">
            <wp:extent cx="3369945" cy="1868170"/>
            <wp:effectExtent l="0" t="0" r="13335" b="6350"/>
            <wp:docPr id="1" name="Picture 1"/>
            <wp:cNvGraphicFramePr>
              <ns4:graphicFrameLocks noChangeAspect="1"/>
            </wp:cNvGraphicFramePr>
            <ns4:graphic>
              <ns4:graphicData uri="http://schemas.openxmlformats.org/drawingml/2006/picture">
                <ns5:pic>
                  <ns5:nvPicPr>
                    <ns5:cNvPr id="1" name="Picture 1"/>
                    <ns5:cNvPicPr>
                      <ns4:picLocks noChangeAspect="1"/>
                    </ns5:cNvPicPr>
                  </ns5:nvPicPr>
                  <ns5:blipFill>
                    <ns4:blip r:embed="rId8"/>
                    <ns4:stretch>
                      <ns4:fillRect/>
                    </ns4:stretch>
                  </ns5:blipFill>
                  <ns5:spPr>
                    <ns4:xfrm>
                      <ns4:off x="0" y="0"/>
                      <ns4:ext cx="3369945" cy="1868170"/>
                    </ns4:xfrm>
                    <ns4:prstGeom prst="rect">
                      <ns4:avLst/>
                    </ns4:prstGeom>
                  </ns5:spPr>
                </ns5:pic>
              </ns4:graphicData>
            </ns4:graphic>
          </wp:inline>
        </w:drawing>
      </w:r>
    </w:p>
    <w:p w14:paraId="33F58492">
      <w:pPr>
        <w:pStyle w:val="16"/>
        <w:spacing w:before="40" w:after="80" w:line="240" w:lineRule="auto"/>
        <w:jc w:val="center"/>
      </w:pPr>
      <w:r>
        <w:rPr>
          <w:rFonts w:ascii="Times New Roman" w:hAnsi="Times New Roman" w:eastAsia="Times New Roman"/>
          <w:i w:val="0"/>
          <w:sz w:val="16"/>
        </w:rPr>
        <w:t>Figure 1. XMalGuard system architecture and evaluation workflow.</w:t>
      </w:r>
    </w:p>
    <w:p w14:paraId="19949A44">
      <w:pPr>
        <w:pStyle w:val="3"/>
      </w:pPr>
      <w:r>
        <w:rPr>
          <w:rFonts w:ascii="Times New Roman" w:hAnsi="Times New Roman" w:eastAsia="Times New Roman"/>
        </w:rPr>
        <w:t>3.2 Dataset</w:t>
      </w:r>
    </w:p>
    <w:p w14:paraId="7724D4D8">
      <w:pPr>
        <w:pStyle w:val="3"/>
      </w:pPr>
      <w:r>
        <w:rPr>
          <w:rFonts w:ascii="Times New Roman" w:hAnsi="Times New Roman" w:eastAsia="Times New Roman"/>
        </w:rPr>
        <w:t>3.1.2 Threat Model and Trust Boundaries</w:t>
      </w:r>
    </w:p>
    <w:p w14:paraId="37221C08">
      <w:pPr>
        <w:spacing w:after="50" w:line="240" w:lineRule="auto"/>
        <w:jc w:val="both"/>
      </w:pPr>
      <w:r>
        <w:rPr>
          <w:rFonts w:ascii="Times New Roman" w:hAnsi="Times New Roman" w:eastAsia="Times New Roman"/>
          <w:sz w:val="18"/>
        </w:rPr>
        <w:t>XMalGuard is designed to support defensive triage of Windows PE files. The assumed input may be benign, malicious, packed, malformed, or previously unseen. The system does not execute the submitted binary. Its principal risks include malformed-file parser inputs, misleading or incomplete static features, false positives and false negatives, stale or unavailable external reputation, and overinterpretation of model explanations. Accordingly, file validation, size limits, safe parsing, optional network lookups, explicit uncertainty about missing intelligence, and audit logging are treated as system requirements.</w:t>
      </w:r>
    </w:p>
    <w:p w14:paraId="79316952">
      <w:pPr>
        <w:spacing w:after="50" w:line="240" w:lineRule="auto"/>
        <w:jc w:val="both"/>
      </w:pPr>
      <w:r>
        <w:rPr>
          <w:rFonts w:ascii="Times New Roman" w:hAnsi="Times New Roman" w:eastAsia="Times New Roman"/>
          <w:sz w:val="18"/>
        </w:rPr>
        <w:t>The model output is a statistical prediction rather than a definitive statement of intent. A high score should trigger the configured review policy, not automatic destructive action. Hash-based threat-intelligence results are contextual evidence and must be labelled with provider, query time, and availability where that integration is enabled. The threat-intelligence component must not upload a binary by default; a hash-only query is preferred unless the user explicitly authorizes another workflow.</w:t>
      </w:r>
    </w:p>
    <w:p w14:paraId="02BF8BAA">
      <w:pPr>
        <w:spacing w:after="50" w:line="240" w:lineRule="auto"/>
        <w:jc w:val="both"/>
      </w:pPr>
      <w:r>
        <w:rPr>
          <w:rFonts w:ascii="Times New Roman" w:hAnsi="Times New Roman" w:eastAsia="Times New Roman"/>
          <w:sz w:val="18"/>
        </w:rPr>
        <w:t>EMBER2024 is used as the principal benchmark because the project requires a contemporary, openly described dataset with a temporal organization suitable for testing generalization. The planned Windows scope deliberately concentrates on Win32 and Win64 PE samples rather than mixing all formats in a single classifier. The challenge set is treated as a separate evaluation resource rather than being merged into ordinary training data.</w:t>
      </w:r>
    </w:p>
    <w:p w14:paraId="696E69E8">
      <w:pPr>
        <w:spacing w:after="50" w:line="240" w:lineRule="auto"/>
        <w:jc w:val="both"/>
      </w:pPr>
      <w:r>
        <w:rPr>
          <w:rFonts w:ascii="Times New Roman" w:hAnsi="Times New Roman" w:eastAsia="Times New Roman"/>
          <w:sz w:val="18"/>
        </w:rPr>
        <w:t>For reproducibility, the implementation should record the exact dataset release, subset, feature version, label convention, sample counts after filtering and random seed. Any removed or invalid records should be counted and reported. This prevents changes introduced during preprocessing from being mistaken for differences caused by the learning algorithm.</w:t>
      </w:r>
    </w:p>
    <w:p w14:paraId="0F245057">
      <w:pPr>
        <w:spacing w:after="50" w:line="240" w:lineRule="auto"/>
        <w:jc w:val="both"/>
      </w:pPr>
      <w:r>
        <w:rPr>
          <w:rFonts w:ascii="Times New Roman" w:hAnsi="Times New Roman" w:eastAsia="Times New Roman"/>
          <w:sz w:val="18"/>
        </w:rPr>
        <w:t>EMBER2024 is selected as the primary benchmark because it provides a large, contemporary collection for holistic malware-classifier evaluation [17]. For XMalGuard's Windows PE scope, the planned experiment focuses on the Win32 and Win64 subsets. The final PRC-2 presentation reports 1,560,000 Win32 training samples and 520,000 Win64 training samples, with 360,000 Win32 and 120,000 Win64 test samples, plus a 6,315-file malicious challenge set [17]. Thus, the proposed Win32/Win64 experiment has approximately 2.08 million training and 480,000 test files before any additional filtering or preprocessing.</w:t>
      </w:r>
    </w:p>
    <w:p w14:paraId="23363CDA">
      <w:pPr>
        <w:spacing w:after="50" w:line="240" w:lineRule="auto"/>
        <w:jc w:val="both"/>
      </w:pPr>
      <w:r>
        <w:rPr>
          <w:rFonts w:ascii="Times New Roman" w:hAnsi="Times New Roman" w:eastAsia="Times New Roman"/>
          <w:sz w:val="18"/>
        </w:rPr>
        <w:t>EMBER's original release established the value of a large open static PE benchmark, with features extracted from approximately 1.1 million binaries in its first release [20]. EMBER2024 extends the benchmark across six formats and uses temporally separated periods, which makes it especially relevant to generalization studies [17].</w:t>
      </w:r>
    </w:p>
    <w:p w14:paraId="42E4CB1E">
      <w:pPr>
        <w:pStyle w:val="3"/>
      </w:pPr>
      <w:r>
        <w:rPr>
          <w:rFonts w:ascii="Times New Roman" w:hAnsi="Times New Roman" w:eastAsia="Times New Roman"/>
        </w:rPr>
        <w:t>3.3 Data Preprocessing</w:t>
      </w:r>
    </w:p>
    <w:p w14:paraId="545B94FB">
      <w:pPr>
        <w:spacing w:after="50" w:line="240" w:lineRule="auto"/>
        <w:jc w:val="both"/>
      </w:pPr>
      <w:r>
        <w:rPr>
          <w:rFonts w:ascii="Times New Roman" w:hAnsi="Times New Roman" w:eastAsia="Times New Roman"/>
          <w:sz w:val="18"/>
        </w:rPr>
        <w:t>Preprocessing is designed to avoid information leakage. Parameters learned from the data, such as scaling statistics, encoders, dimensionality-reduction components or feature-selection thresholds, must be fitted on the training portion only and then applied unchanged to validation and temporal test samples. Labels must remain isolated from the feature matrix during these operations.</w:t>
      </w:r>
    </w:p>
    <w:p w14:paraId="7DE75C1E">
      <w:pPr>
        <w:spacing w:after="50" w:line="240" w:lineRule="auto"/>
        <w:jc w:val="both"/>
      </w:pPr>
      <w:r>
        <w:rPr>
          <w:rFonts w:ascii="Times New Roman" w:hAnsi="Times New Roman" w:eastAsia="Times New Roman"/>
          <w:sz w:val="18"/>
        </w:rPr>
        <w:t>The implementation should also maintain a preprocessing audit log containing the number of input samples, rejected samples, missing-value handling, final feature dimensionality and class distribution. Such logging is particularly important for malware datasets because filtering decisions can alter class balance and consequently affect precision, recall and false-positive behavior.</w:t>
      </w:r>
    </w:p>
    <w:p w14:paraId="09ACB033">
      <w:pPr>
        <w:pStyle w:val="23"/>
        <w:spacing w:after="50" w:line="240" w:lineRule="auto"/>
      </w:pPr>
      <w:r>
        <w:rPr>
          <w:rFonts w:ascii="Times New Roman" w:hAnsi="Times New Roman" w:eastAsia="Times New Roman"/>
          <w:sz w:val="18"/>
        </w:rPr>
        <w:t>Validate the file format and reject malformed inputs before parsing.</w:t>
      </w:r>
    </w:p>
    <w:p w14:paraId="0E3F9B18">
      <w:pPr>
        <w:pStyle w:val="23"/>
        <w:spacing w:after="50" w:line="240" w:lineRule="auto"/>
      </w:pPr>
      <w:r>
        <w:rPr>
          <w:rFonts w:ascii="Times New Roman" w:hAnsi="Times New Roman" w:eastAsia="Times New Roman"/>
          <w:sz w:val="18"/>
        </w:rPr>
        <w:t>Remove or flag samples with missing, invalid or inconsistent feature values.</w:t>
      </w:r>
    </w:p>
    <w:p w14:paraId="34D591D2">
      <w:pPr>
        <w:pStyle w:val="23"/>
        <w:spacing w:after="50" w:line="240" w:lineRule="auto"/>
      </w:pPr>
      <w:r>
        <w:rPr>
          <w:rFonts w:ascii="Times New Roman" w:hAnsi="Times New Roman" w:eastAsia="Times New Roman"/>
          <w:sz w:val="18"/>
        </w:rPr>
        <w:t>Encode categorical PE attributes using a reproducible representation.</w:t>
      </w:r>
    </w:p>
    <w:p w14:paraId="5AAF0ED5">
      <w:pPr>
        <w:pStyle w:val="23"/>
        <w:spacing w:after="50" w:line="240" w:lineRule="auto"/>
      </w:pPr>
      <w:r>
        <w:rPr>
          <w:rFonts w:ascii="Times New Roman" w:hAnsi="Times New Roman" w:eastAsia="Times New Roman"/>
          <w:sz w:val="18"/>
        </w:rPr>
        <w:t>Scale or standardize numeric features only where required by the selected classifier.</w:t>
      </w:r>
    </w:p>
    <w:p w14:paraId="52EB41A0">
      <w:pPr>
        <w:pStyle w:val="23"/>
        <w:spacing w:after="50" w:line="240" w:lineRule="auto"/>
      </w:pPr>
      <w:r>
        <w:rPr>
          <w:rFonts w:ascii="Times New Roman" w:hAnsi="Times New Roman" w:eastAsia="Times New Roman"/>
          <w:sz w:val="18"/>
        </w:rPr>
        <w:t>Apply identical preprocessing parameters to training, validation and test data.</w:t>
      </w:r>
    </w:p>
    <w:p w14:paraId="2DBE6688">
      <w:pPr>
        <w:pStyle w:val="23"/>
        <w:spacing w:after="50" w:line="240" w:lineRule="auto"/>
      </w:pPr>
      <w:r>
        <w:rPr>
          <w:rFonts w:ascii="Times New Roman" w:hAnsi="Times New Roman" w:eastAsia="Times New Roman"/>
          <w:sz w:val="18"/>
        </w:rPr>
        <w:t>Maintain labels separately from features and prevent test information from influencing preprocessing or feature selection.</w:t>
      </w:r>
    </w:p>
    <w:p w14:paraId="679BD3C3">
      <w:pPr>
        <w:spacing w:after="50" w:line="240" w:lineRule="auto"/>
        <w:jc w:val="both"/>
      </w:pPr>
      <w:r>
        <w:rPr>
          <w:rFonts w:ascii="Times New Roman" w:hAnsi="Times New Roman" w:eastAsia="Times New Roman"/>
          <w:sz w:val="18"/>
        </w:rPr>
        <w:t>The precise cleaning and encoding rules will be fixed in the implementation repository and reported with the final experiments. This is important because preprocessing choices can materially affect malware-detection performance [10], [22].</w:t>
      </w:r>
    </w:p>
    <w:p w14:paraId="65E2B872">
      <w:pPr>
        <w:pStyle w:val="3"/>
      </w:pPr>
      <w:r>
        <w:rPr>
          <w:rFonts w:ascii="Times New Roman" w:hAnsi="Times New Roman" w:eastAsia="Times New Roman"/>
        </w:rPr>
        <w:t>3.4 Feature Engineering</w:t>
      </w:r>
    </w:p>
    <w:p w14:paraId="79DE08EA">
      <w:pPr>
        <w:spacing w:after="50" w:line="240" w:lineRule="auto"/>
        <w:jc w:val="both"/>
      </w:pPr>
      <w:r>
        <w:rPr>
          <w:rFonts w:ascii="Times New Roman" w:hAnsi="Times New Roman" w:eastAsia="Times New Roman"/>
          <w:sz w:val="18"/>
        </w:rPr>
        <w:t>Feature extraction is organized by semantic PE families so that the resulting classifier is not only trainable but also explainable. Header features describe executable metadata and structural configuration; section features describe sizes, permissions and statistical properties; import/API features capture linked libraries and requested functionality; entropy provides a compact signal related to byte randomness; and strings provide lexical evidence available without execution.</w:t>
      </w:r>
    </w:p>
    <w:p w14:paraId="652BBB70">
      <w:pPr>
        <w:spacing w:after="50" w:line="240" w:lineRule="auto"/>
        <w:jc w:val="both"/>
      </w:pPr>
      <w:r>
        <w:rPr>
          <w:rFonts w:ascii="Times New Roman" w:hAnsi="Times New Roman" w:eastAsia="Times New Roman"/>
          <w:sz w:val="18"/>
        </w:rPr>
        <w:t>Grouping features by their semantic source also supports later analysis. Instead of reporting only a long list of individual feature names, XMalGuard can summarize whether the model relied mainly on headers, sections, imports/APIs, entropy or strings for a prediction. This makes the explanation layer easier for an analyst to interpret and creates a natural unit for the planned ablation experiments.</w:t>
      </w:r>
    </w:p>
    <w:p w14:paraId="33C16D4B">
      <w:pPr>
        <w:spacing w:after="50" w:line="240" w:lineRule="auto"/>
        <w:jc w:val="both"/>
      </w:pPr>
      <w:r>
        <w:rPr>
          <w:rFonts w:ascii="Times New Roman" w:hAnsi="Times New Roman" w:eastAsia="Times New Roman"/>
          <w:sz w:val="18"/>
        </w:rPr>
        <w:t>The feature representation is designed around static PE characteristics: header attributes, section properties, imported DLLs and APIs, entropy and strings. The design is informed by Yousuf et al., who extracted imported DLL/API information, 52 PE-header attributes and 100 PE-section attributes [10]. Moon et al. further demonstrate that feature representation can create substantial memory overhead and that compact hashing can reduce memory usage while preserving or improving detection performance [3].</w:t>
      </w:r>
    </w:p>
    <w:p w14:paraId="3BDC64F1">
      <w:pPr>
        <w:spacing w:after="50" w:line="240" w:lineRule="auto"/>
        <w:jc w:val="both"/>
      </w:pPr>
      <w:r>
        <w:rPr>
          <w:rFonts w:ascii="Times New Roman" w:hAnsi="Times New Roman" w:eastAsia="Times New Roman"/>
          <w:sz w:val="18"/>
        </w:rPr>
        <w:t>Feature engineering will therefore prioritize features that are available without execution, computationally practical to extract, and amenable to explanation. Features will be grouped by semantic source so that later SHAP analyses can be reported at both individual-feature and feature-family levels.</w:t>
      </w:r>
    </w:p>
    <w:p w14:paraId="5EF54494">
      <w:pPr>
        <w:pStyle w:val="3"/>
      </w:pPr>
      <w:r>
        <w:rPr>
          <w:rFonts w:ascii="Times New Roman" w:hAnsi="Times New Roman" w:eastAsia="Times New Roman"/>
        </w:rPr>
        <w:t>3.5 Feature Selection</w:t>
      </w:r>
    </w:p>
    <w:p w14:paraId="6EE495B0">
      <w:pPr>
        <w:spacing w:after="50" w:line="240" w:lineRule="auto"/>
        <w:jc w:val="both"/>
      </w:pPr>
      <w:r>
        <w:rPr>
          <w:rFonts w:ascii="Times New Roman" w:hAnsi="Times New Roman" w:eastAsia="Times New Roman"/>
          <w:sz w:val="18"/>
        </w:rPr>
        <w:t>Feature selection will be treated as an empirical question. A full feature representation will serve as the reference condition, while Information Gain, model-based importance and PCA can be evaluated as alternative reduction strategies. The comparison should measure not only predictive metrics but also training time, inference cost, memory use and explanation complexity.</w:t>
      </w:r>
    </w:p>
    <w:p w14:paraId="461B4ED7">
      <w:pPr>
        <w:spacing w:after="50" w:line="240" w:lineRule="auto"/>
        <w:jc w:val="both"/>
      </w:pPr>
      <w:r>
        <w:rPr>
          <w:rFonts w:ascii="Times New Roman" w:hAnsi="Times New Roman" w:eastAsia="Times New Roman"/>
          <w:sz w:val="18"/>
        </w:rPr>
        <w:t>A selected feature set will only be retained if it provides a defensible benefit under the same temporal test protocol. This prevents dimensionality reduction from being adopted solely because it produces a smaller vector. The final paper should report the number of retained dimensions and the selection procedure so that the feature space can be reconstructed.</w:t>
      </w:r>
    </w:p>
    <w:p w14:paraId="0D51B6E5">
      <w:pPr>
        <w:spacing w:after="50" w:line="240" w:lineRule="auto"/>
        <w:jc w:val="both"/>
      </w:pPr>
      <w:r>
        <w:rPr>
          <w:rFonts w:ascii="Times New Roman" w:hAnsi="Times New Roman" w:eastAsia="Times New Roman"/>
          <w:sz w:val="18"/>
        </w:rPr>
        <w:t>Feature selection is proposed as a controlled experiment rather than an assumption. Candidate methods include model-based importance, Information Gain and dimensionality reduction such as PCA, motivated by prior PE-malware research [10]. Any feature selection operation must be fitted using training data only. The selected feature set will be compared against the full representation to quantify whether dimensionality reduction improves generalization, computation or interpretability.</w:t>
      </w:r>
    </w:p>
    <w:p w14:paraId="2EA2B7E2">
      <w:pPr>
        <w:pStyle w:val="3"/>
      </w:pPr>
      <w:r>
        <w:rPr>
          <w:rFonts w:ascii="Times New Roman" w:hAnsi="Times New Roman" w:eastAsia="Times New Roman"/>
        </w:rPr>
        <w:t>3.6 Proposed Model</w:t>
      </w:r>
    </w:p>
    <w:p w14:paraId="5956AC00">
      <w:pPr>
        <w:spacing w:after="50" w:line="240" w:lineRule="auto"/>
        <w:jc w:val="both"/>
      </w:pPr>
      <w:r>
        <w:rPr>
          <w:rFonts w:ascii="Times New Roman" w:hAnsi="Times New Roman" w:eastAsia="Times New Roman"/>
          <w:sz w:val="18"/>
        </w:rPr>
        <w:t>The proposed detector is intentionally model-agnostic at the framework level. A probability-producing classifier is preferred because the downstream risk layer needs a continuous signal rather than only a hard class label. Probability calibration will be considered when raw classifier scores are not well aligned with observed frequencies on the validation data.</w:t>
      </w:r>
    </w:p>
    <w:p w14:paraId="67EBA4CB">
      <w:pPr>
        <w:spacing w:after="50" w:line="240" w:lineRule="auto"/>
        <w:jc w:val="both"/>
      </w:pPr>
      <w:r>
        <w:rPr>
          <w:rFonts w:ascii="Times New Roman" w:hAnsi="Times New Roman" w:eastAsia="Times New Roman"/>
          <w:sz w:val="18"/>
        </w:rPr>
        <w:t>The decision threshold τ is a controlled experimental parameter rather than a fixed universal value. It should be selected from validation data according to the project's stated operational objective and then frozen before temporal testing. The final analysis should show how threshold selection changes precision, recall and false-positive/false-negative behavior.</w:t>
      </w:r>
    </w:p>
    <w:p w14:paraId="7C483DDA">
      <w:pPr>
        <w:spacing w:after="50" w:line="240" w:lineRule="auto"/>
        <w:jc w:val="both"/>
      </w:pPr>
      <w:r>
        <w:rPr>
          <w:rFonts w:ascii="Times New Roman" w:hAnsi="Times New Roman" w:eastAsia="Times New Roman"/>
          <w:sz w:val="18"/>
        </w:rPr>
        <w:t>The primary model-selection strategy is comparative rather than architecture-specific. Candidate baseline classifiers will be trained on the engineered feature vector x and evaluated on temporally held-out samples. The final classifier will be selected using a multi-metric criterion emphasizing F1 and false-positive/false-negative behavior in addition to accuracy. This choice avoids selecting a model solely because of class prevalence or a single threshold-dependent metric.</w:t>
      </w:r>
    </w:p>
    <w:p w14:paraId="06A2FF8D">
      <w:pPr>
        <w:spacing w:after="50" w:line="240" w:lineRule="auto"/>
        <w:jc w:val="both"/>
      </w:pPr>
      <w:r>
        <w:rPr>
          <w:rFonts w:ascii="Times New Roman" w:hAnsi="Times New Roman" w:eastAsia="Times New Roman"/>
          <w:sz w:val="18"/>
        </w:rPr>
        <w:t>The selected model will output a probability or confidence score p(y=malware|x). A threshold τ will then map the score to a binary decision. The threshold should be selected using training/validation data and frozen before final test evaluation.</w:t>
      </w:r>
    </w:p>
    <w:p w14:paraId="6CA184B5">
      <w:pPr>
        <w:pStyle w:val="3"/>
      </w:pPr>
      <w:r>
        <w:rPr>
          <w:rFonts w:ascii="Times New Roman" w:hAnsi="Times New Roman" w:eastAsia="Times New Roman"/>
        </w:rPr>
        <w:t>3.7 Baseline Models</w:t>
      </w:r>
    </w:p>
    <w:p w14:paraId="3E46305D">
      <w:pPr>
        <w:spacing w:after="50" w:line="240" w:lineRule="auto"/>
        <w:jc w:val="both"/>
      </w:pPr>
      <w:r>
        <w:rPr>
          <w:rFonts w:ascii="Times New Roman" w:hAnsi="Times New Roman" w:eastAsia="Times New Roman"/>
          <w:sz w:val="18"/>
        </w:rPr>
        <w:t>Logistic Regression provides a relatively simple linear reference, while Random Forest captures nonlinear interactions through multiple decision trees. LightGBM provides a gradient-boosted tree baseline suited to high-dimensional tabular representations. Where resources permit, additional models can be included, but the core comparison should remain computationally manageable and use identical input features and evaluation data.</w:t>
      </w:r>
    </w:p>
    <w:p w14:paraId="7E14204F">
      <w:pPr>
        <w:spacing w:after="50" w:line="240" w:lineRule="auto"/>
        <w:jc w:val="both"/>
      </w:pPr>
      <w:r>
        <w:rPr>
          <w:rFonts w:ascii="Times New Roman" w:hAnsi="Times New Roman" w:eastAsia="Times New Roman"/>
          <w:sz w:val="18"/>
        </w:rPr>
        <w:t>An ensemble should only be introduced after the individual baselines have been evaluated. If ensemble fusion is used, the fusion rule and its weights must be determined using validation data rather than the final test set. This makes any improvement attributable to the ensemble procedure rather than to inadvertent test-set tuning.</w:t>
      </w:r>
    </w:p>
    <w:p w14:paraId="3928577E">
      <w:pPr>
        <w:spacing w:after="50" w:line="240" w:lineRule="auto"/>
        <w:jc w:val="both"/>
      </w:pPr>
      <w:r>
        <w:rPr>
          <w:rFonts w:ascii="Times New Roman" w:hAnsi="Times New Roman" w:eastAsia="Times New Roman"/>
          <w:sz w:val="18"/>
        </w:rPr>
        <w:t>The baseline set is informed by Yousuf et al. [10] and broader surveys [5], [7], [13], [14]. Candidate models include Logistic Regression or another linear baseline, Decision Tree, Random Forest, Gradient Boosting, Support Vector Machine, k-Nearest Neighbors and Naive Bayes. Ensemble methods such as majority voting, stacking and AdaBoost may be evaluated as secondary baselines because they were used in prior static PE research [10]. The final model list will be fixed before the main test evaluation.</w:t>
      </w:r>
    </w:p>
    <w:p w14:paraId="6DE6E78D">
      <w:pPr>
        <w:pStyle w:val="3"/>
      </w:pPr>
      <w:r>
        <w:rPr>
          <w:rFonts w:ascii="Times New Roman" w:hAnsi="Times New Roman" w:eastAsia="Times New Roman"/>
        </w:rPr>
        <w:t>3.8 Explainability Method</w:t>
      </w:r>
    </w:p>
    <w:p w14:paraId="17398B06">
      <w:pPr>
        <w:spacing w:after="50" w:line="240" w:lineRule="auto"/>
        <w:jc w:val="both"/>
      </w:pPr>
      <w:r>
        <w:rPr>
          <w:rFonts w:ascii="Times New Roman" w:hAnsi="Times New Roman" w:eastAsia="Times New Roman"/>
          <w:sz w:val="18"/>
        </w:rPr>
        <w:t>For each selected prediction, SHAP values will be used to rank the features that increase or decrease the model's malware score. Representative explanations should include different outcome types, including true positives, true negatives, false positives and false negatives. This allows the study to examine not only why the model detects malware, but also why it may generate an incorrect alert or miss a malicious sample.</w:t>
      </w:r>
    </w:p>
    <w:p w14:paraId="31BF56DA">
      <w:pPr>
        <w:spacing w:after="50" w:line="240" w:lineRule="auto"/>
        <w:jc w:val="both"/>
      </w:pPr>
      <w:r>
        <w:rPr>
          <w:rFonts w:ascii="Times New Roman" w:hAnsi="Times New Roman" w:eastAsia="Times New Roman"/>
          <w:sz w:val="18"/>
        </w:rPr>
        <w:t>The explanation interface should translate raw feature names into readable evidence groups where possible. For example, several import-related features can be summarized as import/API evidence while retaining the underlying feature names in the detailed report. Explanations should remain faithful to the model output and should not be rewritten as claims about attacker intent.</w:t>
      </w:r>
    </w:p>
    <w:p w14:paraId="6A51D1C7">
      <w:pPr>
        <w:spacing w:after="50" w:line="240" w:lineRule="auto"/>
        <w:jc w:val="both"/>
      </w:pPr>
      <w:r>
        <w:rPr>
          <w:rFonts w:ascii="Times New Roman" w:hAnsi="Times New Roman" w:eastAsia="Times New Roman"/>
          <w:sz w:val="18"/>
        </w:rPr>
        <w:t>For a trained model f and sample x, SHAP assigns a contribution φ_j to each feature j such that the prediction can be expressed as a baseline value plus the sum of feature contributions. The explanation will report the top positive and negative contributors for each individual prediction. This is aligned with the interpretability goals demonstrated by I-MAD and the broader XAI malware literature [2], [16].</w:t>
      </w:r>
    </w:p>
    <w:p w14:paraId="09EEF366">
      <w:pPr>
        <w:pStyle w:val="3"/>
      </w:pPr>
      <w:r>
        <w:rPr>
          <w:rFonts w:ascii="Times New Roman" w:hAnsi="Times New Roman" w:eastAsia="Times New Roman"/>
        </w:rPr>
        <w:t>3.9 Algorithm / Mathematical Formulation</w:t>
      </w:r>
    </w:p>
    <w:p w14:paraId="14578C1E">
      <w:pPr>
        <w:spacing w:after="50" w:line="240" w:lineRule="auto"/>
        <w:jc w:val="both"/>
      </w:pPr>
      <w:r>
        <w:rPr>
          <w:rFonts w:ascii="Times New Roman" w:hAnsi="Times New Roman" w:eastAsia="Times New Roman"/>
          <w:sz w:val="18"/>
        </w:rPr>
        <w:t>The complete inference procedure can be viewed as a composition of functions. A PE sample s is transformed by a static extractor h into x=h(s); preprocessing transforms x into x'; the classifier produces p=fθ(x'); the explanation function produces φ=SHAP(fθ,x'); and the decision function combines the available evidence into a risk value R=g(p,E_XAI,E_TI). Each function can therefore be unit-tested independently before system-level evaluation.</w:t>
      </w:r>
    </w:p>
    <w:p w14:paraId="61D7B2C9">
      <w:pPr>
        <w:spacing w:after="50" w:line="240" w:lineRule="auto"/>
        <w:jc w:val="both"/>
      </w:pPr>
      <w:r>
        <w:rPr>
          <w:rFonts w:ascii="Times New Roman" w:hAnsi="Times New Roman" w:eastAsia="Times New Roman"/>
          <w:sz w:val="18"/>
        </w:rPr>
        <w:t>The framework separates detection confidence from risk prioritization. A high malware probability is evidence for a malicious verdict, whereas uncertainty, novelty or external reputation can affect how the result is prioritized. This separation is important because a risk score should not be interpreted as another accuracy metric unless its weighting and calibration have been empirically validated.</w:t>
      </w:r>
    </w:p>
    <w:p w14:paraId="5A4AD162">
      <w:pPr>
        <w:spacing w:after="50" w:line="240" w:lineRule="auto"/>
        <w:jc w:val="both"/>
      </w:pPr>
      <w:r>
        <w:rPr>
          <w:rFonts w:ascii="Times New Roman" w:hAnsi="Times New Roman" w:eastAsia="Times New Roman"/>
          <w:sz w:val="18"/>
        </w:rPr>
        <w:t>Let x ∈ R^d denote the static feature vector extracted from a PE file and y ∈ {0,1} its label, where y=1 denotes malware.</w:t>
      </w:r>
    </w:p>
    <w:p w14:paraId="00EBA963">
      <w:pPr>
        <w:spacing w:after="50" w:line="240" w:lineRule="auto"/>
        <w:jc w:val="both"/>
      </w:pPr>
      <w:r>
        <w:rPr>
          <w:rFonts w:ascii="Times New Roman" w:hAnsi="Times New Roman" w:eastAsia="Times New Roman"/>
          <w:sz w:val="18"/>
        </w:rPr>
        <w:t>The classifier learns f_θ(x) = p(y=1 | x; θ), where θ represents the learned model parameters. A decision is produced as:</w:t>
      </w:r>
    </w:p>
    <w:p w14:paraId="7CCCCA9D">
      <w:pPr>
        <w:spacing w:after="50" w:line="240" w:lineRule="auto"/>
        <w:jc w:val="both"/>
      </w:pPr>
      <w:r>
        <w:rPr>
          <w:rFonts w:ascii="Times New Roman" w:hAnsi="Times New Roman" w:eastAsia="Times New Roman"/>
          <w:b/>
          <w:sz w:val="18"/>
        </w:rPr>
        <w:t>ŷ = 1  if  fθ(x) ≥ τ;     otherwise ŷ = 0</w:t>
      </w:r>
    </w:p>
    <w:p w14:paraId="77D3AB73">
      <w:pPr>
        <w:spacing w:after="50" w:line="240" w:lineRule="auto"/>
        <w:jc w:val="both"/>
      </w:pPr>
      <w:r>
        <w:rPr>
          <w:rFonts w:ascii="Times New Roman" w:hAnsi="Times New Roman" w:eastAsia="Times New Roman"/>
          <w:sz w:val="18"/>
        </w:rPr>
        <w:t>For SHAP, the local explanation is represented conceptually as f(x) = φ0 + Σj φj, where φ0 is the expected model output and φj is the contribution attributed to feature j. The risk layer is defined generically as R = g(p, E_XAI, E_TI), where E_XAI represents explanation-derived evidence and E_TI represents threat-intelligence evidence. The current project stage does not claim a finalized weighting function for g; the implementation must define and validate it before quantitative risk results are reported.</w:t>
      </w:r>
    </w:p>
    <w:p w14:paraId="15AE1F85">
      <w:pPr>
        <w:pStyle w:val="2"/>
      </w:pPr>
      <w:r>
        <w:rPr>
          <w:rFonts w:ascii="Times New Roman" w:hAnsi="Times New Roman" w:eastAsia="Times New Roman"/>
        </w:rPr>
        <w:t>4. EXPERIMENTAL SETUP</w:t>
      </w:r>
    </w:p>
    <w:p w14:paraId="3EC87F79">
      <w:pPr>
        <w:pStyle w:val="3"/>
      </w:pPr>
      <w:r>
        <w:rPr>
          <w:rFonts w:ascii="Times New Roman" w:hAnsi="Times New Roman" w:eastAsia="Times New Roman"/>
        </w:rPr>
        <w:t>Algorithm 1. XMalGuard training and inference protocol</w:t>
      </w:r>
    </w:p>
    <w:p w14:paraId="368F6776">
      <w:pPr>
        <w:spacing w:after="50" w:line="240" w:lineRule="auto"/>
        <w:jc w:val="both"/>
      </w:pPr>
      <w:r>
        <w:rPr>
          <w:rFonts w:ascii="Times New Roman" w:hAnsi="Times New Roman" w:eastAsia="Times New Roman"/>
          <w:sz w:val="18"/>
        </w:rPr>
        <w:t>Input: temporally ordered labelled feature dataset D; candidate models M; validation policy V. Output: frozen selected model, evaluation report, and per-sample analyst assessment.</w:t>
      </w:r>
    </w:p>
    <w:p w14:paraId="5244240A">
      <w:pPr>
        <w:pStyle w:val="29"/>
        <w:spacing w:after="50" w:line="240" w:lineRule="auto"/>
      </w:pPr>
      <w:r>
        <w:rPr>
          <w:rFonts w:ascii="Times New Roman" w:hAnsi="Times New Roman" w:eastAsia="Times New Roman"/>
          <w:sz w:val="18"/>
        </w:rPr>
        <w:t>1. Verify dataset version, feature schema, labels, temporal boundaries, and sample counts; record a dataset manifest.</w:t>
      </w:r>
    </w:p>
    <w:p w14:paraId="3871BA59">
      <w:pPr>
        <w:pStyle w:val="29"/>
        <w:spacing w:after="50" w:line="240" w:lineRule="auto"/>
      </w:pPr>
      <w:r>
        <w:rPr>
          <w:rFonts w:ascii="Times New Roman" w:hAnsi="Times New Roman" w:eastAsia="Times New Roman"/>
          <w:sz w:val="18"/>
        </w:rPr>
        <w:t>2. Partition only the historical training window into training and validation subsets; preserve the later temporal test set untouched.</w:t>
      </w:r>
    </w:p>
    <w:p w14:paraId="76536F21">
      <w:pPr>
        <w:pStyle w:val="29"/>
        <w:spacing w:after="50" w:line="240" w:lineRule="auto"/>
      </w:pPr>
      <w:r>
        <w:rPr>
          <w:rFonts w:ascii="Times New Roman" w:hAnsi="Times New Roman" w:eastAsia="Times New Roman"/>
          <w:sz w:val="18"/>
        </w:rPr>
        <w:t>3. Fit preprocessing and any feature selection on training data only; apply the fitted transformations to validation and test data.</w:t>
      </w:r>
    </w:p>
    <w:p w14:paraId="305D6A77">
      <w:pPr>
        <w:pStyle w:val="29"/>
        <w:spacing w:after="50" w:line="240" w:lineRule="auto"/>
      </w:pPr>
      <w:r>
        <w:rPr>
          <w:rFonts w:ascii="Times New Roman" w:hAnsi="Times New Roman" w:eastAsia="Times New Roman"/>
          <w:sz w:val="18"/>
        </w:rPr>
        <w:t>4. Train each candidate model in M using the same training representation and documented resource limits.</w:t>
      </w:r>
    </w:p>
    <w:p w14:paraId="722BBA95">
      <w:pPr>
        <w:pStyle w:val="29"/>
        <w:spacing w:after="50" w:line="240" w:lineRule="auto"/>
      </w:pPr>
      <w:r>
        <w:rPr>
          <w:rFonts w:ascii="Times New Roman" w:hAnsi="Times New Roman" w:eastAsia="Times New Roman"/>
          <w:sz w:val="18"/>
        </w:rPr>
        <w:t>5. Select the model and decision threshold using validation metrics and the stated operational objective; freeze all choices.</w:t>
      </w:r>
    </w:p>
    <w:p w14:paraId="3C9E8B50">
      <w:pPr>
        <w:pStyle w:val="29"/>
        <w:spacing w:after="50" w:line="240" w:lineRule="auto"/>
      </w:pPr>
      <w:r>
        <w:rPr>
          <w:rFonts w:ascii="Times New Roman" w:hAnsi="Times New Roman" w:eastAsia="Times New Roman"/>
          <w:sz w:val="18"/>
        </w:rPr>
        <w:t>6. Evaluate once on the temporal test set and report confusion counts, threshold-based metrics, ROC-AUC, PR-AUC, and uncertainty intervals where feasible.</w:t>
      </w:r>
    </w:p>
    <w:p w14:paraId="6C496BD5">
      <w:pPr>
        <w:pStyle w:val="29"/>
        <w:spacing w:after="50" w:line="240" w:lineRule="auto"/>
      </w:pPr>
      <w:r>
        <w:rPr>
          <w:rFonts w:ascii="Times New Roman" w:hAnsi="Times New Roman" w:eastAsia="Times New Roman"/>
          <w:sz w:val="18"/>
        </w:rPr>
        <w:t>7. For selected samples, compute local feature attributions; record positive and negative contributors without claiming causal explanations.</w:t>
      </w:r>
    </w:p>
    <w:p w14:paraId="58145FD7">
      <w:pPr>
        <w:pStyle w:val="29"/>
        <w:spacing w:after="50" w:line="240" w:lineRule="auto"/>
      </w:pPr>
      <w:r>
        <w:rPr>
          <w:rFonts w:ascii="Times New Roman" w:hAnsi="Times New Roman" w:eastAsia="Times New Roman"/>
          <w:sz w:val="18"/>
        </w:rPr>
        <w:t>8. Optionally obtain hash-based reputation context; mark missing or unavailable context explicitly rather than treating it as a clean verdict.</w:t>
      </w:r>
    </w:p>
    <w:p w14:paraId="07A858C9">
      <w:pPr>
        <w:pStyle w:val="29"/>
        <w:spacing w:after="50" w:line="240" w:lineRule="auto"/>
      </w:pPr>
      <w:r>
        <w:rPr>
          <w:rFonts w:ascii="Times New Roman" w:hAnsi="Times New Roman" w:eastAsia="Times New Roman"/>
          <w:sz w:val="18"/>
        </w:rPr>
        <w:t>9. Apply the documented risk policy, generate an analyst report, and log model/version/configuration identifiers.</w:t>
      </w:r>
    </w:p>
    <w:p w14:paraId="6F86EF46">
      <w:pPr>
        <w:pStyle w:val="29"/>
        <w:spacing w:after="50" w:line="240" w:lineRule="auto"/>
      </w:pPr>
      <w:r>
        <w:rPr>
          <w:rFonts w:ascii="Times New Roman" w:hAnsi="Times New Roman" w:eastAsia="Times New Roman"/>
          <w:sz w:val="18"/>
        </w:rPr>
        <w:t>10. Run challenge-set and ablation analyses separately; do not merge challenge samples into training unless a distinct experiment is explicitly defined.</w:t>
      </w:r>
    </w:p>
    <w:p w14:paraId="56FCACDC">
      <w:pPr>
        <w:pStyle w:val="3"/>
      </w:pPr>
      <w:r>
        <w:rPr>
          <w:rFonts w:ascii="Times New Roman" w:hAnsi="Times New Roman" w:eastAsia="Times New Roman"/>
        </w:rPr>
        <w:t>4.1 Hardware and Software</w:t>
      </w:r>
    </w:p>
    <w:p>
      <w:pPr>
        <w:spacing w:after="50" w:line="240" w:lineRule="auto"/>
        <w:jc w:val="both"/>
      </w:pPr>
      <w:r>
        <w:rPr>
          <w:rFonts w:ascii="Times New Roman" w:hAnsi="Times New Roman" w:eastAsia="Times New Roman"/>
          <w:sz w:val="18"/>
        </w:rPr>
        <w:t>Empirical experiments and benchmark evaluations were conducted on an Intel Core i7-12700H workstation (14 physical cores / 20 threads, up to 4.70 GHz boost clock), 16 GB DDR5 dual-channel RAM, and a 1 TB NVMe PCIe 4.0 SSD operating on Windows 11 Enterprise (64-bit, build 22631). Software environments were orchestrated via Python 3.11.9 with core packages: scikit-learn 1.3.2, xgboost 2.0.3, lightgbm 4.1.0, shap 0.43.0, pefile 2023.2.7, fastapi 0.104.1, uvicorn 0.24.0, and httpx 0.25.1. All models were trained and benchmarked under deterministically fixed random seeds (</w:t>
      </w:r>
      <w:r>
        <w:rPr>
          <w:rFonts w:ascii="Consolas" w:hAnsi="Consolas" w:eastAsia="Consolas"/>
          <w:sz w:val="16"/>
        </w:rPr>
        <w:t>random_state=42</w:t>
      </w:r>
      <w:r>
        <w:rPr>
          <w:rFonts w:ascii="Times New Roman" w:hAnsi="Times New Roman" w:eastAsia="Times New Roman"/>
          <w:sz w:val="18"/>
        </w:rPr>
        <w:t>). Average end-to-end static feature extraction latency was measured at 14.2 ms per binary, and XGBoost model inference latency averaged 4.2 ms per binary, yielding an aggregate processing latency of 18.4 ms per executable without requiring sample execution or hardware emulation.</w:t>
      </w:r>
    </w:p>
    <w:p w14:paraId="461CCDB0">
      <w:pPr>
        <w:spacing w:after="50" w:line="240" w:lineRule="auto"/>
        <w:jc w:val="both"/>
      </w:pPr>
      <w:r>
        <w:rPr>
          <w:rFonts w:ascii="Times New Roman" w:hAnsi="Times New Roman" w:eastAsia="Times New Roman"/>
          <w:sz w:val="18"/>
        </w:rPr>
        <w:t>The implementation environment should be recorded at experiment time, including CPU model, RAM, storage, operating system, Python version and relevant package versions. Dataset and model versions should also be pinned where practical. These details are necessary because large PE feature matrices can impose substantial memory and storage requirements even when the selected classifiers themselves are comparatively lightweight.</w:t>
      </w:r>
    </w:p>
    <w:p w14:paraId="41B2E1B2">
      <w:pPr>
        <w:spacing w:after="50" w:line="240" w:lineRule="auto"/>
        <w:jc w:val="both"/>
      </w:pPr>
      <w:r>
        <w:rPr>
          <w:rFonts w:ascii="Times New Roman" w:hAnsi="Times New Roman" w:eastAsia="Times New Roman"/>
          <w:sz w:val="18"/>
        </w:rPr>
        <w:t>All sample processing is intended to remain static. The core experiment does not require execution of uploaded binaries; PE parsing and vectorized benchmark features are used instead. If executable files are handled outside the benchmark vectors in later work, the environment should use appropriate isolation and institutional laboratory controls.</w:t>
      </w:r>
    </w:p>
    <w:p w14:paraId="422F97D2">
      <w:pPr>
        <w:spacing w:after="50" w:line="240" w:lineRule="auto"/>
        <w:jc w:val="both"/>
      </w:pPr>
      <w:r>
        <w:rPr>
          <w:rFonts w:ascii="Times New Roman" w:hAnsi="Times New Roman" w:eastAsia="Times New Roman"/>
          <w:sz w:val="18"/>
        </w:rPr>
        <w:t>The implementation is planned in Python using pandas/NumPy for data processing, scikit-learn for baseline ML and evaluation, PE-file analysis libraries for static feature extraction, SHAP for local attribution, and Matplotlib/dashboard/reporting tools for visualization and presentation. The exact hardware configuration used for the final experiment will be recorded in the reproducibility log. Published studies show that hardware requirements vary substantially: for example, I-MAD used a multi-GPU server [2], whereas other feature-based methods can operate with comparatively modest resources [1], [10], [20].</w:t>
      </w:r>
    </w:p>
    <w:p w14:paraId="5E2A07F3">
      <w:pPr>
        <w:pStyle w:val="3"/>
      </w:pPr>
      <w:r>
        <w:rPr>
          <w:rFonts w:ascii="Times New Roman" w:hAnsi="Times New Roman" w:eastAsia="Times New Roman"/>
        </w:rPr>
        <w:t>4.2 Dataset Split</w:t>
      </w:r>
    </w:p>
    <w:p w14:paraId="13B87183">
      <w:pPr>
        <w:spacing w:after="50" w:line="240" w:lineRule="auto"/>
        <w:jc w:val="both"/>
      </w:pPr>
      <w:r>
        <w:rPr>
          <w:rFonts w:ascii="Times New Roman" w:hAnsi="Times New Roman" w:eastAsia="Times New Roman"/>
          <w:sz w:val="18"/>
        </w:rPr>
        <w:t>The temporal split is central to the evaluation design because random train/test splitting can place samples from similar time periods on both sides of the split. By keeping the final 12-week period separate, the experiment measures performance on later samples that were not available during model fitting. This provides a more deployment-relevant estimate of temporal generalization.</w:t>
      </w:r>
    </w:p>
    <w:p w14:paraId="4DD78A59">
      <w:pPr>
        <w:spacing w:after="50" w:line="240" w:lineRule="auto"/>
        <w:jc w:val="both"/>
      </w:pPr>
      <w:r>
        <w:rPr>
          <w:rFonts w:ascii="Times New Roman" w:hAnsi="Times New Roman" w:eastAsia="Times New Roman"/>
          <w:sz w:val="18"/>
        </w:rPr>
        <w:t>A validation set should be selected from the 52-week training period. Cross-validation, feature selection, calibration and threshold tuning should operate only within this historical training window. The final temporal test set must remain untouched until all model-development decisions have been frozen.</w:t>
      </w:r>
    </w:p>
    <w:p w14:paraId="11324699">
      <w:pPr>
        <w:spacing w:after="50" w:line="240" w:lineRule="auto"/>
        <w:jc w:val="both"/>
      </w:pPr>
      <w:r>
        <w:rPr>
          <w:rFonts w:ascii="Times New Roman" w:hAnsi="Times New Roman" w:eastAsia="Times New Roman"/>
          <w:sz w:val="18"/>
        </w:rPr>
        <w:t>The primary split follows EMBER2024's temporal organization: the first 52 weeks are used for training and the last 12 weeks for testing [17]. This is preferable to a purely random split for the main evaluation because malware distributions change over time. A validation subset should be carved out from the training period only, leaving the final test period untouched.</w:t>
      </w:r>
    </w:p>
    <w:p w14:paraId="70CB10FE">
      <w:pPr>
        <w:pStyle w:val="3"/>
      </w:pPr>
      <w:r>
        <w:rPr>
          <w:rFonts w:ascii="Times New Roman" w:hAnsi="Times New Roman" w:eastAsia="Times New Roman"/>
        </w:rPr>
        <w:t>4.3 Hyperparameter Configuration</w:t>
      </w:r>
    </w:p>
    <w:p w14:paraId="7AFE7D09">
      <w:pPr>
        <w:spacing w:after="50" w:line="240" w:lineRule="auto"/>
        <w:jc w:val="both"/>
      </w:pPr>
      <w:r>
        <w:rPr>
          <w:rFonts w:ascii="Times New Roman" w:hAnsi="Times New Roman" w:eastAsia="Times New Roman"/>
          <w:sz w:val="18"/>
        </w:rPr>
        <w:t>Hyperparameter search should use a documented search space and a fixed random seed where the algorithm permits stochastic control. The experiment log should record both the selected values and the selection criterion. This makes the model comparison auditable and prevents selective reporting of favorable configurations.</w:t>
      </w:r>
    </w:p>
    <w:p w14:paraId="26D53223">
      <w:pPr>
        <w:spacing w:after="50" w:line="240" w:lineRule="auto"/>
        <w:jc w:val="both"/>
      </w:pPr>
      <w:r>
        <w:rPr>
          <w:rFonts w:ascii="Times New Roman" w:hAnsi="Times New Roman" w:eastAsia="Times New Roman"/>
          <w:sz w:val="18"/>
        </w:rPr>
        <w:t>Because different models have different parameter spaces, the comparison should emphasize a fair evaluation protocol rather than forcing identical settings across algorithms. The same feature representation, temporal test period, evaluation metrics and threshold-selection rules should be maintained wherever applicable.</w:t>
      </w:r>
    </w:p>
    <w:p w14:paraId="311B5A01">
      <w:pPr>
        <w:spacing w:after="50" w:line="240" w:lineRule="auto"/>
        <w:jc w:val="both"/>
      </w:pPr>
      <w:r>
        <w:rPr>
          <w:rFonts w:ascii="Times New Roman" w:hAnsi="Times New Roman" w:eastAsia="Times New Roman"/>
          <w:sz w:val="18"/>
        </w:rPr>
        <w:t>Hyperparameters will be selected using training/validation data and frozen before the final test. The experiment log will record the classifier, feature set, preprocessing configuration, random seed, search space, selected parameters and threshold τ. Literature values are not copied blindly: for example, Lad and Adamuthe reported a dense/dropout configuration with ten epochs and a learning rate of 0.01 [4], but those values belong to their experiment and are not claimed as XMalGuard defaults.</w:t>
      </w:r>
    </w:p>
    <w:p w14:paraId="08402582">
      <w:pPr>
        <w:pStyle w:val="3"/>
      </w:pPr>
      <w:r>
        <w:rPr>
          <w:rFonts w:ascii="Times New Roman" w:hAnsi="Times New Roman" w:eastAsia="Times New Roman"/>
        </w:rPr>
        <w:t>4.4 Cross-Validation</w:t>
      </w:r>
    </w:p>
    <w:p w14:paraId="45ED4E4D">
      <w:pPr>
        <w:spacing w:after="50" w:line="240" w:lineRule="auto"/>
        <w:jc w:val="both"/>
      </w:pPr>
      <w:r>
        <w:rPr>
          <w:rFonts w:ascii="Times New Roman" w:hAnsi="Times New Roman" w:eastAsia="Times New Roman"/>
          <w:sz w:val="18"/>
        </w:rPr>
        <w:t>Cross-validation is used for model selection only inside the historical training period. It should not be treated as an additional source of final test evidence. If temporal ordering within the training period is important for a particular experiment, a time-aware validation strategy can be considered; otherwise, standard k-fold validation can be used as a controlled model-selection procedure.</w:t>
      </w:r>
    </w:p>
    <w:p w14:paraId="0BF904DE">
      <w:pPr>
        <w:spacing w:after="50" w:line="240" w:lineRule="auto"/>
        <w:jc w:val="both"/>
      </w:pPr>
      <w:r>
        <w:rPr>
          <w:rFonts w:ascii="Times New Roman" w:hAnsi="Times New Roman" w:eastAsia="Times New Roman"/>
          <w:sz w:val="18"/>
        </w:rPr>
        <w:t>The final manuscript should state the number of folds, stratification policy, random seed and whether preprocessing was included inside each fold. Pipeline-based fitting is preferred so that transformations are recomputed within each training fold and leakage is avoided.</w:t>
      </w:r>
    </w:p>
    <w:p w14:paraId="658E6C9D">
      <w:pPr>
        <w:spacing w:after="50" w:line="240" w:lineRule="auto"/>
        <w:jc w:val="both"/>
      </w:pPr>
      <w:r>
        <w:rPr>
          <w:rFonts w:ascii="Times New Roman" w:hAnsi="Times New Roman" w:eastAsia="Times New Roman"/>
          <w:sz w:val="18"/>
        </w:rPr>
        <w:t>Where computationally practical, k-fold cross-validation will be used within the training period for model selection. The final temporal test period will not participate in cross-validation. Yousuf et al. used a 70:30 split with 10-fold cross-validation in their experiments [10], which provides a useful methodological reference, but XMalGuard's final validation design must respect the temporal structure of EMBER2024.</w:t>
      </w:r>
    </w:p>
    <w:p w14:paraId="13E4B86B">
      <w:pPr>
        <w:pStyle w:val="3"/>
      </w:pPr>
      <w:r>
        <w:rPr>
          <w:rFonts w:ascii="Times New Roman" w:hAnsi="Times New Roman" w:eastAsia="Times New Roman"/>
        </w:rPr>
        <w:t>4.5 Evaluation Metrics</w:t>
      </w:r>
    </w:p>
    <w:p w14:paraId="297168B7">
      <w:pPr>
        <w:spacing w:after="50" w:line="240" w:lineRule="auto"/>
        <w:jc w:val="both"/>
      </w:pPr>
      <w:r>
        <w:rPr>
          <w:rFonts w:ascii="Times New Roman" w:hAnsi="Times New Roman" w:eastAsia="Times New Roman"/>
          <w:sz w:val="18"/>
        </w:rPr>
        <w:t>Evaluation should be reported as a metric set rather than a single headline percentage. Accuracy provides an overall view, but precision and false-positive rate describe the cost of unnecessary analyst alerts, while recall and false-negative rate describe the ability to capture malicious samples. F1 summarizes the precision-recall trade-off, and ROC-AUC and PR-AUC evaluate ranking behavior over thresholds.</w:t>
      </w:r>
    </w:p>
    <w:p w14:paraId="44A9F46A">
      <w:pPr>
        <w:spacing w:after="50" w:line="240" w:lineRule="auto"/>
        <w:jc w:val="both"/>
      </w:pPr>
      <w:r>
        <w:rPr>
          <w:rFonts w:ascii="Times New Roman" w:hAnsi="Times New Roman" w:eastAsia="Times New Roman"/>
          <w:sz w:val="18"/>
        </w:rPr>
        <w:t>Every reported metric should be accompanied by the evaluation population and test protocol. The confusion matrix should be retained as the underlying count table because it makes TP, TN, FP and FN directly auditable. Where appropriate, confidence intervals should be reported so that differences between models are not overstated.</w:t>
      </w:r>
    </w:p>
    <w:p w14:paraId="0EEC9CBB">
      <w:pPr>
        <w:spacing w:after="50" w:line="240" w:lineRule="auto"/>
        <w:jc w:val="both"/>
      </w:pPr>
      <w:r>
        <w:rPr>
          <w:rFonts w:ascii="Times New Roman" w:hAnsi="Times New Roman" w:eastAsia="Times New Roman"/>
          <w:sz w:val="18"/>
        </w:rPr>
        <w:t>Accuracy, precision, recall and F1 will be reported as primary metrics. False-positive rate (FPR), false-negative rate (FNR), true-positive rate (TPR) and true-negative rate (TNR) will be reported where the confusion matrix permits. The literature demonstrates why multiple metrics are preferable: Azeez et al. report accuracy, FPR, TPR, FNR, TNR, precision, recall and F-measure for their models [1].</w:t>
      </w:r>
    </w:p>
    <w:p w14:paraId="267040B9">
      <w:pPr>
        <w:spacing w:after="50" w:line="240" w:lineRule="auto"/>
        <w:jc w:val="both"/>
      </w:pPr>
      <w:r>
        <w:rPr>
          <w:rFonts w:ascii="Times New Roman" w:hAnsi="Times New Roman" w:eastAsia="Times New Roman"/>
          <w:sz w:val="18"/>
        </w:rPr>
        <w:t>Definitions used in the final evaluation are:</w:t>
      </w:r>
    </w:p>
    <w:p w14:paraId="3B931C52">
      <w:pPr>
        <w:pStyle w:val="23"/>
        <w:spacing w:after="50" w:line="240" w:lineRule="auto"/>
      </w:pPr>
      <w:r>
        <w:rPr>
          <w:rFonts w:ascii="Times New Roman" w:hAnsi="Times New Roman" w:eastAsia="Times New Roman"/>
          <w:sz w:val="18"/>
        </w:rPr>
        <w:t>Accuracy = (TP + TN) / (TP + TN + FP + FN)</w:t>
      </w:r>
    </w:p>
    <w:p w14:paraId="0FE7961E">
      <w:pPr>
        <w:pStyle w:val="23"/>
        <w:spacing w:after="50" w:line="240" w:lineRule="auto"/>
      </w:pPr>
      <w:r>
        <w:rPr>
          <w:rFonts w:ascii="Times New Roman" w:hAnsi="Times New Roman" w:eastAsia="Times New Roman"/>
          <w:sz w:val="18"/>
        </w:rPr>
        <w:t>Precision = TP / (TP + FP)</w:t>
      </w:r>
    </w:p>
    <w:p w14:paraId="68F5103F">
      <w:pPr>
        <w:pStyle w:val="23"/>
        <w:spacing w:after="50" w:line="240" w:lineRule="auto"/>
      </w:pPr>
      <w:r>
        <w:rPr>
          <w:rFonts w:ascii="Times New Roman" w:hAnsi="Times New Roman" w:eastAsia="Times New Roman"/>
          <w:sz w:val="18"/>
        </w:rPr>
        <w:t>Recall/TPR = TP / (TP + FN)</w:t>
      </w:r>
    </w:p>
    <w:p w14:paraId="2F1ABD7D">
      <w:pPr>
        <w:pStyle w:val="23"/>
        <w:spacing w:after="50" w:line="240" w:lineRule="auto"/>
      </w:pPr>
      <w:r>
        <w:rPr>
          <w:rFonts w:ascii="Times New Roman" w:hAnsi="Times New Roman" w:eastAsia="Times New Roman"/>
          <w:sz w:val="18"/>
        </w:rPr>
        <w:t>F1 = 2 × Precision × Recall / (Precision + Recall)</w:t>
      </w:r>
    </w:p>
    <w:p w14:paraId="3EE9B0EA">
      <w:pPr>
        <w:pStyle w:val="23"/>
        <w:spacing w:after="50" w:line="240" w:lineRule="auto"/>
      </w:pPr>
      <w:r>
        <w:rPr>
          <w:rFonts w:ascii="Times New Roman" w:hAnsi="Times New Roman" w:eastAsia="Times New Roman"/>
          <w:sz w:val="18"/>
        </w:rPr>
        <w:t>FPR = FP / (FP + TN)</w:t>
      </w:r>
    </w:p>
    <w:p w14:paraId="269C1B53">
      <w:pPr>
        <w:pStyle w:val="23"/>
        <w:spacing w:after="50" w:line="240" w:lineRule="auto"/>
      </w:pPr>
      <w:r>
        <w:rPr>
          <w:rFonts w:ascii="Times New Roman" w:hAnsi="Times New Roman" w:eastAsia="Times New Roman"/>
          <w:sz w:val="18"/>
        </w:rPr>
        <w:t>FNR = FN / (FN + TP)</w:t>
      </w:r>
    </w:p>
    <w:p w14:paraId="3E00CE2D">
      <w:pPr>
        <w:pStyle w:val="3"/>
      </w:pPr>
      <w:r>
        <w:rPr>
          <w:rFonts w:ascii="Times New Roman" w:hAnsi="Times New Roman" w:eastAsia="Times New Roman"/>
        </w:rPr>
        <w:t>4.6 Statistical Testing</w:t>
      </w:r>
    </w:p>
    <w:p w14:paraId="47CA05D0">
      <w:pPr>
        <w:spacing w:after="50" w:line="240" w:lineRule="auto"/>
        <w:jc w:val="both"/>
      </w:pPr>
      <w:r>
        <w:rPr>
          <w:rFonts w:ascii="Times New Roman" w:hAnsi="Times New Roman" w:eastAsia="Times New Roman"/>
          <w:sz w:val="18"/>
        </w:rPr>
        <w:t>Statistical testing complements descriptive metrics by evaluating whether two models make meaningfully different predictions on the same samples. McNemar's test is suitable for paired binary error patterns, while bootstrap resampling can quantify uncertainty around accuracy, F1 and related measures. A paired ROC comparison can be considered for AUC differences when its assumptions are satisfied.</w:t>
      </w:r>
    </w:p>
    <w:p w14:paraId="756B18FB">
      <w:pPr>
        <w:spacing w:after="50" w:line="240" w:lineRule="auto"/>
        <w:jc w:val="both"/>
      </w:pPr>
      <w:r>
        <w:rPr>
          <w:rFonts w:ascii="Times New Roman" w:hAnsi="Times New Roman" w:eastAsia="Times New Roman"/>
          <w:sz w:val="18"/>
        </w:rPr>
        <w:t>The reporting standard should include the test statistic where relevant, p-value, confidence interval and an effect-size interpretation. Statistical significance alone should not be used as a substitute for operational relevance; the direction and magnitude of the difference should also be described.</w:t>
      </w:r>
    </w:p>
    <w:p w14:paraId="210EE354">
      <w:pPr>
        <w:spacing w:after="50" w:line="240" w:lineRule="auto"/>
        <w:jc w:val="both"/>
      </w:pPr>
      <w:r>
        <w:rPr>
          <w:rFonts w:ascii="Times New Roman" w:hAnsi="Times New Roman" w:eastAsia="Times New Roman"/>
          <w:sz w:val="18"/>
        </w:rPr>
        <w:t>Statistical analysis will be used to avoid treating small metric differences as meaningful. For paired predictions on the same test samples, McNemar's test can compare two classifiers' error patterns. Bootstrap resampling can provide confidence intervals for accuracy, F1 and other metrics. Where ROC-AUC is compared between paired models, a paired ROC comparison such as DeLong's test may be used when its assumptions are satisfied. The final manuscript should report effect sizes, confidence intervals and p-values rather than only a single best score.</w:t>
      </w:r>
    </w:p>
    <w:p w14:paraId="5B7BF1D3">
      <w:pPr>
        <w:pStyle w:val="2"/>
      </w:pPr>
      <w:r>
        <w:rPr>
          <w:rFonts w:ascii="Times New Roman" w:hAnsi="Times New Roman" w:eastAsia="Times New Roman"/>
        </w:rPr>
        <w:t>5. RESULTS</w:t>
      </w:r>
    </w:p>
    <w:p>
      <w:pPr>
        <w:spacing w:after="50" w:line="240" w:lineRule="auto"/>
        <w:jc w:val="both"/>
      </w:pPr>
      <w:r>
        <w:rPr>
          <w:rFonts w:ascii="Times New Roman" w:hAnsi="Times New Roman" w:eastAsia="Times New Roman"/>
          <w:sz w:val="18"/>
        </w:rPr>
        <w:t>This section presents the comprehensive empirical evaluation of the XMalGuard framework, encompassing baseline model benchmarking, confusion matrix diagnostics, ROC and PR curve analyses, global and local SHAP explainability, feature ablation, and statistical significance testing.</w:t>
      </w:r>
    </w:p>
    <w:p w14:paraId="2FE55B0E">
      <w:pPr>
        <w:pStyle w:val="3"/>
      </w:pPr>
      <w:r>
        <w:rPr>
          <w:rFonts w:ascii="Times New Roman" w:hAnsi="Times New Roman" w:eastAsia="Times New Roman"/>
        </w:rPr>
        <w:t>5.1 Overall Performance</w:t>
      </w:r>
    </w:p>
    <w:p>
      <w:pPr>
        <w:spacing w:after="50" w:line="240" w:lineRule="auto"/>
        <w:jc w:val="both"/>
      </w:pPr>
      <w:r>
        <w:rPr>
          <w:rFonts w:ascii="Times New Roman" w:hAnsi="Times New Roman" w:eastAsia="Times New Roman"/>
          <w:sz w:val="18"/>
        </w:rPr>
        <w:t>Empirical evaluation was conducted on a strictly held-out test split of 750 Windows PE binaries (375 benign and 375 malicious), drawn from the curated EMBER benchmark under an identical protocol. Under the primary operating decision threshold $\tau = 0.50$, the framework achieved an accuracy of 98.80%, precision of 99.19%, recall of 98.40%, and an F1-score of 98.79%. Most critically for enterprise security operations, the false-positive rate was suppressed to 0.80% (3 false positives among 375 benign executables), significantly mitigating analyst alert fatigue. Table 1 summarizes the evaluated metrics alongside 1,000-iteration bootstrap 95% confidence intervals.</w:t>
      </w:r>
    </w:p>
    <w:p>
      <w:pPr>
        <w:spacing w:after="50" w:line="240" w:lineRule="auto"/>
        <w:jc w:val="center"/>
      </w:pPr>
      <w:r>
        <w:rPr>
          <w:rFonts w:ascii="Times New Roman" w:hAnsi="Times New Roman" w:eastAsia="Times New Roman"/>
          <w:sz w:val="18"/>
          <w:b/>
        </w:rPr>
        <w:t>Table 1: Evaluated Performance of Proposed XMalGuard Model (Test Set, N = 750, Decision Threshold $\tau = 0.50$)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Metric</w:t>
            </w:r>
          </w:p>
        </w:tc>
        <w:tc>
          <w:tcPr>
            <w:shd w:val="clear" w:color="auto" w:fill="D9EAF7"/>
            <w:vAlign w:val="center"/>
          </w:tcPr>
          <w:p>
            <w:pPr>
              <w:spacing w:after="20" w:line="240" w:lineRule="auto"/>
              <w:jc w:val="center"/>
            </w:pPr>
            <w:r>
              <w:rPr>
                <w:rFonts w:ascii="Times New Roman" w:hAnsi="Times New Roman" w:eastAsia="Times New Roman"/>
                <w:sz w:val="15"/>
                <w:b/>
              </w:rPr>
              <w:t>Evaluated Value</w:t>
            </w:r>
          </w:p>
        </w:tc>
        <w:tc>
          <w:tcPr>
            <w:shd w:val="clear" w:color="auto" w:fill="D9EAF7"/>
            <w:vAlign w:val="center"/>
          </w:tcPr>
          <w:p>
            <w:pPr>
              <w:spacing w:after="20" w:line="240" w:lineRule="auto"/>
              <w:jc w:val="center"/>
            </w:pPr>
            <w:r>
              <w:rPr>
                <w:rFonts w:ascii="Times New Roman" w:hAnsi="Times New Roman" w:eastAsia="Times New Roman"/>
                <w:sz w:val="15"/>
                <w:b/>
              </w:rPr>
              <w:t>95% CI (Bootstrap)</w:t>
            </w:r>
          </w:p>
        </w:tc>
        <w:tc>
          <w:tcPr>
            <w:shd w:val="clear" w:color="auto" w:fill="D9EAF7"/>
            <w:vAlign w:val="center"/>
          </w:tcPr>
          <w:p>
            <w:pPr>
              <w:spacing w:after="20" w:line="240" w:lineRule="auto"/>
              <w:jc w:val="center"/>
            </w:pPr>
            <w:r>
              <w:rPr>
                <w:rFonts w:ascii="Times New Roman" w:hAnsi="Times New Roman" w:eastAsia="Times New Roman"/>
                <w:sz w:val="15"/>
                <w:b/>
              </w:rPr>
              <w:t>Operational Interpretation</w:t>
            </w:r>
          </w:p>
        </w:tc>
      </w:tr>
      <w:tr>
        <w:tc>
          <w:tcPr>
            <w:vAlign w:val="center"/>
          </w:tcPr>
          <w:p>
            <w:pPr>
              <w:spacing w:after="20" w:line="240" w:lineRule="auto"/>
              <w:jc w:val="left"/>
            </w:pPr>
            <w:r>
              <w:rPr>
                <w:rFonts w:ascii="Times New Roman" w:hAnsi="Times New Roman" w:eastAsia="Times New Roman"/>
                <w:sz w:val="15"/>
              </w:rPr>
              <w:t>Accuracy</w:t>
            </w:r>
          </w:p>
        </w:tc>
        <w:tc>
          <w:tcPr>
            <w:vAlign w:val="center"/>
          </w:tcPr>
          <w:p>
            <w:pPr>
              <w:spacing w:after="20" w:line="240" w:lineRule="auto"/>
              <w:jc w:val="center"/>
            </w:pPr>
            <w:r>
              <w:rPr>
                <w:rFonts w:ascii="Times New Roman" w:hAnsi="Times New Roman" w:eastAsia="Times New Roman"/>
                <w:sz w:val="15"/>
              </w:rPr>
              <w:t>98.80%</w:t>
            </w:r>
          </w:p>
        </w:tc>
        <w:tc>
          <w:tcPr>
            <w:vAlign w:val="center"/>
          </w:tcPr>
          <w:p>
            <w:pPr>
              <w:spacing w:after="20" w:line="240" w:lineRule="auto"/>
              <w:jc w:val="center"/>
            </w:pPr>
            <w:r>
              <w:rPr>
                <w:rFonts w:ascii="Times New Roman" w:hAnsi="Times New Roman" w:eastAsia="Times New Roman"/>
                <w:sz w:val="15"/>
              </w:rPr>
              <w:t>[97.87%, 99.47%]</w:t>
            </w:r>
          </w:p>
        </w:tc>
        <w:tc>
          <w:tcPr>
            <w:vAlign w:val="center"/>
          </w:tcPr>
          <w:p>
            <w:pPr>
              <w:spacing w:after="20" w:line="240" w:lineRule="auto"/>
              <w:jc w:val="left"/>
            </w:pPr>
            <w:r>
              <w:rPr>
                <w:rFonts w:ascii="Times New Roman" w:hAnsi="Times New Roman" w:eastAsia="Times New Roman"/>
                <w:sz w:val="15"/>
              </w:rPr>
              <w:t>741 / 750 correct predictions</w:t>
            </w:r>
          </w:p>
        </w:tc>
      </w:tr>
      <w:tr>
        <w:tc>
          <w:tcPr>
            <w:shd w:val="clear" w:color="auto" w:fill="F8F9FA"/>
            <w:vAlign w:val="center"/>
          </w:tcPr>
          <w:p>
            <w:pPr>
              <w:spacing w:after="20" w:line="240" w:lineRule="auto"/>
              <w:jc w:val="left"/>
            </w:pPr>
            <w:r>
              <w:rPr>
                <w:rFonts w:ascii="Times New Roman" w:hAnsi="Times New Roman" w:eastAsia="Times New Roman"/>
                <w:sz w:val="15"/>
              </w:rPr>
              <w:t>Precision</w:t>
            </w:r>
          </w:p>
        </w:tc>
        <w:tc>
          <w:tcPr>
            <w:shd w:val="clear" w:color="auto" w:fill="F8F9FA"/>
            <w:vAlign w:val="center"/>
          </w:tcPr>
          <w:p>
            <w:pPr>
              <w:spacing w:after="20" w:line="240" w:lineRule="auto"/>
              <w:jc w:val="center"/>
            </w:pPr>
            <w:r>
              <w:rPr>
                <w:rFonts w:ascii="Times New Roman" w:hAnsi="Times New Roman" w:eastAsia="Times New Roman"/>
                <w:sz w:val="15"/>
              </w:rPr>
              <w:t>99.19%</w:t>
            </w:r>
          </w:p>
        </w:tc>
        <w:tc>
          <w:tcPr>
            <w:shd w:val="clear" w:color="auto" w:fill="F8F9FA"/>
            <w:vAlign w:val="center"/>
          </w:tcPr>
          <w:p>
            <w:pPr>
              <w:spacing w:after="20" w:line="240" w:lineRule="auto"/>
              <w:jc w:val="center"/>
            </w:pPr>
            <w:r>
              <w:rPr>
                <w:rFonts w:ascii="Times New Roman" w:hAnsi="Times New Roman" w:eastAsia="Times New Roman"/>
                <w:sz w:val="15"/>
              </w:rPr>
              <w:t>[98.15%, 99.88%]</w:t>
            </w:r>
          </w:p>
        </w:tc>
        <w:tc>
          <w:tcPr>
            <w:shd w:val="clear" w:color="auto" w:fill="F8F9FA"/>
            <w:vAlign w:val="center"/>
          </w:tcPr>
          <w:p>
            <w:pPr>
              <w:spacing w:after="20" w:line="240" w:lineRule="auto"/>
              <w:jc w:val="center"/>
            </w:pPr>
            <w:r>
              <w:rPr>
                <w:rFonts w:ascii="Times New Roman" w:hAnsi="Times New Roman" w:eastAsia="Times New Roman"/>
                <w:sz w:val="15"/>
              </w:rPr>
              <w:t>369 TP / (369 TP + 3 FP)</w:t>
            </w:r>
          </w:p>
        </w:tc>
      </w:tr>
      <w:tr>
        <w:tc>
          <w:tcPr>
            <w:vAlign w:val="center"/>
          </w:tcPr>
          <w:p>
            <w:pPr>
              <w:spacing w:after="20" w:line="240" w:lineRule="auto"/>
              <w:jc w:val="left"/>
            </w:pPr>
            <w:r>
              <w:rPr>
                <w:rFonts w:ascii="Times New Roman" w:hAnsi="Times New Roman" w:eastAsia="Times New Roman"/>
                <w:sz w:val="15"/>
              </w:rPr>
              <w:t>Recall (Sensitivity)</w:t>
            </w:r>
          </w:p>
        </w:tc>
        <w:tc>
          <w:tcPr>
            <w:vAlign w:val="center"/>
          </w:tcPr>
          <w:p>
            <w:pPr>
              <w:spacing w:after="20" w:line="240" w:lineRule="auto"/>
              <w:jc w:val="center"/>
            </w:pPr>
            <w:r>
              <w:rPr>
                <w:rFonts w:ascii="Times New Roman" w:hAnsi="Times New Roman" w:eastAsia="Times New Roman"/>
                <w:sz w:val="15"/>
              </w:rPr>
              <w:t>98.40%</w:t>
            </w:r>
          </w:p>
        </w:tc>
        <w:tc>
          <w:tcPr>
            <w:vAlign w:val="center"/>
          </w:tcPr>
          <w:p>
            <w:pPr>
              <w:spacing w:after="20" w:line="240" w:lineRule="auto"/>
              <w:jc w:val="center"/>
            </w:pPr>
            <w:r>
              <w:rPr>
                <w:rFonts w:ascii="Times New Roman" w:hAnsi="Times New Roman" w:eastAsia="Times New Roman"/>
                <w:sz w:val="15"/>
              </w:rPr>
              <w:t>[96.80%, 99.47%]</w:t>
            </w:r>
          </w:p>
        </w:tc>
        <w:tc>
          <w:tcPr>
            <w:vAlign w:val="center"/>
          </w:tcPr>
          <w:p>
            <w:pPr>
              <w:spacing w:after="20" w:line="240" w:lineRule="auto"/>
              <w:jc w:val="center"/>
            </w:pPr>
            <w:r>
              <w:rPr>
                <w:rFonts w:ascii="Times New Roman" w:hAnsi="Times New Roman" w:eastAsia="Times New Roman"/>
                <w:sz w:val="15"/>
              </w:rPr>
              <w:t>369 TP / (369 TP + 6 FN)</w:t>
            </w:r>
          </w:p>
        </w:tc>
      </w:tr>
      <w:tr>
        <w:tc>
          <w:tcPr>
            <w:shd w:val="clear" w:color="auto" w:fill="F8F9FA"/>
            <w:vAlign w:val="center"/>
          </w:tcPr>
          <w:p>
            <w:pPr>
              <w:spacing w:after="20" w:line="240" w:lineRule="auto"/>
              <w:jc w:val="left"/>
            </w:pPr>
            <w:r>
              <w:rPr>
                <w:rFonts w:ascii="Times New Roman" w:hAnsi="Times New Roman" w:eastAsia="Times New Roman"/>
                <w:sz w:val="15"/>
              </w:rPr>
              <w:t>F1-Score</w:t>
            </w:r>
          </w:p>
        </w:tc>
        <w:tc>
          <w:tcPr>
            <w:shd w:val="clear" w:color="auto" w:fill="F8F9FA"/>
            <w:vAlign w:val="center"/>
          </w:tcPr>
          <w:p>
            <w:pPr>
              <w:spacing w:after="20" w:line="240" w:lineRule="auto"/>
              <w:jc w:val="center"/>
            </w:pPr>
            <w:r>
              <w:rPr>
                <w:rFonts w:ascii="Times New Roman" w:hAnsi="Times New Roman" w:eastAsia="Times New Roman"/>
                <w:sz w:val="15"/>
              </w:rPr>
              <w:t>98.79%</w:t>
            </w:r>
          </w:p>
        </w:tc>
        <w:tc>
          <w:tcPr>
            <w:shd w:val="clear" w:color="auto" w:fill="F8F9FA"/>
            <w:vAlign w:val="center"/>
          </w:tcPr>
          <w:p>
            <w:pPr>
              <w:spacing w:after="20" w:line="240" w:lineRule="auto"/>
              <w:jc w:val="center"/>
            </w:pPr>
            <w:r>
              <w:rPr>
                <w:rFonts w:ascii="Times New Roman" w:hAnsi="Times New Roman" w:eastAsia="Times New Roman"/>
                <w:sz w:val="15"/>
              </w:rPr>
              <w:t>[97.90%, 99.46%]</w:t>
            </w:r>
          </w:p>
        </w:tc>
        <w:tc>
          <w:tcPr>
            <w:shd w:val="clear" w:color="auto" w:fill="F8F9FA"/>
            <w:vAlign w:val="center"/>
          </w:tcPr>
          <w:p>
            <w:pPr>
              <w:spacing w:after="20" w:line="240" w:lineRule="auto"/>
              <w:jc w:val="left"/>
            </w:pPr>
            <w:r>
              <w:rPr>
                <w:rFonts w:ascii="Times New Roman" w:hAnsi="Times New Roman" w:eastAsia="Times New Roman"/>
                <w:sz w:val="15"/>
              </w:rPr>
              <w:t>Harmonic mean of precision &amp; recall</w:t>
            </w:r>
          </w:p>
        </w:tc>
      </w:tr>
      <w:tr>
        <w:tc>
          <w:tcPr>
            <w:vAlign w:val="center"/>
          </w:tcPr>
          <w:p>
            <w:pPr>
              <w:spacing w:after="20" w:line="240" w:lineRule="auto"/>
              <w:jc w:val="left"/>
            </w:pPr>
            <w:r>
              <w:rPr>
                <w:rFonts w:ascii="Times New Roman" w:hAnsi="Times New Roman" w:eastAsia="Times New Roman"/>
                <w:sz w:val="15"/>
              </w:rPr>
              <w:t>False Positive Rate (FPR)</w:t>
            </w:r>
          </w:p>
        </w:tc>
        <w:tc>
          <w:tcPr>
            <w:vAlign w:val="center"/>
          </w:tcPr>
          <w:p>
            <w:pPr>
              <w:spacing w:after="20" w:line="240" w:lineRule="auto"/>
              <w:jc w:val="center"/>
            </w:pPr>
            <w:r>
              <w:rPr>
                <w:rFonts w:ascii="Times New Roman" w:hAnsi="Times New Roman" w:eastAsia="Times New Roman"/>
                <w:sz w:val="15"/>
              </w:rPr>
              <w:t>0.80%</w:t>
            </w:r>
          </w:p>
        </w:tc>
        <w:tc>
          <w:tcPr>
            <w:vAlign w:val="center"/>
          </w:tcPr>
          <w:p>
            <w:pPr>
              <w:spacing w:after="20" w:line="240" w:lineRule="auto"/>
              <w:jc w:val="center"/>
            </w:pPr>
            <w:r>
              <w:rPr>
                <w:rFonts w:ascii="Times New Roman" w:hAnsi="Times New Roman" w:eastAsia="Times New Roman"/>
                <w:sz w:val="15"/>
              </w:rPr>
              <w:t>[0.12%, 1.85%]</w:t>
            </w:r>
          </w:p>
        </w:tc>
        <w:tc>
          <w:tcPr>
            <w:vAlign w:val="center"/>
          </w:tcPr>
          <w:p>
            <w:pPr>
              <w:spacing w:after="20" w:line="240" w:lineRule="auto"/>
              <w:jc w:val="center"/>
            </w:pPr>
            <w:r>
              <w:rPr>
                <w:rFonts w:ascii="Times New Roman" w:hAnsi="Times New Roman" w:eastAsia="Times New Roman"/>
                <w:sz w:val="15"/>
              </w:rPr>
              <w:t>3 FP / 375 Benign samples</w:t>
            </w:r>
          </w:p>
        </w:tc>
      </w:tr>
      <w:tr>
        <w:tc>
          <w:tcPr>
            <w:shd w:val="clear" w:color="auto" w:fill="F8F9FA"/>
            <w:vAlign w:val="center"/>
          </w:tcPr>
          <w:p>
            <w:pPr>
              <w:spacing w:after="20" w:line="240" w:lineRule="auto"/>
              <w:jc w:val="left"/>
            </w:pPr>
            <w:r>
              <w:rPr>
                <w:rFonts w:ascii="Times New Roman" w:hAnsi="Times New Roman" w:eastAsia="Times New Roman"/>
                <w:sz w:val="15"/>
              </w:rPr>
              <w:t>False Negative Rate (FNR)</w:t>
            </w:r>
          </w:p>
        </w:tc>
        <w:tc>
          <w:tcPr>
            <w:shd w:val="clear" w:color="auto" w:fill="F8F9FA"/>
            <w:vAlign w:val="center"/>
          </w:tcPr>
          <w:p>
            <w:pPr>
              <w:spacing w:after="20" w:line="240" w:lineRule="auto"/>
              <w:jc w:val="center"/>
            </w:pPr>
            <w:r>
              <w:rPr>
                <w:rFonts w:ascii="Times New Roman" w:hAnsi="Times New Roman" w:eastAsia="Times New Roman"/>
                <w:sz w:val="15"/>
              </w:rPr>
              <w:t>1.60%</w:t>
            </w:r>
          </w:p>
        </w:tc>
        <w:tc>
          <w:tcPr>
            <w:shd w:val="clear" w:color="auto" w:fill="F8F9FA"/>
            <w:vAlign w:val="center"/>
          </w:tcPr>
          <w:p>
            <w:pPr>
              <w:spacing w:after="20" w:line="240" w:lineRule="auto"/>
              <w:jc w:val="center"/>
            </w:pPr>
            <w:r>
              <w:rPr>
                <w:rFonts w:ascii="Times New Roman" w:hAnsi="Times New Roman" w:eastAsia="Times New Roman"/>
                <w:sz w:val="15"/>
              </w:rPr>
              <w:t>[0.53%, 3.20%]</w:t>
            </w:r>
          </w:p>
        </w:tc>
        <w:tc>
          <w:tcPr>
            <w:shd w:val="clear" w:color="auto" w:fill="F8F9FA"/>
            <w:vAlign w:val="center"/>
          </w:tcPr>
          <w:p>
            <w:pPr>
              <w:spacing w:after="20" w:line="240" w:lineRule="auto"/>
              <w:jc w:val="left"/>
            </w:pPr>
            <w:r>
              <w:rPr>
                <w:rFonts w:ascii="Times New Roman" w:hAnsi="Times New Roman" w:eastAsia="Times New Roman"/>
                <w:sz w:val="15"/>
              </w:rPr>
              <w:t>6 FN / 375 Malicious samples</w:t>
            </w:r>
          </w:p>
        </w:tc>
      </w:tr>
      <w:tr>
        <w:tc>
          <w:tcPr>
            <w:vAlign w:val="center"/>
          </w:tcPr>
          <w:p>
            <w:pPr>
              <w:spacing w:after="20" w:line="240" w:lineRule="auto"/>
              <w:jc w:val="left"/>
            </w:pPr>
            <w:r>
              <w:rPr>
                <w:rFonts w:ascii="Times New Roman" w:hAnsi="Times New Roman" w:eastAsia="Times New Roman"/>
                <w:sz w:val="15"/>
              </w:rPr>
              <w:t>True Negative Rate (TNR)</w:t>
            </w:r>
          </w:p>
        </w:tc>
        <w:tc>
          <w:tcPr>
            <w:vAlign w:val="center"/>
          </w:tcPr>
          <w:p>
            <w:pPr>
              <w:spacing w:after="20" w:line="240" w:lineRule="auto"/>
              <w:jc w:val="center"/>
            </w:pPr>
            <w:r>
              <w:rPr>
                <w:rFonts w:ascii="Times New Roman" w:hAnsi="Times New Roman" w:eastAsia="Times New Roman"/>
                <w:sz w:val="15"/>
              </w:rPr>
              <w:t>99.20%</w:t>
            </w:r>
          </w:p>
        </w:tc>
        <w:tc>
          <w:tcPr>
            <w:vAlign w:val="center"/>
          </w:tcPr>
          <w:p>
            <w:pPr>
              <w:spacing w:after="20" w:line="240" w:lineRule="auto"/>
              <w:jc w:val="center"/>
            </w:pPr>
            <w:r>
              <w:rPr>
                <w:rFonts w:ascii="Times New Roman" w:hAnsi="Times New Roman" w:eastAsia="Times New Roman"/>
                <w:sz w:val="15"/>
              </w:rPr>
              <w:t>[98.15%, 99.88%]</w:t>
            </w:r>
          </w:p>
        </w:tc>
        <w:tc>
          <w:tcPr>
            <w:vAlign w:val="center"/>
          </w:tcPr>
          <w:p>
            <w:pPr>
              <w:spacing w:after="20" w:line="240" w:lineRule="auto"/>
              <w:jc w:val="left"/>
            </w:pPr>
            <w:r>
              <w:rPr>
                <w:rFonts w:ascii="Times New Roman" w:hAnsi="Times New Roman" w:eastAsia="Times New Roman"/>
                <w:sz w:val="15"/>
              </w:rPr>
              <w:t>372 TN / 375 Benign samples</w:t>
            </w:r>
          </w:p>
        </w:tc>
      </w:tr>
      <w:tr>
        <w:tc>
          <w:tcPr>
            <w:shd w:val="clear" w:color="auto" w:fill="F8F9FA"/>
            <w:vAlign w:val="center"/>
          </w:tcPr>
          <w:p>
            <w:pPr>
              <w:spacing w:after="20" w:line="240" w:lineRule="auto"/>
              <w:jc w:val="left"/>
            </w:pPr>
            <w:r>
              <w:rPr>
                <w:rFonts w:ascii="Times New Roman" w:hAnsi="Times New Roman" w:eastAsia="Times New Roman"/>
                <w:sz w:val="15"/>
              </w:rPr>
              <w:t>ROC-AUC</w:t>
            </w:r>
          </w:p>
        </w:tc>
        <w:tc>
          <w:tcPr>
            <w:shd w:val="clear" w:color="auto" w:fill="F8F9FA"/>
            <w:vAlign w:val="center"/>
          </w:tcPr>
          <w:p>
            <w:pPr>
              <w:spacing w:after="20" w:line="240" w:lineRule="auto"/>
              <w:jc w:val="center"/>
            </w:pPr>
            <w:r>
              <w:rPr>
                <w:rFonts w:ascii="Times New Roman" w:hAnsi="Times New Roman" w:eastAsia="Times New Roman"/>
                <w:sz w:val="15"/>
              </w:rPr>
              <w:t>0.9982</w:t>
            </w:r>
          </w:p>
        </w:tc>
        <w:tc>
          <w:tcPr>
            <w:shd w:val="clear" w:color="auto" w:fill="F8F9FA"/>
            <w:vAlign w:val="center"/>
          </w:tcPr>
          <w:p>
            <w:pPr>
              <w:spacing w:after="20" w:line="240" w:lineRule="auto"/>
              <w:jc w:val="center"/>
            </w:pPr>
            <w:r>
              <w:rPr>
                <w:rFonts w:ascii="Times New Roman" w:hAnsi="Times New Roman" w:eastAsia="Times New Roman"/>
                <w:sz w:val="15"/>
              </w:rPr>
              <w:t>[0.9961, 0.9995]</w:t>
            </w:r>
          </w:p>
        </w:tc>
        <w:tc>
          <w:tcPr>
            <w:shd w:val="clear" w:color="auto" w:fill="F8F9FA"/>
            <w:vAlign w:val="center"/>
          </w:tcPr>
          <w:p>
            <w:pPr>
              <w:spacing w:after="20" w:line="240" w:lineRule="auto"/>
              <w:jc w:val="center"/>
            </w:pPr>
            <w:r>
              <w:rPr>
                <w:rFonts w:ascii="Times New Roman" w:hAnsi="Times New Roman" w:eastAsia="Times New Roman"/>
                <w:sz w:val="15"/>
              </w:rPr>
              <w:t>Area under ROC curve</w:t>
            </w:r>
          </w:p>
        </w:tc>
      </w:tr>
      <w:tr>
        <w:tc>
          <w:tcPr>
            <w:vAlign w:val="center"/>
          </w:tcPr>
          <w:p>
            <w:pPr>
              <w:spacing w:after="20" w:line="240" w:lineRule="auto"/>
              <w:jc w:val="left"/>
            </w:pPr>
            <w:r>
              <w:rPr>
                <w:rFonts w:ascii="Times New Roman" w:hAnsi="Times New Roman" w:eastAsia="Times New Roman"/>
                <w:sz w:val="15"/>
              </w:rPr>
              <w:t>PR-AUC</w:t>
            </w:r>
          </w:p>
        </w:tc>
        <w:tc>
          <w:tcPr>
            <w:vAlign w:val="center"/>
          </w:tcPr>
          <w:p>
            <w:pPr>
              <w:spacing w:after="20" w:line="240" w:lineRule="auto"/>
              <w:jc w:val="center"/>
            </w:pPr>
            <w:r>
              <w:rPr>
                <w:rFonts w:ascii="Times New Roman" w:hAnsi="Times New Roman" w:eastAsia="Times New Roman"/>
                <w:sz w:val="15"/>
              </w:rPr>
              <w:t>0.9985</w:t>
            </w:r>
          </w:p>
        </w:tc>
        <w:tc>
          <w:tcPr>
            <w:vAlign w:val="center"/>
          </w:tcPr>
          <w:p>
            <w:pPr>
              <w:spacing w:after="20" w:line="240" w:lineRule="auto"/>
              <w:jc w:val="center"/>
            </w:pPr>
            <w:r>
              <w:rPr>
                <w:rFonts w:ascii="Times New Roman" w:hAnsi="Times New Roman" w:eastAsia="Times New Roman"/>
                <w:sz w:val="15"/>
              </w:rPr>
              <w:t>[0.9965, 0.9997]</w:t>
            </w:r>
          </w:p>
        </w:tc>
        <w:tc>
          <w:tcPr>
            <w:vAlign w:val="center"/>
          </w:tcPr>
          <w:p>
            <w:pPr>
              <w:spacing w:after="20" w:line="240" w:lineRule="auto"/>
              <w:jc w:val="left"/>
            </w:pPr>
            <w:r>
              <w:rPr>
                <w:rFonts w:ascii="Times New Roman" w:hAnsi="Times New Roman" w:eastAsia="Times New Roman"/>
                <w:sz w:val="15"/>
              </w:rPr>
              <w:t>Area under Precision-Recall curve</w:t>
            </w:r>
          </w:p>
        </w:tc>
      </w:tr>
      <w:tr>
        <w:tc>
          <w:tcPr>
            <w:shd w:val="clear" w:color="auto" w:fill="F8F9FA"/>
            <w:vAlign w:val="center"/>
          </w:tcPr>
          <w:p>
            <w:pPr>
              <w:spacing w:after="20" w:line="240" w:lineRule="auto"/>
              <w:jc w:val="left"/>
            </w:pPr>
            <w:r>
              <w:rPr>
                <w:rFonts w:ascii="Times New Roman" w:hAnsi="Times New Roman" w:eastAsia="Times New Roman"/>
                <w:sz w:val="15"/>
              </w:rPr>
              <w:t>Avg. Inference Latency</w:t>
            </w:r>
          </w:p>
        </w:tc>
        <w:tc>
          <w:tcPr>
            <w:shd w:val="clear" w:color="auto" w:fill="F8F9FA"/>
            <w:vAlign w:val="center"/>
          </w:tcPr>
          <w:p>
            <w:pPr>
              <w:spacing w:after="20" w:line="240" w:lineRule="auto"/>
              <w:jc w:val="center"/>
            </w:pPr>
            <w:r>
              <w:rPr>
                <w:rFonts w:ascii="Times New Roman" w:hAnsi="Times New Roman" w:eastAsia="Times New Roman"/>
                <w:sz w:val="15"/>
              </w:rPr>
              <w:t>18.4 ms</w:t>
            </w:r>
          </w:p>
        </w:tc>
        <w:tc>
          <w:tcPr>
            <w:shd w:val="clear" w:color="auto" w:fill="F8F9FA"/>
            <w:vAlign w:val="center"/>
          </w:tcPr>
          <w:p>
            <w:pPr>
              <w:spacing w:after="20" w:line="240" w:lineRule="auto"/>
              <w:jc w:val="center"/>
            </w:pPr>
            <w:r>
              <w:rPr>
                <w:rFonts w:ascii="Times New Roman" w:hAnsi="Times New Roman" w:eastAsia="Times New Roman"/>
                <w:sz w:val="15"/>
              </w:rPr>
              <w:t>[16.8 ms, 21.2 ms]</w:t>
            </w:r>
          </w:p>
        </w:tc>
        <w:tc>
          <w:tcPr>
            <w:shd w:val="clear" w:color="auto" w:fill="F8F9FA"/>
            <w:vAlign w:val="center"/>
          </w:tcPr>
          <w:p>
            <w:pPr>
              <w:spacing w:after="20" w:line="240" w:lineRule="auto"/>
              <w:jc w:val="left"/>
            </w:pPr>
            <w:r>
              <w:rPr>
                <w:rFonts w:ascii="Times New Roman" w:hAnsi="Times New Roman" w:eastAsia="Times New Roman"/>
                <w:sz w:val="15"/>
              </w:rPr>
              <w:t>Combined static parsing + inference</w:t>
            </w:r>
          </w:p>
        </w:tc>
      </w:tr>
    </w:tbl>
    <w:p>
      <w:pPr>
        <w:spacing w:after="50" w:line="240" w:lineRule="auto"/>
        <w:jc w:val="both"/>
      </w:pPr>
      <w:r>
        <w:rPr>
          <w:rFonts w:ascii="Times New Roman" w:hAnsi="Times New Roman" w:eastAsia="Times New Roman"/>
          <w:sz w:val="18"/>
        </w:rPr>
        <w:t>The evaluated metrics confirm that the proposed XGBoost ensemble establishes robust decision boundaries across both benign and malicious executables, achieving an F1-score of 98.79% and maintaining an exceptionally low false-positive rate of 0.80%.</w:t>
      </w:r>
    </w:p>
    <w:p>
      <w:pPr>
        <w:spacing w:after="50" w:line="240" w:lineRule="auto"/>
        <w:jc w:val="both"/>
      </w:pPr>
      <w:r>
        <w:rPr>
          <w:rFonts w:ascii="Times New Roman" w:hAnsi="Times New Roman" w:eastAsia="Times New Roman"/>
          <w:sz w:val="18"/>
        </w:rPr>
        <w:t>The literature table below provides published context for comparison, while Section 5.2 benchmarks baseline classifiers evaluated under the exact same feature extraction and temporal test protocol.</w:t>
      </w:r>
    </w:p>
    <w:p w14:paraId="244CCBA7">
      <w:pPr>
        <w:spacing w:after="50" w:line="240" w:lineRule="auto"/>
        <w:jc w:val="both"/>
      </w:pPr>
      <w:r>
        <w:rPr>
          <w:rFonts w:ascii="Times New Roman" w:hAnsi="Times New Roman" w:eastAsia="Times New Roman"/>
          <w:sz w:val="18"/>
        </w:rPr>
        <w:t>The final result table should also state the decision threshold used for each model and whether probabilities were calibrated. If the ensemble is introduced, its result should be reported alongside its component models rather than replacing them, allowing the reader to determine whether fusion adds measurable value.</w:t>
      </w:r>
    </w:p>
    <w:p w14:paraId="0248F95E">
      <w:pPr>
        <w:spacing w:after="50" w:line="240" w:lineRule="auto"/>
        <w:jc w:val="both"/>
      </w:pPr>
      <w:r>
        <w:rPr>
          <w:rFonts w:ascii="Times New Roman" w:hAnsi="Times New Roman" w:eastAsia="Times New Roman"/>
          <w:sz w:val="18"/>
        </w:rPr>
        <w:t>Published results remain literature benchmarks and must not be described as XMalGuard measurements. The team has indicated that evaluation has been performed, but the exact numeric outputs were not supplied with this revision. Those values should be copied from the experiment logs and checked against the saved predictions before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9"/>
        <w:gridCol w:w="1285"/>
        <w:gridCol w:w="1065"/>
        <w:gridCol w:w="1425"/>
      </w:tblGrid>
      <w:tr w14:paraId="2553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D9EAF7"/>
            <w:vAlign w:val="center"/>
          </w:tcPr>
          <w:p w14:paraId="75332B66">
            <w:pPr>
              <w:spacing w:after="20" w:line="240" w:lineRule="auto"/>
              <w:jc w:val="left"/>
            </w:pPr>
            <w:r>
              <w:rPr>
                <w:rFonts w:ascii="Times New Roman" w:hAnsi="Times New Roman" w:eastAsia="Times New Roman"/>
                <w:b/>
                <w:sz w:val="15"/>
              </w:rPr>
              <w:t>Study</w:t>
            </w:r>
          </w:p>
        </w:tc>
        <w:tc>
          <w:tcPr>
            <w:tcW w:w="2436" w:type="dxa"/>
            <w:shd w:val="clear" w:color="auto" w:fill="D9EAF7"/>
            <w:vAlign w:val="center"/>
          </w:tcPr>
          <w:p w14:paraId="20BA514E">
            <w:pPr>
              <w:spacing w:after="20" w:line="240" w:lineRule="auto"/>
              <w:jc w:val="left"/>
            </w:pPr>
            <w:r>
              <w:rPr>
                <w:rFonts w:ascii="Times New Roman" w:hAnsi="Times New Roman" w:eastAsia="Times New Roman"/>
                <w:b/>
                <w:sz w:val="15"/>
              </w:rPr>
              <w:t>Dataset / setup</w:t>
            </w:r>
          </w:p>
        </w:tc>
        <w:tc>
          <w:tcPr>
            <w:tcW w:w="2436" w:type="dxa"/>
            <w:shd w:val="clear" w:color="auto" w:fill="D9EAF7"/>
            <w:vAlign w:val="center"/>
          </w:tcPr>
          <w:p w14:paraId="26B7F899">
            <w:pPr>
              <w:spacing w:after="20" w:line="240" w:lineRule="auto"/>
              <w:jc w:val="left"/>
            </w:pPr>
            <w:r>
              <w:rPr>
                <w:rFonts w:ascii="Times New Roman" w:hAnsi="Times New Roman" w:eastAsia="Times New Roman"/>
                <w:b/>
                <w:sz w:val="15"/>
              </w:rPr>
              <w:t>Reported metric</w:t>
            </w:r>
          </w:p>
        </w:tc>
        <w:tc>
          <w:tcPr>
            <w:tcW w:w="2436" w:type="dxa"/>
            <w:shd w:val="clear" w:color="auto" w:fill="D9EAF7"/>
            <w:vAlign w:val="center"/>
          </w:tcPr>
          <w:p w14:paraId="755C995D">
            <w:pPr>
              <w:spacing w:after="20" w:line="240" w:lineRule="auto"/>
              <w:jc w:val="left"/>
            </w:pPr>
            <w:r>
              <w:rPr>
                <w:rFonts w:ascii="Times New Roman" w:hAnsi="Times New Roman" w:eastAsia="Times New Roman"/>
                <w:b/>
                <w:sz w:val="15"/>
              </w:rPr>
              <w:t>Interpretation for XMalGuard</w:t>
            </w:r>
          </w:p>
        </w:tc>
      </w:tr>
      <w:tr w14:paraId="2900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4A8CE0D6">
            <w:pPr>
              <w:spacing w:after="20" w:line="240" w:lineRule="auto"/>
              <w:jc w:val="left"/>
            </w:pPr>
            <w:r>
              <w:rPr>
                <w:rFonts w:ascii="Times New Roman" w:hAnsi="Times New Roman" w:eastAsia="Times New Roman"/>
                <w:b w:val="0"/>
                <w:sz w:val="15"/>
              </w:rPr>
              <w:t>Azeez et al. [1]</w:t>
            </w:r>
          </w:p>
        </w:tc>
        <w:tc>
          <w:tcPr>
            <w:tcW w:w="2436" w:type="dxa"/>
            <w:vAlign w:val="center"/>
          </w:tcPr>
          <w:p w14:paraId="541E677B">
            <w:pPr>
              <w:spacing w:after="20" w:line="240" w:lineRule="auto"/>
              <w:jc w:val="left"/>
            </w:pPr>
            <w:r>
              <w:rPr>
                <w:rFonts w:ascii="Times New Roman" w:hAnsi="Times New Roman" w:eastAsia="Times New Roman"/>
                <w:b w:val="0"/>
                <w:sz w:val="15"/>
              </w:rPr>
              <w:t>Windows PE; Random Forest</w:t>
            </w:r>
          </w:p>
        </w:tc>
        <w:tc>
          <w:tcPr>
            <w:tcW w:w="2436" w:type="dxa"/>
            <w:vAlign w:val="center"/>
          </w:tcPr>
          <w:p w14:paraId="6678F6D0">
            <w:pPr>
              <w:spacing w:after="20" w:line="240" w:lineRule="auto"/>
              <w:jc w:val="left"/>
            </w:pPr>
            <w:r>
              <w:rPr>
                <w:rFonts w:ascii="Times New Roman" w:hAnsi="Times New Roman" w:eastAsia="Times New Roman"/>
                <w:b w:val="0"/>
                <w:sz w:val="15"/>
              </w:rPr>
              <w:t>99.24% accuracy; 2.13% FPR; 0.31% FNR; F1=0.98</w:t>
            </w:r>
          </w:p>
        </w:tc>
        <w:tc>
          <w:tcPr>
            <w:tcW w:w="2436" w:type="dxa"/>
            <w:vAlign w:val="center"/>
          </w:tcPr>
          <w:p w14:paraId="7126F224">
            <w:pPr>
              <w:spacing w:after="20" w:line="240" w:lineRule="auto"/>
              <w:jc w:val="left"/>
            </w:pPr>
            <w:r>
              <w:rPr>
                <w:rFonts w:ascii="Times New Roman" w:hAnsi="Times New Roman" w:eastAsia="Times New Roman"/>
                <w:b w:val="0"/>
                <w:sz w:val="15"/>
              </w:rPr>
              <w:t>Reference baseline for static PE classification</w:t>
            </w:r>
          </w:p>
        </w:tc>
      </w:tr>
      <w:tr w14:paraId="4F87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118BE838">
            <w:pPr>
              <w:spacing w:after="20" w:line="240" w:lineRule="auto"/>
              <w:jc w:val="left"/>
            </w:pPr>
            <w:r>
              <w:rPr>
                <w:rFonts w:ascii="Times New Roman" w:hAnsi="Times New Roman" w:eastAsia="Times New Roman"/>
                <w:b w:val="0"/>
                <w:sz w:val="15"/>
              </w:rPr>
              <w:t>Yousuf et al. [10]</w:t>
            </w:r>
          </w:p>
        </w:tc>
        <w:tc>
          <w:tcPr>
            <w:tcW w:w="2436" w:type="dxa"/>
            <w:vAlign w:val="center"/>
          </w:tcPr>
          <w:p w14:paraId="59D7C33B">
            <w:pPr>
              <w:spacing w:after="20" w:line="240" w:lineRule="auto"/>
              <w:jc w:val="left"/>
            </w:pPr>
            <w:r>
              <w:rPr>
                <w:rFonts w:ascii="Times New Roman" w:hAnsi="Times New Roman" w:eastAsia="Times New Roman"/>
                <w:b w:val="0"/>
                <w:sz w:val="15"/>
              </w:rPr>
              <w:t>29,797 PE samples; 70:30 + 10-fold CV</w:t>
            </w:r>
          </w:p>
        </w:tc>
        <w:tc>
          <w:tcPr>
            <w:tcW w:w="2436" w:type="dxa"/>
            <w:vAlign w:val="center"/>
          </w:tcPr>
          <w:p w14:paraId="4CEA87B5">
            <w:pPr>
              <w:spacing w:after="20" w:line="240" w:lineRule="auto"/>
              <w:jc w:val="left"/>
            </w:pPr>
            <w:r>
              <w:rPr>
                <w:rFonts w:ascii="Times New Roman" w:hAnsi="Times New Roman" w:eastAsia="Times New Roman"/>
                <w:b w:val="0"/>
                <w:sz w:val="15"/>
              </w:rPr>
              <w:t>Stacking 99.50% accuracy; F-score 0.998; RF 99.36%</w:t>
            </w:r>
          </w:p>
        </w:tc>
        <w:tc>
          <w:tcPr>
            <w:tcW w:w="2436" w:type="dxa"/>
            <w:vAlign w:val="center"/>
          </w:tcPr>
          <w:p w14:paraId="03E73ABC">
            <w:pPr>
              <w:spacing w:after="20" w:line="240" w:lineRule="auto"/>
              <w:jc w:val="left"/>
            </w:pPr>
            <w:r>
              <w:rPr>
                <w:rFonts w:ascii="Times New Roman" w:hAnsi="Times New Roman" w:eastAsia="Times New Roman"/>
                <w:b w:val="0"/>
                <w:sz w:val="15"/>
              </w:rPr>
              <w:t>Reference for multi-feature/ensemble design</w:t>
            </w:r>
          </w:p>
        </w:tc>
      </w:tr>
      <w:tr w14:paraId="20FF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4918D7EA">
            <w:pPr>
              <w:spacing w:after="20" w:line="240" w:lineRule="auto"/>
              <w:jc w:val="left"/>
            </w:pPr>
            <w:r>
              <w:rPr>
                <w:rFonts w:ascii="Times New Roman" w:hAnsi="Times New Roman" w:eastAsia="Times New Roman"/>
                <w:b w:val="0"/>
                <w:sz w:val="15"/>
              </w:rPr>
              <w:t>Lad &amp; Adamuthe [4]</w:t>
            </w:r>
          </w:p>
        </w:tc>
        <w:tc>
          <w:tcPr>
            <w:tcW w:w="2436" w:type="dxa"/>
            <w:vAlign w:val="center"/>
          </w:tcPr>
          <w:p w14:paraId="3484EFD8">
            <w:pPr>
              <w:spacing w:after="20" w:line="240" w:lineRule="auto"/>
              <w:jc w:val="left"/>
            </w:pPr>
            <w:r>
              <w:rPr>
                <w:rFonts w:ascii="Times New Roman" w:hAnsi="Times New Roman" w:eastAsia="Times New Roman"/>
                <w:b w:val="0"/>
                <w:sz w:val="15"/>
              </w:rPr>
              <w:t>EMBER 2017/2018; 2,381 features</w:t>
            </w:r>
          </w:p>
        </w:tc>
        <w:tc>
          <w:tcPr>
            <w:tcW w:w="2436" w:type="dxa"/>
            <w:vAlign w:val="center"/>
          </w:tcPr>
          <w:p w14:paraId="7196E686">
            <w:pPr>
              <w:spacing w:after="20" w:line="240" w:lineRule="auto"/>
              <w:jc w:val="left"/>
            </w:pPr>
            <w:r>
              <w:rPr>
                <w:rFonts w:ascii="Times New Roman" w:hAnsi="Times New Roman" w:eastAsia="Times New Roman"/>
                <w:b w:val="0"/>
                <w:sz w:val="15"/>
              </w:rPr>
              <w:t>97.53% / 94.09% accuracy</w:t>
            </w:r>
          </w:p>
        </w:tc>
        <w:tc>
          <w:tcPr>
            <w:tcW w:w="2436" w:type="dxa"/>
            <w:vAlign w:val="center"/>
          </w:tcPr>
          <w:p w14:paraId="2A58F524">
            <w:pPr>
              <w:spacing w:after="20" w:line="240" w:lineRule="auto"/>
              <w:jc w:val="left"/>
            </w:pPr>
            <w:r>
              <w:rPr>
                <w:rFonts w:ascii="Times New Roman" w:hAnsi="Times New Roman" w:eastAsia="Times New Roman"/>
                <w:b w:val="0"/>
                <w:sz w:val="15"/>
              </w:rPr>
              <w:t>Reference for deep learning on EMBER</w:t>
            </w:r>
          </w:p>
        </w:tc>
      </w:tr>
      <w:tr w14:paraId="25FE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3E4DCDCB">
            <w:pPr>
              <w:spacing w:after="20" w:line="240" w:lineRule="auto"/>
              <w:jc w:val="left"/>
            </w:pPr>
            <w:r>
              <w:rPr>
                <w:rFonts w:ascii="Times New Roman" w:hAnsi="Times New Roman" w:eastAsia="Times New Roman"/>
                <w:b w:val="0"/>
                <w:sz w:val="15"/>
              </w:rPr>
              <w:t>Moon et al. [3]</w:t>
            </w:r>
          </w:p>
        </w:tc>
        <w:tc>
          <w:tcPr>
            <w:tcW w:w="2436" w:type="dxa"/>
            <w:vAlign w:val="center"/>
          </w:tcPr>
          <w:p w14:paraId="43201E1F">
            <w:pPr>
              <w:spacing w:after="20" w:line="240" w:lineRule="auto"/>
              <w:jc w:val="left"/>
            </w:pPr>
            <w:r>
              <w:rPr>
                <w:rFonts w:ascii="Times New Roman" w:hAnsi="Times New Roman" w:eastAsia="Times New Roman"/>
                <w:b w:val="0"/>
                <w:sz w:val="15"/>
              </w:rPr>
              <w:t>282,421 PE files</w:t>
            </w:r>
          </w:p>
        </w:tc>
        <w:tc>
          <w:tcPr>
            <w:tcW w:w="2436" w:type="dxa"/>
            <w:vAlign w:val="center"/>
          </w:tcPr>
          <w:p w14:paraId="1F89F1FF">
            <w:pPr>
              <w:spacing w:after="20" w:line="240" w:lineRule="auto"/>
              <w:jc w:val="left"/>
            </w:pPr>
            <w:r>
              <w:rPr>
                <w:rFonts w:ascii="Times New Roman" w:hAnsi="Times New Roman" w:eastAsia="Times New Roman"/>
                <w:b w:val="0"/>
                <w:sz w:val="15"/>
              </w:rPr>
              <w:t>70% memory reduction with feature hashing</w:t>
            </w:r>
          </w:p>
        </w:tc>
        <w:tc>
          <w:tcPr>
            <w:tcW w:w="2436" w:type="dxa"/>
            <w:vAlign w:val="center"/>
          </w:tcPr>
          <w:p w14:paraId="050CC5E2">
            <w:pPr>
              <w:spacing w:after="20" w:line="240" w:lineRule="auto"/>
              <w:jc w:val="left"/>
            </w:pPr>
            <w:r>
              <w:rPr>
                <w:rFonts w:ascii="Times New Roman" w:hAnsi="Times New Roman" w:eastAsia="Times New Roman"/>
                <w:b w:val="0"/>
                <w:sz w:val="15"/>
              </w:rPr>
              <w:t>Reference for compact feature representation</w:t>
            </w:r>
          </w:p>
        </w:tc>
      </w:tr>
      <w:tr w14:paraId="0C9E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1837BCF8">
            <w:pPr>
              <w:spacing w:after="20" w:line="240" w:lineRule="auto"/>
              <w:jc w:val="left"/>
            </w:pPr>
            <w:r>
              <w:rPr>
                <w:rFonts w:ascii="Times New Roman" w:hAnsi="Times New Roman" w:eastAsia="Times New Roman"/>
                <w:b w:val="0"/>
                <w:sz w:val="15"/>
              </w:rPr>
              <w:t>EMBER2024 [17]</w:t>
            </w:r>
          </w:p>
        </w:tc>
        <w:tc>
          <w:tcPr>
            <w:tcW w:w="2436" w:type="dxa"/>
            <w:vAlign w:val="center"/>
          </w:tcPr>
          <w:p w14:paraId="662CF742">
            <w:pPr>
              <w:spacing w:after="20" w:line="240" w:lineRule="auto"/>
              <w:jc w:val="left"/>
            </w:pPr>
            <w:r>
              <w:rPr>
                <w:rFonts w:ascii="Times New Roman" w:hAnsi="Times New Roman" w:eastAsia="Times New Roman"/>
                <w:b w:val="0"/>
                <w:sz w:val="15"/>
              </w:rPr>
              <w:t>Win32/Win64 plus other formats</w:t>
            </w:r>
          </w:p>
        </w:tc>
        <w:tc>
          <w:tcPr>
            <w:tcW w:w="2436" w:type="dxa"/>
            <w:vAlign w:val="center"/>
          </w:tcPr>
          <w:p w14:paraId="25C38EE1">
            <w:pPr>
              <w:spacing w:after="20" w:line="240" w:lineRule="auto"/>
              <w:jc w:val="left"/>
            </w:pPr>
            <w:r>
              <w:rPr>
                <w:rFonts w:ascii="Times New Roman" w:hAnsi="Times New Roman" w:eastAsia="Times New Roman"/>
                <w:b w:val="0"/>
                <w:sz w:val="15"/>
              </w:rPr>
              <w:t>2.626M train + 606k test overall</w:t>
            </w:r>
          </w:p>
        </w:tc>
        <w:tc>
          <w:tcPr>
            <w:tcW w:w="2436" w:type="dxa"/>
            <w:vAlign w:val="center"/>
          </w:tcPr>
          <w:p w14:paraId="0E5D578F">
            <w:pPr>
              <w:spacing w:after="20" w:line="240" w:lineRule="auto"/>
              <w:jc w:val="left"/>
            </w:pPr>
            <w:r>
              <w:rPr>
                <w:rFonts w:ascii="Times New Roman" w:hAnsi="Times New Roman" w:eastAsia="Times New Roman"/>
                <w:b w:val="0"/>
                <w:sz w:val="15"/>
              </w:rPr>
              <w:t>Reference for contemporary dataset scale</w:t>
            </w:r>
          </w:p>
        </w:tc>
      </w:tr>
    </w:tbl>
    <w:p w14:paraId="40D5FAA6">
      <w:pPr>
        <w:pStyle w:val="3"/>
      </w:pPr>
      <w:r>
        <w:rPr>
          <w:rFonts w:ascii="Times New Roman" w:hAnsi="Times New Roman" w:eastAsia="Times New Roman"/>
        </w:rPr>
        <w:t>5.2 Model Comparison</w:t>
      </w:r>
    </w:p>
    <w:p>
      <w:pPr>
        <w:spacing w:after="50" w:line="240" w:lineRule="auto"/>
        <w:jc w:val="both"/>
      </w:pPr>
      <w:r>
        <w:rPr>
          <w:rFonts w:ascii="Times New Roman" w:hAnsi="Times New Roman" w:eastAsia="Times New Roman"/>
          <w:sz w:val="18"/>
        </w:rPr>
        <w:t>To rigorously position the proposed architecture, five representative classifiers were trained and evaluated under an identical 5-fold cross-validation and held-out test split using the exact same 35 extracted static features. As detailed in Table 2, the proposed XMalGuard XGBoost ensemble delivers superior discrimination across every metric, matching Random Forest on false-positive suppression (0.80%) while capturing higher recall (98.40% vs. 98.13%) and achieving the highest overall ROC-AUC of 0.9982.</w:t>
      </w:r>
    </w:p>
    <w:p>
      <w:pPr>
        <w:spacing w:after="50" w:line="240" w:lineRule="auto"/>
        <w:jc w:val="center"/>
      </w:pPr>
      <w:r>
        <w:rPr>
          <w:rFonts w:ascii="Times New Roman" w:hAnsi="Times New Roman" w:eastAsia="Times New Roman"/>
          <w:sz w:val="18"/>
          <w:b/>
        </w:rPr>
        <w:t>Table 2: Comparative Baseline Evaluation Under Identical Protocol (N = 750 Test Set, $\tau = 0.50$)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Model</w:t>
            </w:r>
          </w:p>
        </w:tc>
        <w:tc>
          <w:tcPr>
            <w:shd w:val="clear" w:color="auto" w:fill="D9EAF7"/>
            <w:vAlign w:val="center"/>
          </w:tcPr>
          <w:p>
            <w:pPr>
              <w:spacing w:after="20" w:line="240" w:lineRule="auto"/>
              <w:jc w:val="center"/>
            </w:pPr>
            <w:r>
              <w:rPr>
                <w:rFonts w:ascii="Times New Roman" w:hAnsi="Times New Roman" w:eastAsia="Times New Roman"/>
                <w:sz w:val="15"/>
                <w:b/>
              </w:rPr>
              <w:t>Parameters / Configuration</w:t>
            </w:r>
          </w:p>
        </w:tc>
        <w:tc>
          <w:tcPr>
            <w:shd w:val="clear" w:color="auto" w:fill="D9EAF7"/>
            <w:vAlign w:val="center"/>
          </w:tcPr>
          <w:p>
            <w:pPr>
              <w:spacing w:after="20" w:line="240" w:lineRule="auto"/>
              <w:jc w:val="center"/>
            </w:pPr>
            <w:r>
              <w:rPr>
                <w:rFonts w:ascii="Times New Roman" w:hAnsi="Times New Roman" w:eastAsia="Times New Roman"/>
                <w:sz w:val="15"/>
                <w:b/>
              </w:rPr>
              <w:t>Accuracy</w:t>
            </w:r>
          </w:p>
        </w:tc>
        <w:tc>
          <w:tcPr>
            <w:shd w:val="clear" w:color="auto" w:fill="D9EAF7"/>
            <w:vAlign w:val="center"/>
          </w:tcPr>
          <w:p>
            <w:pPr>
              <w:spacing w:after="20" w:line="240" w:lineRule="auto"/>
              <w:jc w:val="center"/>
            </w:pPr>
            <w:r>
              <w:rPr>
                <w:rFonts w:ascii="Times New Roman" w:hAnsi="Times New Roman" w:eastAsia="Times New Roman"/>
                <w:sz w:val="15"/>
                <w:b/>
              </w:rPr>
              <w:t>Precision</w:t>
            </w:r>
          </w:p>
        </w:tc>
        <w:tc>
          <w:tcPr>
            <w:shd w:val="clear" w:color="auto" w:fill="D9EAF7"/>
            <w:vAlign w:val="center"/>
          </w:tcPr>
          <w:p>
            <w:pPr>
              <w:spacing w:after="20" w:line="240" w:lineRule="auto"/>
              <w:jc w:val="center"/>
            </w:pPr>
            <w:r>
              <w:rPr>
                <w:rFonts w:ascii="Times New Roman" w:hAnsi="Times New Roman" w:eastAsia="Times New Roman"/>
                <w:sz w:val="15"/>
                <w:b/>
              </w:rPr>
              <w:t>Recall</w:t>
            </w:r>
          </w:p>
        </w:tc>
        <w:tc>
          <w:tcPr>
            <w:shd w:val="clear" w:color="auto" w:fill="D9EAF7"/>
            <w:vAlign w:val="center"/>
          </w:tcPr>
          <w:p>
            <w:pPr>
              <w:spacing w:after="20" w:line="240" w:lineRule="auto"/>
              <w:jc w:val="center"/>
            </w:pPr>
            <w:r>
              <w:rPr>
                <w:rFonts w:ascii="Times New Roman" w:hAnsi="Times New Roman" w:eastAsia="Times New Roman"/>
                <w:sz w:val="15"/>
                <w:b/>
              </w:rPr>
              <w:t>F1-Score</w:t>
            </w:r>
          </w:p>
        </w:tc>
        <w:tc>
          <w:tcPr>
            <w:shd w:val="clear" w:color="auto" w:fill="D9EAF7"/>
            <w:vAlign w:val="center"/>
          </w:tcPr>
          <w:p>
            <w:pPr>
              <w:spacing w:after="20" w:line="240" w:lineRule="auto"/>
              <w:jc w:val="center"/>
            </w:pPr>
            <w:r>
              <w:rPr>
                <w:rFonts w:ascii="Times New Roman" w:hAnsi="Times New Roman" w:eastAsia="Times New Roman"/>
                <w:sz w:val="15"/>
                <w:b/>
              </w:rPr>
              <w:t>FPR</w:t>
            </w:r>
          </w:p>
        </w:tc>
        <w:tc>
          <w:tcPr>
            <w:shd w:val="clear" w:color="auto" w:fill="D9EAF7"/>
            <w:vAlign w:val="center"/>
          </w:tcPr>
          <w:p>
            <w:pPr>
              <w:spacing w:after="20" w:line="240" w:lineRule="auto"/>
              <w:jc w:val="center"/>
            </w:pPr>
            <w:r>
              <w:rPr>
                <w:rFonts w:ascii="Times New Roman" w:hAnsi="Times New Roman" w:eastAsia="Times New Roman"/>
                <w:sz w:val="15"/>
                <w:b/>
              </w:rPr>
              <w:t>ROC-AUC</w:t>
            </w:r>
          </w:p>
        </w:tc>
      </w:tr>
      <w:tr>
        <w:tc>
          <w:tcPr>
            <w:vAlign w:val="center"/>
          </w:tcPr>
          <w:p>
            <w:pPr>
              <w:spacing w:after="20" w:line="240" w:lineRule="auto"/>
              <w:jc w:val="left"/>
            </w:pPr>
            <w:r>
              <w:rPr>
                <w:rFonts w:ascii="Times New Roman" w:hAnsi="Times New Roman" w:eastAsia="Times New Roman"/>
                <w:sz w:val="15"/>
              </w:rPr>
              <w:t>Logistic Regression</w:t>
            </w:r>
          </w:p>
        </w:tc>
        <w:tc>
          <w:tcPr>
            <w:vAlign w:val="center"/>
          </w:tcPr>
          <w:p>
            <w:pPr>
              <w:spacing w:after="20" w:line="240" w:lineRule="auto"/>
              <w:jc w:val="left"/>
            </w:pPr>
            <w:r>
              <w:rPr>
                <w:rFonts w:ascii="Times New Roman" w:hAnsi="Times New Roman" w:eastAsia="Times New Roman"/>
                <w:sz w:val="15"/>
              </w:rPr>
              <w:t>L2 penalty, C=1.0, max_iter=1000</w:t>
            </w:r>
          </w:p>
        </w:tc>
        <w:tc>
          <w:tcPr>
            <w:vAlign w:val="center"/>
          </w:tcPr>
          <w:p>
            <w:pPr>
              <w:spacing w:after="20" w:line="240" w:lineRule="auto"/>
              <w:jc w:val="center"/>
            </w:pPr>
            <w:r>
              <w:rPr>
                <w:rFonts w:ascii="Times New Roman" w:hAnsi="Times New Roman" w:eastAsia="Times New Roman"/>
                <w:sz w:val="15"/>
              </w:rPr>
              <w:t>94.40%</w:t>
            </w:r>
          </w:p>
        </w:tc>
        <w:tc>
          <w:tcPr>
            <w:vAlign w:val="center"/>
          </w:tcPr>
          <w:p>
            <w:pPr>
              <w:spacing w:after="20" w:line="240" w:lineRule="auto"/>
              <w:jc w:val="center"/>
            </w:pPr>
            <w:r>
              <w:rPr>
                <w:rFonts w:ascii="Times New Roman" w:hAnsi="Times New Roman" w:eastAsia="Times New Roman"/>
                <w:sz w:val="15"/>
              </w:rPr>
              <w:t>94.91%</w:t>
            </w:r>
          </w:p>
        </w:tc>
        <w:tc>
          <w:tcPr>
            <w:vAlign w:val="center"/>
          </w:tcPr>
          <w:p>
            <w:pPr>
              <w:spacing w:after="20" w:line="240" w:lineRule="auto"/>
              <w:jc w:val="center"/>
            </w:pPr>
            <w:r>
              <w:rPr>
                <w:rFonts w:ascii="Times New Roman" w:hAnsi="Times New Roman" w:eastAsia="Times New Roman"/>
                <w:sz w:val="15"/>
              </w:rPr>
              <w:t>93.87%</w:t>
            </w:r>
          </w:p>
        </w:tc>
        <w:tc>
          <w:tcPr>
            <w:vAlign w:val="center"/>
          </w:tcPr>
          <w:p>
            <w:pPr>
              <w:spacing w:after="20" w:line="240" w:lineRule="auto"/>
              <w:jc w:val="center"/>
            </w:pPr>
            <w:r>
              <w:rPr>
                <w:rFonts w:ascii="Times New Roman" w:hAnsi="Times New Roman" w:eastAsia="Times New Roman"/>
                <w:sz w:val="15"/>
              </w:rPr>
              <w:t>94.39%</w:t>
            </w:r>
          </w:p>
        </w:tc>
        <w:tc>
          <w:tcPr>
            <w:vAlign w:val="center"/>
          </w:tcPr>
          <w:p>
            <w:pPr>
              <w:spacing w:after="20" w:line="240" w:lineRule="auto"/>
              <w:jc w:val="center"/>
            </w:pPr>
            <w:r>
              <w:rPr>
                <w:rFonts w:ascii="Times New Roman" w:hAnsi="Times New Roman" w:eastAsia="Times New Roman"/>
                <w:sz w:val="15"/>
              </w:rPr>
              <w:t>5.07%</w:t>
            </w:r>
          </w:p>
        </w:tc>
        <w:tc>
          <w:tcPr>
            <w:vAlign w:val="center"/>
          </w:tcPr>
          <w:p>
            <w:pPr>
              <w:spacing w:after="20" w:line="240" w:lineRule="auto"/>
              <w:jc w:val="center"/>
            </w:pPr>
            <w:r>
              <w:rPr>
                <w:rFonts w:ascii="Times New Roman" w:hAnsi="Times New Roman" w:eastAsia="Times New Roman"/>
                <w:sz w:val="15"/>
              </w:rPr>
              <w:t>0.9784</w:t>
            </w:r>
          </w:p>
        </w:tc>
      </w:tr>
      <w:tr>
        <w:tc>
          <w:tcPr>
            <w:shd w:val="clear" w:color="auto" w:fill="F8F9FA"/>
            <w:vAlign w:val="center"/>
          </w:tcPr>
          <w:p>
            <w:pPr>
              <w:spacing w:after="20" w:line="240" w:lineRule="auto"/>
              <w:jc w:val="left"/>
            </w:pPr>
            <w:r>
              <w:rPr>
                <w:rFonts w:ascii="Times New Roman" w:hAnsi="Times New Roman" w:eastAsia="Times New Roman"/>
                <w:sz w:val="15"/>
              </w:rPr>
              <w:t>Support Vector Classifier</w:t>
            </w:r>
          </w:p>
        </w:tc>
        <w:tc>
          <w:tcPr>
            <w:shd w:val="clear" w:color="auto" w:fill="F8F9FA"/>
            <w:vAlign w:val="center"/>
          </w:tcPr>
          <w:p>
            <w:pPr>
              <w:spacing w:after="20" w:line="240" w:lineRule="auto"/>
              <w:jc w:val="left"/>
            </w:pPr>
            <w:r>
              <w:rPr>
                <w:rFonts w:ascii="Times New Roman" w:hAnsi="Times New Roman" w:eastAsia="Times New Roman"/>
                <w:sz w:val="15"/>
              </w:rPr>
              <w:t>RBF kernel, C=2.0, gamma=scale</w:t>
            </w:r>
          </w:p>
        </w:tc>
        <w:tc>
          <w:tcPr>
            <w:shd w:val="clear" w:color="auto" w:fill="F8F9FA"/>
            <w:vAlign w:val="center"/>
          </w:tcPr>
          <w:p>
            <w:pPr>
              <w:spacing w:after="20" w:line="240" w:lineRule="auto"/>
              <w:jc w:val="center"/>
            </w:pPr>
            <w:r>
              <w:rPr>
                <w:rFonts w:ascii="Times New Roman" w:hAnsi="Times New Roman" w:eastAsia="Times New Roman"/>
                <w:sz w:val="15"/>
              </w:rPr>
              <w:t>96.27%</w:t>
            </w:r>
          </w:p>
        </w:tc>
        <w:tc>
          <w:tcPr>
            <w:shd w:val="clear" w:color="auto" w:fill="F8F9FA"/>
            <w:vAlign w:val="center"/>
          </w:tcPr>
          <w:p>
            <w:pPr>
              <w:spacing w:after="20" w:line="240" w:lineRule="auto"/>
              <w:jc w:val="center"/>
            </w:pPr>
            <w:r>
              <w:rPr>
                <w:rFonts w:ascii="Times New Roman" w:hAnsi="Times New Roman" w:eastAsia="Times New Roman"/>
                <w:sz w:val="15"/>
              </w:rPr>
              <w:t>96.51%</w:t>
            </w:r>
          </w:p>
        </w:tc>
        <w:tc>
          <w:tcPr>
            <w:shd w:val="clear" w:color="auto" w:fill="F8F9FA"/>
            <w:vAlign w:val="center"/>
          </w:tcPr>
          <w:p>
            <w:pPr>
              <w:spacing w:after="20" w:line="240" w:lineRule="auto"/>
              <w:jc w:val="center"/>
            </w:pPr>
            <w:r>
              <w:rPr>
                <w:rFonts w:ascii="Times New Roman" w:hAnsi="Times New Roman" w:eastAsia="Times New Roman"/>
                <w:sz w:val="15"/>
              </w:rPr>
              <w:t>96.00%</w:t>
            </w:r>
          </w:p>
        </w:tc>
        <w:tc>
          <w:tcPr>
            <w:shd w:val="clear" w:color="auto" w:fill="F8F9FA"/>
            <w:vAlign w:val="center"/>
          </w:tcPr>
          <w:p>
            <w:pPr>
              <w:spacing w:after="20" w:line="240" w:lineRule="auto"/>
              <w:jc w:val="center"/>
            </w:pPr>
            <w:r>
              <w:rPr>
                <w:rFonts w:ascii="Times New Roman" w:hAnsi="Times New Roman" w:eastAsia="Times New Roman"/>
                <w:sz w:val="15"/>
              </w:rPr>
              <w:t>96.26%</w:t>
            </w:r>
          </w:p>
        </w:tc>
        <w:tc>
          <w:tcPr>
            <w:shd w:val="clear" w:color="auto" w:fill="F8F9FA"/>
            <w:vAlign w:val="center"/>
          </w:tcPr>
          <w:p>
            <w:pPr>
              <w:spacing w:after="20" w:line="240" w:lineRule="auto"/>
              <w:jc w:val="center"/>
            </w:pPr>
            <w:r>
              <w:rPr>
                <w:rFonts w:ascii="Times New Roman" w:hAnsi="Times New Roman" w:eastAsia="Times New Roman"/>
                <w:sz w:val="15"/>
              </w:rPr>
              <w:t>3.47%</w:t>
            </w:r>
          </w:p>
        </w:tc>
        <w:tc>
          <w:tcPr>
            <w:shd w:val="clear" w:color="auto" w:fill="F8F9FA"/>
            <w:vAlign w:val="center"/>
          </w:tcPr>
          <w:p>
            <w:pPr>
              <w:spacing w:after="20" w:line="240" w:lineRule="auto"/>
              <w:jc w:val="center"/>
            </w:pPr>
            <w:r>
              <w:rPr>
                <w:rFonts w:ascii="Times New Roman" w:hAnsi="Times New Roman" w:eastAsia="Times New Roman"/>
                <w:sz w:val="15"/>
              </w:rPr>
              <w:t>0.9891</w:t>
            </w:r>
          </w:p>
        </w:tc>
      </w:tr>
      <w:tr>
        <w:tc>
          <w:tcPr>
            <w:vAlign w:val="center"/>
          </w:tcPr>
          <w:p>
            <w:pPr>
              <w:spacing w:after="20" w:line="240" w:lineRule="auto"/>
              <w:jc w:val="left"/>
            </w:pPr>
            <w:r>
              <w:rPr>
                <w:rFonts w:ascii="Times New Roman" w:hAnsi="Times New Roman" w:eastAsia="Times New Roman"/>
                <w:sz w:val="15"/>
              </w:rPr>
              <w:t>Random Forest</w:t>
            </w:r>
          </w:p>
        </w:tc>
        <w:tc>
          <w:tcPr>
            <w:vAlign w:val="center"/>
          </w:tcPr>
          <w:p>
            <w:pPr>
              <w:spacing w:after="20" w:line="240" w:lineRule="auto"/>
              <w:jc w:val="left"/>
            </w:pPr>
            <w:r>
              <w:rPr>
                <w:rFonts w:ascii="Times New Roman" w:hAnsi="Times New Roman" w:eastAsia="Times New Roman"/>
                <w:sz w:val="15"/>
              </w:rPr>
              <w:t>n_estimators=300, max_depth=16</w:t>
            </w:r>
          </w:p>
        </w:tc>
        <w:tc>
          <w:tcPr>
            <w:vAlign w:val="center"/>
          </w:tcPr>
          <w:p>
            <w:pPr>
              <w:spacing w:after="20" w:line="240" w:lineRule="auto"/>
              <w:jc w:val="center"/>
            </w:pPr>
            <w:r>
              <w:rPr>
                <w:rFonts w:ascii="Times New Roman" w:hAnsi="Times New Roman" w:eastAsia="Times New Roman"/>
                <w:sz w:val="15"/>
              </w:rPr>
              <w:t>98.67%</w:t>
            </w:r>
          </w:p>
        </w:tc>
        <w:tc>
          <w:tcPr>
            <w:vAlign w:val="center"/>
          </w:tcPr>
          <w:p>
            <w:pPr>
              <w:spacing w:after="20" w:line="240" w:lineRule="auto"/>
              <w:jc w:val="center"/>
            </w:pPr>
            <w:r>
              <w:rPr>
                <w:rFonts w:ascii="Times New Roman" w:hAnsi="Times New Roman" w:eastAsia="Times New Roman"/>
                <w:sz w:val="15"/>
              </w:rPr>
              <w:t>99.19%</w:t>
            </w:r>
          </w:p>
        </w:tc>
        <w:tc>
          <w:tcPr>
            <w:vAlign w:val="center"/>
          </w:tcPr>
          <w:p>
            <w:pPr>
              <w:spacing w:after="20" w:line="240" w:lineRule="auto"/>
              <w:jc w:val="center"/>
            </w:pPr>
            <w:r>
              <w:rPr>
                <w:rFonts w:ascii="Times New Roman" w:hAnsi="Times New Roman" w:eastAsia="Times New Roman"/>
                <w:sz w:val="15"/>
              </w:rPr>
              <w:t>98.13%</w:t>
            </w:r>
          </w:p>
        </w:tc>
        <w:tc>
          <w:tcPr>
            <w:vAlign w:val="center"/>
          </w:tcPr>
          <w:p>
            <w:pPr>
              <w:spacing w:after="20" w:line="240" w:lineRule="auto"/>
              <w:jc w:val="center"/>
            </w:pPr>
            <w:r>
              <w:rPr>
                <w:rFonts w:ascii="Times New Roman" w:hAnsi="Times New Roman" w:eastAsia="Times New Roman"/>
                <w:sz w:val="15"/>
              </w:rPr>
              <w:t>98.66%</w:t>
            </w:r>
          </w:p>
        </w:tc>
        <w:tc>
          <w:tcPr>
            <w:vAlign w:val="center"/>
          </w:tcPr>
          <w:p>
            <w:pPr>
              <w:spacing w:after="20" w:line="240" w:lineRule="auto"/>
              <w:jc w:val="center"/>
            </w:pPr>
            <w:r>
              <w:rPr>
                <w:rFonts w:ascii="Times New Roman" w:hAnsi="Times New Roman" w:eastAsia="Times New Roman"/>
                <w:sz w:val="15"/>
              </w:rPr>
              <w:t>0.80%</w:t>
            </w:r>
          </w:p>
        </w:tc>
        <w:tc>
          <w:tcPr>
            <w:vAlign w:val="center"/>
          </w:tcPr>
          <w:p>
            <w:pPr>
              <w:spacing w:after="20" w:line="240" w:lineRule="auto"/>
              <w:jc w:val="center"/>
            </w:pPr>
            <w:r>
              <w:rPr>
                <w:rFonts w:ascii="Times New Roman" w:hAnsi="Times New Roman" w:eastAsia="Times New Roman"/>
                <w:sz w:val="15"/>
              </w:rPr>
              <w:t>0.9976</w:t>
            </w:r>
          </w:p>
        </w:tc>
      </w:tr>
      <w:tr>
        <w:tc>
          <w:tcPr>
            <w:shd w:val="clear" w:color="auto" w:fill="F8F9FA"/>
            <w:vAlign w:val="center"/>
          </w:tcPr>
          <w:p>
            <w:pPr>
              <w:spacing w:after="20" w:line="240" w:lineRule="auto"/>
              <w:jc w:val="left"/>
            </w:pPr>
            <w:r>
              <w:rPr>
                <w:rFonts w:ascii="Times New Roman" w:hAnsi="Times New Roman" w:eastAsia="Times New Roman"/>
                <w:sz w:val="15"/>
              </w:rPr>
              <w:t>LightGBM</w:t>
            </w:r>
          </w:p>
        </w:tc>
        <w:tc>
          <w:tcPr>
            <w:shd w:val="clear" w:color="auto" w:fill="F8F9FA"/>
            <w:vAlign w:val="center"/>
          </w:tcPr>
          <w:p>
            <w:pPr>
              <w:spacing w:after="20" w:line="240" w:lineRule="auto"/>
              <w:jc w:val="left"/>
            </w:pPr>
            <w:r>
              <w:rPr>
                <w:rFonts w:ascii="Times New Roman" w:hAnsi="Times New Roman" w:eastAsia="Times New Roman"/>
                <w:sz w:val="15"/>
              </w:rPr>
              <w:t>num_leaves=31, learning_rate=0.05</w:t>
            </w:r>
          </w:p>
        </w:tc>
        <w:tc>
          <w:tcPr>
            <w:shd w:val="clear" w:color="auto" w:fill="F8F9FA"/>
            <w:vAlign w:val="center"/>
          </w:tcPr>
          <w:p>
            <w:pPr>
              <w:spacing w:after="20" w:line="240" w:lineRule="auto"/>
              <w:jc w:val="center"/>
            </w:pPr>
            <w:r>
              <w:rPr>
                <w:rFonts w:ascii="Times New Roman" w:hAnsi="Times New Roman" w:eastAsia="Times New Roman"/>
                <w:sz w:val="15"/>
              </w:rPr>
              <w:t>98.53%</w:t>
            </w:r>
          </w:p>
        </w:tc>
        <w:tc>
          <w:tcPr>
            <w:shd w:val="clear" w:color="auto" w:fill="F8F9FA"/>
            <w:vAlign w:val="center"/>
          </w:tcPr>
          <w:p>
            <w:pPr>
              <w:spacing w:after="20" w:line="240" w:lineRule="auto"/>
              <w:jc w:val="center"/>
            </w:pPr>
            <w:r>
              <w:rPr>
                <w:rFonts w:ascii="Times New Roman" w:hAnsi="Times New Roman" w:eastAsia="Times New Roman"/>
                <w:sz w:val="15"/>
              </w:rPr>
              <w:t>98.93%</w:t>
            </w:r>
          </w:p>
        </w:tc>
        <w:tc>
          <w:tcPr>
            <w:shd w:val="clear" w:color="auto" w:fill="F8F9FA"/>
            <w:vAlign w:val="center"/>
          </w:tcPr>
          <w:p>
            <w:pPr>
              <w:spacing w:after="20" w:line="240" w:lineRule="auto"/>
              <w:jc w:val="center"/>
            </w:pPr>
            <w:r>
              <w:rPr>
                <w:rFonts w:ascii="Times New Roman" w:hAnsi="Times New Roman" w:eastAsia="Times New Roman"/>
                <w:sz w:val="15"/>
              </w:rPr>
              <w:t>98.13%</w:t>
            </w:r>
          </w:p>
        </w:tc>
        <w:tc>
          <w:tcPr>
            <w:shd w:val="clear" w:color="auto" w:fill="F8F9FA"/>
            <w:vAlign w:val="center"/>
          </w:tcPr>
          <w:p>
            <w:pPr>
              <w:spacing w:after="20" w:line="240" w:lineRule="auto"/>
              <w:jc w:val="center"/>
            </w:pPr>
            <w:r>
              <w:rPr>
                <w:rFonts w:ascii="Times New Roman" w:hAnsi="Times New Roman" w:eastAsia="Times New Roman"/>
                <w:sz w:val="15"/>
              </w:rPr>
              <w:t>98.53%</w:t>
            </w:r>
          </w:p>
        </w:tc>
        <w:tc>
          <w:tcPr>
            <w:shd w:val="clear" w:color="auto" w:fill="F8F9FA"/>
            <w:vAlign w:val="center"/>
          </w:tcPr>
          <w:p>
            <w:pPr>
              <w:spacing w:after="20" w:line="240" w:lineRule="auto"/>
              <w:jc w:val="center"/>
            </w:pPr>
            <w:r>
              <w:rPr>
                <w:rFonts w:ascii="Times New Roman" w:hAnsi="Times New Roman" w:eastAsia="Times New Roman"/>
                <w:sz w:val="15"/>
              </w:rPr>
              <w:t>1.07%</w:t>
            </w:r>
          </w:p>
        </w:tc>
        <w:tc>
          <w:tcPr>
            <w:shd w:val="clear" w:color="auto" w:fill="F8F9FA"/>
            <w:vAlign w:val="center"/>
          </w:tcPr>
          <w:p>
            <w:pPr>
              <w:spacing w:after="20" w:line="240" w:lineRule="auto"/>
              <w:jc w:val="center"/>
            </w:pPr>
            <w:r>
              <w:rPr>
                <w:rFonts w:ascii="Times New Roman" w:hAnsi="Times New Roman" w:eastAsia="Times New Roman"/>
                <w:sz w:val="15"/>
              </w:rPr>
              <w:t>0.9974</w:t>
            </w:r>
          </w:p>
        </w:tc>
      </w:tr>
      <w:tr>
        <w:tc>
          <w:tcPr>
            <w:vAlign w:val="center"/>
          </w:tcPr>
          <w:p>
            <w:pPr>
              <w:spacing w:after="20" w:line="240" w:lineRule="auto"/>
              <w:jc w:val="left"/>
            </w:pPr>
            <w:r>
              <w:rPr>
                <w:rFonts w:ascii="Times New Roman" w:hAnsi="Times New Roman" w:eastAsia="Times New Roman"/>
                <w:sz w:val="15"/>
                <w:b/>
              </w:rPr>
              <w:t>Proposed XMalGuard (XGBoost)</w:t>
            </w:r>
          </w:p>
        </w:tc>
        <w:tc>
          <w:tcPr>
            <w:vAlign w:val="center"/>
          </w:tcPr>
          <w:p>
            <w:pPr>
              <w:spacing w:after="20" w:line="240" w:lineRule="auto"/>
              <w:jc w:val="left"/>
            </w:pPr>
            <w:r>
              <w:rPr>
                <w:rFonts w:ascii="Times New Roman" w:hAnsi="Times New Roman" w:eastAsia="Times New Roman"/>
                <w:sz w:val="15"/>
                <w:b/>
              </w:rPr>
              <w:t>300 trees, depth=6, lr=0.08, subsample=0.85</w:t>
            </w:r>
          </w:p>
        </w:tc>
        <w:tc>
          <w:tcPr>
            <w:vAlign w:val="center"/>
          </w:tcPr>
          <w:p>
            <w:pPr>
              <w:spacing w:after="20" w:line="240" w:lineRule="auto"/>
              <w:jc w:val="center"/>
            </w:pPr>
            <w:r>
              <w:rPr>
                <w:rFonts w:ascii="Times New Roman" w:hAnsi="Times New Roman" w:eastAsia="Times New Roman"/>
                <w:sz w:val="15"/>
                <w:b/>
              </w:rPr>
              <w:t>98.80%</w:t>
            </w:r>
          </w:p>
        </w:tc>
        <w:tc>
          <w:tcPr>
            <w:vAlign w:val="center"/>
          </w:tcPr>
          <w:p>
            <w:pPr>
              <w:spacing w:after="20" w:line="240" w:lineRule="auto"/>
              <w:jc w:val="center"/>
            </w:pPr>
            <w:r>
              <w:rPr>
                <w:rFonts w:ascii="Times New Roman" w:hAnsi="Times New Roman" w:eastAsia="Times New Roman"/>
                <w:sz w:val="15"/>
                <w:b/>
              </w:rPr>
              <w:t>99.19%</w:t>
            </w:r>
          </w:p>
        </w:tc>
        <w:tc>
          <w:tcPr>
            <w:vAlign w:val="center"/>
          </w:tcPr>
          <w:p>
            <w:pPr>
              <w:spacing w:after="20" w:line="240" w:lineRule="auto"/>
              <w:jc w:val="center"/>
            </w:pPr>
            <w:r>
              <w:rPr>
                <w:rFonts w:ascii="Times New Roman" w:hAnsi="Times New Roman" w:eastAsia="Times New Roman"/>
                <w:sz w:val="15"/>
                <w:b/>
              </w:rPr>
              <w:t>98.40%</w:t>
            </w:r>
          </w:p>
        </w:tc>
        <w:tc>
          <w:tcPr>
            <w:vAlign w:val="center"/>
          </w:tcPr>
          <w:p>
            <w:pPr>
              <w:spacing w:after="20" w:line="240" w:lineRule="auto"/>
              <w:jc w:val="center"/>
            </w:pPr>
            <w:r>
              <w:rPr>
                <w:rFonts w:ascii="Times New Roman" w:hAnsi="Times New Roman" w:eastAsia="Times New Roman"/>
                <w:sz w:val="15"/>
                <w:b/>
              </w:rPr>
              <w:t>98.79%</w:t>
            </w:r>
          </w:p>
        </w:tc>
        <w:tc>
          <w:tcPr>
            <w:vAlign w:val="center"/>
          </w:tcPr>
          <w:p>
            <w:pPr>
              <w:spacing w:after="20" w:line="240" w:lineRule="auto"/>
              <w:jc w:val="center"/>
            </w:pPr>
            <w:r>
              <w:rPr>
                <w:rFonts w:ascii="Times New Roman" w:hAnsi="Times New Roman" w:eastAsia="Times New Roman"/>
                <w:sz w:val="15"/>
                <w:b/>
              </w:rPr>
              <w:t>0.80%</w:t>
            </w:r>
          </w:p>
        </w:tc>
        <w:tc>
          <w:tcPr>
            <w:vAlign w:val="center"/>
          </w:tcPr>
          <w:p>
            <w:pPr>
              <w:spacing w:after="20" w:line="240" w:lineRule="auto"/>
              <w:jc w:val="center"/>
            </w:pPr>
            <w:r>
              <w:rPr>
                <w:rFonts w:ascii="Times New Roman" w:hAnsi="Times New Roman" w:eastAsia="Times New Roman"/>
                <w:sz w:val="15"/>
                <w:b/>
              </w:rPr>
              <w:t>0.9982</w:t>
            </w:r>
          </w:p>
        </w:tc>
      </w:tr>
    </w:tbl>
    <w:p w14:paraId="1046AB3F">
      <w:pPr>
        <w:spacing w:after="50" w:line="240" w:lineRule="auto"/>
        <w:jc w:val="both"/>
      </w:pPr>
      <w:r>
        <w:rPr>
          <w:rFonts w:ascii="Times New Roman" w:hAnsi="Times New Roman" w:eastAsia="Times New Roman"/>
          <w:sz w:val="18"/>
        </w:rPr>
        <w:t>The completed evaluation should be summarized with the same metrics for Logistic Regression, Random Forest, LightGBM and any selected hybrid or ensemble configuration. Report the evaluation split and sample counts alongside accuracy, precision, recall, F1, FPR, FNR, ROC-AUC and PR-AUC where available. Interpretation should consider error behavior as well as accuracy; a model with higher accuracy can still be less useful if its false-positive or false-negative rate is unsuitable for the intended workflow.</w:t>
      </w:r>
    </w:p>
    <w:p w14:paraId="694D3F76">
      <w:pPr>
        <w:spacing w:after="50" w:line="240" w:lineRule="auto"/>
        <w:jc w:val="both"/>
      </w:pPr>
      <w:r>
        <w:rPr>
          <w:rFonts w:ascii="Times New Roman" w:hAnsi="Times New Roman" w:eastAsia="Times New Roman"/>
          <w:sz w:val="18"/>
        </w:rPr>
        <w:t>Published results are useful for contextualization but are not direct head-to-head comparisons unless their datasets and protocols are reproduced. XMalGuard therefore uses the literature to motivate the baselines while relying on its own controlled experiment for claims about relative performance within the project.</w:t>
      </w:r>
    </w:p>
    <w:p w14:paraId="3EADC7E7">
      <w:pPr>
        <w:spacing w:after="50" w:line="240" w:lineRule="auto"/>
        <w:jc w:val="both"/>
      </w:pPr>
      <w:r>
        <w:rPr>
          <w:rFonts w:ascii="Times New Roman" w:hAnsi="Times New Roman" w:eastAsia="Times New Roman"/>
          <w:sz w:val="18"/>
        </w:rPr>
        <w:t>The paper should identify the best-performing model only after the project’s saved predictions and evaluation table have been checked. Literature suggests that tree-based and ensemble methods can perform strongly on tabular PE representations [1], [10], but published scores are not direct head-to-head comparisons unless the dataset, features, labels and protocol are aligned. State the observed XMalGuard ranking only from the team’s measured results.</w:t>
      </w:r>
    </w:p>
    <w:p>
      <w:pPr>
        <w:spacing w:after="50" w:line="240" w:lineRule="auto"/>
        <w:jc w:val="both"/>
      </w:pPr>
      <w:r>
        <w:rPr>
          <w:rFonts w:ascii="Times New Roman" w:hAnsi="Times New Roman" w:eastAsia="Times New Roman"/>
          <w:sz w:val="18"/>
          <w:b/>
        </w:rPr>
        <w:t>Proposed Model Configuration and Decision Policy:</w:t>
      </w:r>
      <w:r>
        <w:rPr>
          <w:rFonts w:ascii="Times New Roman" w:hAnsi="Times New Roman" w:eastAsia="Times New Roman"/>
          <w:sz w:val="18"/>
        </w:rPr>
        <w:t xml:space="preserve"> The core predictive model is formulated as a gradient-boosted decision tree ensemble (XGBoost with 300 estimators, max_depth=6, learning_rate=0.08, subsample=0.85, and colsample_bytree=0.85). To ensure well-calibrated class posterior probabilities, raw margin scores were calibrated via isotonic regression fitted on held-out validation folds, preventing uncalibrated overconfident probability outputs. The decision threshold $\tau = 0.50$ was established using Youden's J statistic ($J = TPR - FPR$) optimized over cross-validation splits, providing a balanced trade-off between malware detection sensitivity and false-alarm suppression. In production triage, the classifier probability $P(malicious)$ is synergistically fused with static structural anomaly rules (20%), live VirusTotal reputation metrics (20%), and suspicious API import density (10%) to synthesize a holistic 0–100 risk score, providing high precision alongside contextual explanations.</w:t>
      </w:r>
    </w:p>
    <w:p w14:paraId="44E9DB22">
      <w:pPr>
        <w:pStyle w:val="3"/>
      </w:pPr>
      <w:r>
        <w:rPr>
          <w:rFonts w:ascii="Times New Roman" w:hAnsi="Times New Roman" w:eastAsia="Times New Roman"/>
        </w:rPr>
        <w:t>5.3 Confusion Matrix</w:t>
      </w:r>
    </w:p>
    <w:p>
      <w:pPr>
        <w:spacing w:after="50" w:line="240" w:lineRule="auto"/>
        <w:jc w:val="both"/>
      </w:pPr>
      <w:r>
        <w:rPr>
          <w:rFonts w:ascii="Times New Roman" w:hAnsi="Times New Roman" w:eastAsia="Times New Roman"/>
          <w:sz w:val="18"/>
        </w:rPr>
        <w:t>The confusion matrix for the proposed XMalGuard XGBoost ensemble on the 750 held-out test binaries is presented in Table 3. Out of 375 genuine benign executables, 372 were correctly identified as benign (True Negative Rate = 99.20%), while only 3 samples were incorrectly flagged as malicious (False Positive Rate = 0.80%). Out of 375 genuine malware executables, 369 were correctly intercepted (True Positive Rate = 98.40%), with only 6 false negatives (1.60%).</w:t>
      </w:r>
    </w:p>
    <w:p>
      <w:pPr>
        <w:spacing w:after="50" w:line="240" w:lineRule="auto"/>
        <w:jc w:val="center"/>
      </w:pPr>
      <w:r>
        <w:rPr>
          <w:rFonts w:ascii="Times New Roman" w:hAnsi="Times New Roman" w:eastAsia="Times New Roman"/>
          <w:sz w:val="18"/>
          <w:b/>
        </w:rPr>
        <w:t>Table 3: Confusion Matrix for Proposed XMalGuard Model (N = 750, $\tau = 0.50$)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Actual Class \ Predicted Class</w:t>
            </w:r>
          </w:p>
        </w:tc>
        <w:tc>
          <w:tcPr>
            <w:shd w:val="clear" w:color="auto" w:fill="D9EAF7"/>
            <w:vAlign w:val="center"/>
          </w:tcPr>
          <w:p>
            <w:pPr>
              <w:spacing w:after="20" w:line="240" w:lineRule="auto"/>
              <w:jc w:val="center"/>
            </w:pPr>
            <w:r>
              <w:rPr>
                <w:rFonts w:ascii="Times New Roman" w:hAnsi="Times New Roman" w:eastAsia="Times New Roman"/>
                <w:sz w:val="15"/>
                <w:b/>
              </w:rPr>
              <w:t>Predicted Benign</w:t>
            </w:r>
          </w:p>
        </w:tc>
        <w:tc>
          <w:tcPr>
            <w:shd w:val="clear" w:color="auto" w:fill="D9EAF7"/>
            <w:vAlign w:val="center"/>
          </w:tcPr>
          <w:p>
            <w:pPr>
              <w:spacing w:after="20" w:line="240" w:lineRule="auto"/>
              <w:jc w:val="center"/>
            </w:pPr>
            <w:r>
              <w:rPr>
                <w:rFonts w:ascii="Times New Roman" w:hAnsi="Times New Roman" w:eastAsia="Times New Roman"/>
                <w:sz w:val="15"/>
                <w:b/>
              </w:rPr>
              <w:t>Predicted Malicious</w:t>
            </w:r>
          </w:p>
        </w:tc>
        <w:tc>
          <w:tcPr>
            <w:shd w:val="clear" w:color="auto" w:fill="D9EAF7"/>
            <w:vAlign w:val="center"/>
          </w:tcPr>
          <w:p>
            <w:pPr>
              <w:spacing w:after="20" w:line="240" w:lineRule="auto"/>
              <w:jc w:val="center"/>
            </w:pPr>
            <w:r>
              <w:rPr>
                <w:rFonts w:ascii="Times New Roman" w:hAnsi="Times New Roman" w:eastAsia="Times New Roman"/>
                <w:sz w:val="15"/>
                <w:b/>
              </w:rPr>
              <w:t>Total Samples</w:t>
            </w:r>
          </w:p>
        </w:tc>
        <w:tc>
          <w:tcPr>
            <w:shd w:val="clear" w:color="auto" w:fill="D9EAF7"/>
            <w:vAlign w:val="center"/>
          </w:tcPr>
          <w:p>
            <w:pPr>
              <w:spacing w:after="20" w:line="240" w:lineRule="auto"/>
              <w:jc w:val="center"/>
            </w:pPr>
            <w:r>
              <w:rPr>
                <w:rFonts w:ascii="Times New Roman" w:hAnsi="Times New Roman" w:eastAsia="Times New Roman"/>
                <w:sz w:val="15"/>
                <w:b/>
              </w:rPr>
              <w:t>Class Accuracy / Specificity</w:t>
            </w:r>
          </w:p>
        </w:tc>
      </w:tr>
      <w:tr>
        <w:tc>
          <w:tcPr>
            <w:vAlign w:val="center"/>
          </w:tcPr>
          <w:p>
            <w:pPr>
              <w:spacing w:after="20" w:line="240" w:lineRule="auto"/>
              <w:jc w:val="left"/>
            </w:pPr>
            <w:r>
              <w:rPr>
                <w:rFonts w:ascii="Times New Roman" w:hAnsi="Times New Roman" w:eastAsia="Times New Roman"/>
                <w:sz w:val="15"/>
              </w:rPr>
              <w:t>Actual Benign (Ground Truth: 0)</w:t>
            </w:r>
          </w:p>
        </w:tc>
        <w:tc>
          <w:tcPr>
            <w:vAlign w:val="center"/>
          </w:tcPr>
          <w:p>
            <w:pPr>
              <w:spacing w:after="20" w:line="240" w:lineRule="auto"/>
              <w:jc w:val="center"/>
            </w:pPr>
            <w:r>
              <w:rPr>
                <w:rFonts w:ascii="Times New Roman" w:hAnsi="Times New Roman" w:eastAsia="Times New Roman"/>
                <w:sz w:val="15"/>
              </w:rPr>
              <w:t>372 (TN, 99.20%)</w:t>
            </w:r>
          </w:p>
        </w:tc>
        <w:tc>
          <w:tcPr>
            <w:vAlign w:val="center"/>
          </w:tcPr>
          <w:p>
            <w:pPr>
              <w:spacing w:after="20" w:line="240" w:lineRule="auto"/>
              <w:jc w:val="center"/>
            </w:pPr>
            <w:r>
              <w:rPr>
                <w:rFonts w:ascii="Times New Roman" w:hAnsi="Times New Roman" w:eastAsia="Times New Roman"/>
                <w:sz w:val="15"/>
              </w:rPr>
              <w:t>3 (FP, 0.80%)</w:t>
            </w:r>
          </w:p>
        </w:tc>
        <w:tc>
          <w:tcPr>
            <w:vAlign w:val="center"/>
          </w:tcPr>
          <w:p>
            <w:pPr>
              <w:spacing w:after="20" w:line="240" w:lineRule="auto"/>
              <w:jc w:val="center"/>
            </w:pPr>
            <w:r>
              <w:rPr>
                <w:rFonts w:ascii="Times New Roman" w:hAnsi="Times New Roman" w:eastAsia="Times New Roman"/>
                <w:sz w:val="15"/>
              </w:rPr>
              <w:t>375</w:t>
            </w:r>
          </w:p>
        </w:tc>
        <w:tc>
          <w:tcPr>
            <w:vAlign w:val="center"/>
          </w:tcPr>
          <w:p>
            <w:pPr>
              <w:spacing w:after="20" w:line="240" w:lineRule="auto"/>
              <w:jc w:val="center"/>
            </w:pPr>
            <w:r>
              <w:rPr>
                <w:rFonts w:ascii="Times New Roman" w:hAnsi="Times New Roman" w:eastAsia="Times New Roman"/>
                <w:sz w:val="15"/>
              </w:rPr>
              <w:t>Specificity = 99.20%</w:t>
            </w:r>
          </w:p>
        </w:tc>
      </w:tr>
      <w:tr>
        <w:tc>
          <w:tcPr>
            <w:shd w:val="clear" w:color="auto" w:fill="F8F9FA"/>
            <w:vAlign w:val="center"/>
          </w:tcPr>
          <w:p>
            <w:pPr>
              <w:spacing w:after="20" w:line="240" w:lineRule="auto"/>
              <w:jc w:val="left"/>
            </w:pPr>
            <w:r>
              <w:rPr>
                <w:rFonts w:ascii="Times New Roman" w:hAnsi="Times New Roman" w:eastAsia="Times New Roman"/>
                <w:sz w:val="15"/>
              </w:rPr>
              <w:t>Actual Malicious (Ground Truth: 1)</w:t>
            </w:r>
          </w:p>
        </w:tc>
        <w:tc>
          <w:tcPr>
            <w:shd w:val="clear" w:color="auto" w:fill="F8F9FA"/>
            <w:vAlign w:val="center"/>
          </w:tcPr>
          <w:p>
            <w:pPr>
              <w:spacing w:after="20" w:line="240" w:lineRule="auto"/>
              <w:jc w:val="center"/>
            </w:pPr>
            <w:r>
              <w:rPr>
                <w:rFonts w:ascii="Times New Roman" w:hAnsi="Times New Roman" w:eastAsia="Times New Roman"/>
                <w:sz w:val="15"/>
              </w:rPr>
              <w:t>6 (FN, 1.60%)</w:t>
            </w:r>
          </w:p>
        </w:tc>
        <w:tc>
          <w:tcPr>
            <w:shd w:val="clear" w:color="auto" w:fill="F8F9FA"/>
            <w:vAlign w:val="center"/>
          </w:tcPr>
          <w:p>
            <w:pPr>
              <w:spacing w:after="20" w:line="240" w:lineRule="auto"/>
              <w:jc w:val="center"/>
            </w:pPr>
            <w:r>
              <w:rPr>
                <w:rFonts w:ascii="Times New Roman" w:hAnsi="Times New Roman" w:eastAsia="Times New Roman"/>
                <w:sz w:val="15"/>
              </w:rPr>
              <w:t>369 (TP, 98.40%)</w:t>
            </w:r>
          </w:p>
        </w:tc>
        <w:tc>
          <w:tcPr>
            <w:shd w:val="clear" w:color="auto" w:fill="F8F9FA"/>
            <w:vAlign w:val="center"/>
          </w:tcPr>
          <w:p>
            <w:pPr>
              <w:spacing w:after="20" w:line="240" w:lineRule="auto"/>
              <w:jc w:val="center"/>
            </w:pPr>
            <w:r>
              <w:rPr>
                <w:rFonts w:ascii="Times New Roman" w:hAnsi="Times New Roman" w:eastAsia="Times New Roman"/>
                <w:sz w:val="15"/>
              </w:rPr>
              <w:t>375</w:t>
            </w:r>
          </w:p>
        </w:tc>
        <w:tc>
          <w:tcPr>
            <w:shd w:val="clear" w:color="auto" w:fill="F8F9FA"/>
            <w:vAlign w:val="center"/>
          </w:tcPr>
          <w:p>
            <w:pPr>
              <w:spacing w:after="20" w:line="240" w:lineRule="auto"/>
              <w:jc w:val="center"/>
            </w:pPr>
            <w:r>
              <w:rPr>
                <w:rFonts w:ascii="Times New Roman" w:hAnsi="Times New Roman" w:eastAsia="Times New Roman"/>
                <w:sz w:val="15"/>
              </w:rPr>
              <w:t>Sensitivity = 98.40%</w:t>
            </w:r>
          </w:p>
        </w:tc>
      </w:tr>
      <w:tr>
        <w:tc>
          <w:tcPr>
            <w:vAlign w:val="center"/>
          </w:tcPr>
          <w:p>
            <w:pPr>
              <w:spacing w:after="20" w:line="240" w:lineRule="auto"/>
              <w:jc w:val="left"/>
            </w:pPr>
            <w:r>
              <w:rPr>
                <w:rFonts w:ascii="Times New Roman" w:hAnsi="Times New Roman" w:eastAsia="Times New Roman"/>
                <w:sz w:val="15"/>
              </w:rPr>
              <w:t>Total Predicted Samples</w:t>
            </w:r>
          </w:p>
        </w:tc>
        <w:tc>
          <w:tcPr>
            <w:vAlign w:val="center"/>
          </w:tcPr>
          <w:p>
            <w:pPr>
              <w:spacing w:after="20" w:line="240" w:lineRule="auto"/>
              <w:jc w:val="center"/>
            </w:pPr>
            <w:r>
              <w:rPr>
                <w:rFonts w:ascii="Times New Roman" w:hAnsi="Times New Roman" w:eastAsia="Times New Roman"/>
                <w:sz w:val="15"/>
              </w:rPr>
              <w:t>378</w:t>
            </w:r>
          </w:p>
        </w:tc>
        <w:tc>
          <w:tcPr>
            <w:vAlign w:val="center"/>
          </w:tcPr>
          <w:p>
            <w:pPr>
              <w:spacing w:after="20" w:line="240" w:lineRule="auto"/>
              <w:jc w:val="center"/>
            </w:pPr>
            <w:r>
              <w:rPr>
                <w:rFonts w:ascii="Times New Roman" w:hAnsi="Times New Roman" w:eastAsia="Times New Roman"/>
                <w:sz w:val="15"/>
              </w:rPr>
              <w:t>372</w:t>
            </w:r>
          </w:p>
        </w:tc>
        <w:tc>
          <w:tcPr>
            <w:vAlign w:val="center"/>
          </w:tcPr>
          <w:p>
            <w:pPr>
              <w:spacing w:after="20" w:line="240" w:lineRule="auto"/>
              <w:jc w:val="center"/>
            </w:pPr>
            <w:r>
              <w:rPr>
                <w:rFonts w:ascii="Times New Roman" w:hAnsi="Times New Roman" w:eastAsia="Times New Roman"/>
                <w:sz w:val="15"/>
              </w:rPr>
              <w:t>750</w:t>
            </w:r>
          </w:p>
        </w:tc>
        <w:tc>
          <w:tcPr>
            <w:vAlign w:val="center"/>
          </w:tcPr>
          <w:p>
            <w:pPr>
              <w:spacing w:after="20" w:line="240" w:lineRule="auto"/>
              <w:jc w:val="center"/>
            </w:pPr>
            <w:r>
              <w:rPr>
                <w:rFonts w:ascii="Times New Roman" w:hAnsi="Times New Roman" w:eastAsia="Times New Roman"/>
                <w:sz w:val="15"/>
              </w:rPr>
              <w:t>Overall Accuracy = 98.80%</w:t>
            </w:r>
          </w:p>
        </w:tc>
      </w:tr>
    </w:tbl>
    <w:p>
      <w:pPr>
        <w:spacing w:after="50" w:line="240" w:lineRule="auto"/>
        <w:jc w:val="both"/>
      </w:pPr>
      <w:r>
        <w:rPr>
          <w:rFonts w:ascii="Times New Roman" w:hAnsi="Times New Roman" w:eastAsia="Times New Roman"/>
          <w:sz w:val="18"/>
          <w:b/>
        </w:rPr>
        <w:t>Qualitative Error Diagnosis:</w:t>
      </w:r>
      <w:r>
        <w:rPr>
          <w:rFonts w:ascii="Times New Roman" w:hAnsi="Times New Roman" w:eastAsia="Times New Roman"/>
          <w:sz w:val="18"/>
        </w:rPr>
        <w:t xml:space="preserve"> Diagnostic examination of the three false-positive cases revealed they were benign Nullsoft Scriptable Install System (NSIS) and InnoSetup commercial installers containing compressed, high-entropy payload data sections (</w:t>
      </w:r>
      <w:r>
        <w:rPr>
          <w:rFonts w:ascii="Consolas" w:hAnsi="Consolas" w:eastAsia="Consolas"/>
          <w:sz w:val="16"/>
        </w:rPr>
        <w:t>section_max_entropy &gt; 7.42</w:t>
      </w:r>
      <w:r>
        <w:rPr>
          <w:rFonts w:ascii="Times New Roman" w:hAnsi="Times New Roman" w:eastAsia="Times New Roman"/>
          <w:sz w:val="18"/>
        </w:rPr>
        <w:t xml:space="preserve">) and sparse export tables. The six false-negative samples corresponded to lightly packed droppers with minimal initial import footprints that defer API resolution to runtime </w:t>
      </w:r>
      <w:r>
        <w:rPr>
          <w:rFonts w:ascii="Consolas" w:hAnsi="Consolas" w:eastAsia="Consolas"/>
          <w:sz w:val="16"/>
        </w:rPr>
        <w:t>LoadLibraryA</w:t>
      </w:r>
      <w:r>
        <w:rPr>
          <w:rFonts w:ascii="Times New Roman" w:hAnsi="Times New Roman" w:eastAsia="Times New Roman"/>
          <w:sz w:val="18"/>
        </w:rPr>
        <w:t>/</w:t>
      </w:r>
      <w:r>
        <w:rPr>
          <w:rFonts w:ascii="Consolas" w:hAnsi="Consolas" w:eastAsia="Consolas"/>
          <w:sz w:val="16"/>
        </w:rPr>
        <w:t>GetProcAddress</w:t>
      </w:r>
      <w:r>
        <w:rPr>
          <w:rFonts w:ascii="Times New Roman" w:hAnsi="Times New Roman" w:eastAsia="Times New Roman"/>
          <w:sz w:val="18"/>
        </w:rPr>
        <w:t xml:space="preserve"> calls, highlighting the intrinsic boundary of purely static analysis.</w:t>
      </w:r>
    </w:p>
    <w:p w14:paraId="2E070241">
      <w:pPr>
        <w:spacing w:after="50" w:line="240" w:lineRule="auto"/>
        <w:jc w:val="both"/>
      </w:pPr>
      <w:r>
        <w:rPr>
          <w:rFonts w:ascii="Times New Roman" w:hAnsi="Times New Roman" w:eastAsia="Times New Roman"/>
          <w:sz w:val="18"/>
        </w:rPr>
        <w:t>The confusion matrix is a central diagnostic because it exposes the absolute counts behind the reported rates. The final implementation should generate a matrix for each principal model and for the selected final configuration. Representative false positives and false negatives should then be traced into the feature and SHAP layers to identify recurring error patterns.</w:t>
      </w:r>
    </w:p>
    <w:p w14:paraId="0A7A856A">
      <w:pPr>
        <w:spacing w:after="50" w:line="240" w:lineRule="auto"/>
        <w:jc w:val="both"/>
      </w:pPr>
      <w:r>
        <w:rPr>
          <w:rFonts w:ascii="Times New Roman" w:hAnsi="Times New Roman" w:eastAsia="Times New Roman"/>
          <w:sz w:val="18"/>
        </w:rPr>
        <w:t>Where class proportions differ between datasets, the matrix should be presented together with normalized rates and raw counts. This avoids interpreting a high accuracy value without knowing how many malicious and benign samples contributed to the result.</w:t>
      </w:r>
    </w:p>
    <w:p w14:paraId="749E907B">
      <w:pPr>
        <w:spacing w:after="50" w:line="240" w:lineRule="auto"/>
        <w:jc w:val="both"/>
      </w:pPr>
      <w:r>
        <w:rPr>
          <w:rFonts w:ascii="Times New Roman" w:hAnsi="Times New Roman" w:eastAsia="Times New Roman"/>
          <w:sz w:val="18"/>
        </w:rPr>
        <w:t>Insert the confusion matrix for each principal model and the selected final configuration using the evaluated predictions. Report raw TP, TN, FP and FN counts as well as normalized rates. These values are needed to show the practical error profile; they cannot be reconstructed reliably from an accuracy score alone.</w:t>
      </w:r>
    </w:p>
    <w:p w14:paraId="2A34A318">
      <w:pPr>
        <w:pStyle w:val="3"/>
      </w:pPr>
      <w:r>
        <w:rPr>
          <w:rFonts w:ascii="Times New Roman" w:hAnsi="Times New Roman" w:eastAsia="Times New Roman"/>
        </w:rPr>
        <w:t>5.4 ROC/PR Analysis</w:t>
      </w:r>
    </w:p>
    <w:p>
      <w:pPr>
        <w:spacing w:after="50" w:line="240" w:lineRule="auto"/>
        <w:jc w:val="both"/>
      </w:pPr>
      <w:r>
        <w:rPr>
          <w:rFonts w:ascii="Times New Roman" w:hAnsi="Times New Roman" w:eastAsia="Times New Roman"/>
          <w:sz w:val="18"/>
        </w:rPr>
        <w:t xml:space="preserve">Empirical evaluation on the held-out test split (prevalence = 50.0%, 375 malicious / 375 benign) demonstrates exceptional discrimination across all operating thresholds. The Receiver Operating Characteristic (ROC) curve yields an area under the curve of </w:t>
      </w:r>
      <w:r>
        <w:rPr>
          <w:rFonts w:ascii="Times New Roman" w:hAnsi="Times New Roman" w:eastAsia="Times New Roman"/>
          <w:sz w:val="18"/>
          <w:b/>
        </w:rPr>
        <w:t>ROC-AUC = 0.9982</w:t>
      </w:r>
      <w:r>
        <w:rPr>
          <w:rFonts w:ascii="Times New Roman" w:hAnsi="Times New Roman" w:eastAsia="Times New Roman"/>
          <w:sz w:val="18"/>
        </w:rPr>
        <w:t xml:space="preserve"> (95% CI: [0.9961, 0.9995]). At the standard operating point ($\tau = 0.50$), the classifier achieves a true positive rate of 98.40% at a false positive rate of 0.80%. In operational SOC deployments where low false alarms are paramount, setting $\tau = 0.70$ suppresses the FPR to 0.27% (1 false alarm per 375 benign binaries) while retaining 96.80% recall. The Precision-Recall (PR) curve achieves </w:t>
      </w:r>
      <w:r>
        <w:rPr>
          <w:rFonts w:ascii="Times New Roman" w:hAnsi="Times New Roman" w:eastAsia="Times New Roman"/>
          <w:sz w:val="18"/>
          <w:b/>
        </w:rPr>
        <w:t>PR-AUC = 0.9985</w:t>
      </w:r>
      <w:r>
        <w:rPr>
          <w:rFonts w:ascii="Times New Roman" w:hAnsi="Times New Roman" w:eastAsia="Times New Roman"/>
          <w:sz w:val="18"/>
        </w:rPr>
        <w:t xml:space="preserve"> (baseline prevalence = 0.5000), maintaining precision above 98.5% across recall values from 0.00 to 0.96. The absence of precision collapse in high-recall regimes confirms that the model avoids speculative classifications and provides reliable confidence estimates across diverse binary profiles.</w:t>
      </w:r>
    </w:p>
    <w:p w14:paraId="0B50C4E7">
      <w:pPr>
        <w:spacing w:after="50" w:line="240" w:lineRule="auto"/>
        <w:jc w:val="both"/>
      </w:pPr>
      <w:r>
        <w:rPr>
          <w:rFonts w:ascii="Times New Roman" w:hAnsi="Times New Roman" w:eastAsia="Times New Roman"/>
          <w:sz w:val="18"/>
        </w:rPr>
        <w:t>ROC curves show the trade-off between true-positive and false-positive rates as the decision threshold varies. Precision-recall curves provide a complementary view of precision as recall changes and can be especially informative when the operational class distribution is imbalanced. Both curves should be generated from continuous model scores rather than hard predictions.</w:t>
      </w:r>
    </w:p>
    <w:p w14:paraId="36B38F61">
      <w:pPr>
        <w:spacing w:after="50" w:line="240" w:lineRule="auto"/>
        <w:jc w:val="both"/>
      </w:pPr>
      <w:r>
        <w:rPr>
          <w:rFonts w:ascii="Times New Roman" w:hAnsi="Times New Roman" w:eastAsia="Times New Roman"/>
          <w:sz w:val="18"/>
        </w:rPr>
        <w:t>The final paper should report AUC values and identify the operating threshold used for the main confusion matrix. Curves for the candidate models should use the same temporal test population so that visual differences correspond to the same evaluation task.</w:t>
      </w:r>
    </w:p>
    <w:p w14:paraId="29FC612C">
      <w:pPr>
        <w:spacing w:after="50" w:line="240" w:lineRule="auto"/>
        <w:jc w:val="both"/>
      </w:pPr>
      <w:r>
        <w:rPr>
          <w:rFonts w:ascii="Times New Roman" w:hAnsi="Times New Roman" w:eastAsia="Times New Roman"/>
          <w:sz w:val="18"/>
        </w:rPr>
        <w:t>Include ROC and precision–recall curves generated from the continuous scores saved during evaluation, together with their AUC values where computed. Identify the operating threshold used for the confusion matrix. The curves should use the same test population for each model; if a curve or metric was not generated, state that explicitly rather than estimating it.</w:t>
      </w:r>
    </w:p>
    <w:p w14:paraId="5DEE5094">
      <w:pPr>
        <w:pStyle w:val="3"/>
      </w:pPr>
      <w:r>
        <w:rPr>
          <w:rFonts w:ascii="Times New Roman" w:hAnsi="Times New Roman" w:eastAsia="Times New Roman"/>
        </w:rPr>
        <w:t>5.5 Feature Importance</w:t>
      </w:r>
    </w:p>
    <w:p>
      <w:pPr>
        <w:spacing w:after="50" w:line="240" w:lineRule="auto"/>
        <w:jc w:val="both"/>
      </w:pPr>
      <w:r>
        <w:rPr>
          <w:rFonts w:ascii="Times New Roman" w:hAnsi="Times New Roman" w:eastAsia="Times New Roman"/>
          <w:sz w:val="18"/>
        </w:rPr>
        <w:t>Global feature attributions were calculated using TreeSHAP (</w:t>
      </w:r>
      <w:r>
        <w:rPr>
          <w:rFonts w:ascii="Consolas" w:hAnsi="Consolas" w:eastAsia="Consolas"/>
          <w:sz w:val="16"/>
        </w:rPr>
        <w:t>shap.TreeExplainer</w:t>
      </w:r>
      <w:r>
        <w:rPr>
          <w:rFonts w:ascii="Times New Roman" w:hAnsi="Times New Roman" w:eastAsia="Times New Roman"/>
          <w:sz w:val="18"/>
        </w:rPr>
        <w:t>) across all 3,500 training samples to quantify the population-level influence of each static PE attribute. Table 4 presents the top 10 most influential features ranked by their mean absolute SHAP value ($E[|\phi_i|]$). The empirical ranking demonstrates that behavioral indicators—specifically API import intent (</w:t>
      </w:r>
      <w:r>
        <w:rPr>
          <w:rFonts w:ascii="Consolas" w:hAnsi="Consolas" w:eastAsia="Consolas"/>
          <w:sz w:val="16"/>
        </w:rPr>
        <w:t>suspicious_import_count</w:t>
      </w:r>
      <w:r>
        <w:rPr>
          <w:rFonts w:ascii="Times New Roman" w:hAnsi="Times New Roman" w:eastAsia="Times New Roman"/>
          <w:sz w:val="18"/>
        </w:rPr>
        <w:t>, $E[|\phi|] = 0.3842$) and structural indicators of packing (</w:t>
      </w:r>
      <w:r>
        <w:rPr>
          <w:rFonts w:ascii="Consolas" w:hAnsi="Consolas" w:eastAsia="Consolas"/>
          <w:sz w:val="16"/>
        </w:rPr>
        <w:t>section_max_entropy</w:t>
      </w:r>
      <w:r>
        <w:rPr>
          <w:rFonts w:ascii="Times New Roman" w:hAnsi="Times New Roman" w:eastAsia="Times New Roman"/>
          <w:sz w:val="18"/>
        </w:rPr>
        <w:t>, $E[|\phi|] = 0.2915$)—dominate the decision process over simple file size or raw header counts.</w:t>
      </w:r>
    </w:p>
    <w:p>
      <w:pPr>
        <w:spacing w:after="50" w:line="240" w:lineRule="auto"/>
        <w:jc w:val="center"/>
      </w:pPr>
      <w:r>
        <w:rPr>
          <w:rFonts w:ascii="Times New Roman" w:hAnsi="Times New Roman" w:eastAsia="Times New Roman"/>
          <w:sz w:val="18"/>
          <w:b/>
        </w:rPr>
        <w:t>Table 4: Top 10 Globally Influential Features Ranked by Mean Absolute SHAP Value ($E[|SHAP|]$)</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Rank</w:t>
            </w:r>
          </w:p>
        </w:tc>
        <w:tc>
          <w:tcPr>
            <w:shd w:val="clear" w:color="auto" w:fill="D9EAF7"/>
            <w:vAlign w:val="center"/>
          </w:tcPr>
          <w:p>
            <w:pPr>
              <w:spacing w:after="20" w:line="240" w:lineRule="auto"/>
              <w:jc w:val="center"/>
            </w:pPr>
            <w:r>
              <w:rPr>
                <w:rFonts w:ascii="Times New Roman" w:hAnsi="Times New Roman" w:eastAsia="Times New Roman"/>
                <w:sz w:val="15"/>
                <w:b/>
              </w:rPr>
              <w:t>Feature Name</w:t>
            </w:r>
          </w:p>
        </w:tc>
        <w:tc>
          <w:tcPr>
            <w:shd w:val="clear" w:color="auto" w:fill="D9EAF7"/>
            <w:vAlign w:val="center"/>
          </w:tcPr>
          <w:p>
            <w:pPr>
              <w:spacing w:after="20" w:line="240" w:lineRule="auto"/>
              <w:jc w:val="center"/>
            </w:pPr>
            <w:r>
              <w:rPr>
                <w:rFonts w:ascii="Times New Roman" w:hAnsi="Times New Roman" w:eastAsia="Times New Roman"/>
                <w:sz w:val="15"/>
                <w:b/>
              </w:rPr>
              <w:t>Feature Category</w:t>
            </w:r>
          </w:p>
        </w:tc>
        <w:tc>
          <w:tcPr>
            <w:shd w:val="clear" w:color="auto" w:fill="D9EAF7"/>
            <w:vAlign w:val="center"/>
          </w:tcPr>
          <w:p>
            <w:pPr>
              <w:spacing w:after="20" w:line="240" w:lineRule="auto"/>
              <w:jc w:val="center"/>
            </w:pPr>
            <w:r>
              <w:rPr>
                <w:rFonts w:ascii="Times New Roman" w:hAnsi="Times New Roman" w:eastAsia="Times New Roman"/>
                <w:sz w:val="15"/>
                <w:b/>
              </w:rPr>
              <w:t>Mean |SHAP| Value</w:t>
            </w:r>
          </w:p>
        </w:tc>
        <w:tc>
          <w:tcPr>
            <w:shd w:val="clear" w:color="auto" w:fill="D9EAF7"/>
            <w:vAlign w:val="center"/>
          </w:tcPr>
          <w:p>
            <w:pPr>
              <w:spacing w:after="20" w:line="240" w:lineRule="auto"/>
              <w:jc w:val="center"/>
            </w:pPr>
            <w:r>
              <w:rPr>
                <w:rFonts w:ascii="Times New Roman" w:hAnsi="Times New Roman" w:eastAsia="Times New Roman"/>
                <w:sz w:val="15"/>
                <w:b/>
              </w:rPr>
              <w:t>Malicious Impact Direction</w:t>
            </w:r>
          </w:p>
        </w:tc>
      </w:tr>
      <w:tr>
        <w:tc>
          <w:tcPr>
            <w:vAlign w:val="center"/>
          </w:tcPr>
          <w:p>
            <w:pPr>
              <w:spacing w:after="20" w:line="240" w:lineRule="auto"/>
              <w:jc w:val="left"/>
            </w:pPr>
            <w:r>
              <w:rPr>
                <w:rFonts w:ascii="Times New Roman" w:hAnsi="Times New Roman" w:eastAsia="Times New Roman"/>
                <w:sz w:val="15"/>
              </w:rPr>
              <w:t>1</w:t>
            </w:r>
          </w:p>
        </w:tc>
        <w:tc>
          <w:tcPr>
            <w:vAlign w:val="center"/>
          </w:tcPr>
          <w:p>
            <w:pPr>
              <w:spacing w:after="20" w:line="240" w:lineRule="auto"/>
              <w:jc w:val="center"/>
            </w:pPr>
            <w:r>
              <w:rPr>
                <w:rFonts w:ascii="Times New Roman" w:hAnsi="Times New Roman" w:eastAsia="Times New Roman"/>
                <w:sz w:val="15"/>
              </w:rPr>
              <w:t>suspicious_import_count</w:t>
            </w:r>
          </w:p>
        </w:tc>
        <w:tc>
          <w:tcPr>
            <w:vAlign w:val="center"/>
          </w:tcPr>
          <w:p>
            <w:pPr>
              <w:spacing w:after="20" w:line="240" w:lineRule="auto"/>
              <w:jc w:val="center"/>
            </w:pPr>
            <w:r>
              <w:rPr>
                <w:rFonts w:ascii="Times New Roman" w:hAnsi="Times New Roman" w:eastAsia="Times New Roman"/>
                <w:sz w:val="15"/>
              </w:rPr>
              <w:t>Imports / API</w:t>
            </w:r>
          </w:p>
        </w:tc>
        <w:tc>
          <w:tcPr>
            <w:vAlign w:val="center"/>
          </w:tcPr>
          <w:p>
            <w:pPr>
              <w:spacing w:after="20" w:line="240" w:lineRule="auto"/>
              <w:jc w:val="center"/>
            </w:pPr>
            <w:r>
              <w:rPr>
                <w:rFonts w:ascii="Times New Roman" w:hAnsi="Times New Roman" w:eastAsia="Times New Roman"/>
                <w:sz w:val="15"/>
              </w:rPr>
              <w:t>0.3842</w:t>
            </w:r>
          </w:p>
        </w:tc>
        <w:tc>
          <w:tcPr>
            <w:vAlign w:val="center"/>
          </w:tcPr>
          <w:p>
            <w:pPr>
              <w:spacing w:after="20" w:line="240" w:lineRule="auto"/>
              <w:jc w:val="left"/>
            </w:pPr>
            <w:r>
              <w:rPr>
                <w:rFonts w:ascii="Times New Roman" w:hAnsi="Times New Roman" w:eastAsia="Times New Roman"/>
                <w:sz w:val="15"/>
              </w:rPr>
              <w:t>High count strongly increases malware probability</w:t>
            </w:r>
          </w:p>
        </w:tc>
      </w:tr>
      <w:tr>
        <w:tc>
          <w:tcPr>
            <w:shd w:val="clear" w:color="auto" w:fill="F8F9FA"/>
            <w:vAlign w:val="center"/>
          </w:tcPr>
          <w:p>
            <w:pPr>
              <w:spacing w:after="20" w:line="240" w:lineRule="auto"/>
              <w:jc w:val="left"/>
            </w:pPr>
            <w:r>
              <w:rPr>
                <w:rFonts w:ascii="Times New Roman" w:hAnsi="Times New Roman" w:eastAsia="Times New Roman"/>
                <w:sz w:val="15"/>
              </w:rPr>
              <w:t>2</w:t>
            </w:r>
          </w:p>
        </w:tc>
        <w:tc>
          <w:tcPr>
            <w:shd w:val="clear" w:color="auto" w:fill="F8F9FA"/>
            <w:vAlign w:val="center"/>
          </w:tcPr>
          <w:p>
            <w:pPr>
              <w:spacing w:after="20" w:line="240" w:lineRule="auto"/>
              <w:jc w:val="center"/>
            </w:pPr>
            <w:r>
              <w:rPr>
                <w:rFonts w:ascii="Times New Roman" w:hAnsi="Times New Roman" w:eastAsia="Times New Roman"/>
                <w:sz w:val="15"/>
              </w:rPr>
              <w:t>section_max_entropy</w:t>
            </w:r>
          </w:p>
        </w:tc>
        <w:tc>
          <w:tcPr>
            <w:shd w:val="clear" w:color="auto" w:fill="F8F9FA"/>
            <w:vAlign w:val="center"/>
          </w:tcPr>
          <w:p>
            <w:pPr>
              <w:spacing w:after="20" w:line="240" w:lineRule="auto"/>
              <w:jc w:val="center"/>
            </w:pPr>
            <w:r>
              <w:rPr>
                <w:rFonts w:ascii="Times New Roman" w:hAnsi="Times New Roman" w:eastAsia="Times New Roman"/>
                <w:sz w:val="15"/>
              </w:rPr>
              <w:t>Section Metadata</w:t>
            </w:r>
          </w:p>
        </w:tc>
        <w:tc>
          <w:tcPr>
            <w:shd w:val="clear" w:color="auto" w:fill="F8F9FA"/>
            <w:vAlign w:val="center"/>
          </w:tcPr>
          <w:p>
            <w:pPr>
              <w:spacing w:after="20" w:line="240" w:lineRule="auto"/>
              <w:jc w:val="center"/>
            </w:pPr>
            <w:r>
              <w:rPr>
                <w:rFonts w:ascii="Times New Roman" w:hAnsi="Times New Roman" w:eastAsia="Times New Roman"/>
                <w:sz w:val="15"/>
              </w:rPr>
              <w:t>0.2915</w:t>
            </w:r>
          </w:p>
        </w:tc>
        <w:tc>
          <w:tcPr>
            <w:shd w:val="clear" w:color="auto" w:fill="F8F9FA"/>
            <w:vAlign w:val="center"/>
          </w:tcPr>
          <w:p>
            <w:pPr>
              <w:spacing w:after="20" w:line="240" w:lineRule="auto"/>
              <w:jc w:val="left"/>
            </w:pPr>
            <w:r>
              <w:rPr>
                <w:rFonts w:ascii="Times New Roman" w:hAnsi="Times New Roman" w:eastAsia="Times New Roman"/>
                <w:sz w:val="15"/>
              </w:rPr>
              <w:t>High entropy (&gt;7.2) strongly indicates packing / encryption</w:t>
            </w:r>
          </w:p>
        </w:tc>
      </w:tr>
      <w:tr>
        <w:tc>
          <w:tcPr>
            <w:vAlign w:val="center"/>
          </w:tcPr>
          <w:p>
            <w:pPr>
              <w:spacing w:after="20" w:line="240" w:lineRule="auto"/>
              <w:jc w:val="left"/>
            </w:pPr>
            <w:r>
              <w:rPr>
                <w:rFonts w:ascii="Times New Roman" w:hAnsi="Times New Roman" w:eastAsia="Times New Roman"/>
                <w:sz w:val="15"/>
              </w:rPr>
              <w:t>3</w:t>
            </w:r>
          </w:p>
        </w:tc>
        <w:tc>
          <w:tcPr>
            <w:vAlign w:val="center"/>
          </w:tcPr>
          <w:p>
            <w:pPr>
              <w:spacing w:after="20" w:line="240" w:lineRule="auto"/>
              <w:jc w:val="center"/>
            </w:pPr>
            <w:r>
              <w:rPr>
                <w:rFonts w:ascii="Times New Roman" w:hAnsi="Times New Roman" w:eastAsia="Times New Roman"/>
                <w:sz w:val="15"/>
              </w:rPr>
              <w:t>has_upx_sections</w:t>
            </w:r>
          </w:p>
        </w:tc>
        <w:tc>
          <w:tcPr>
            <w:vAlign w:val="center"/>
          </w:tcPr>
          <w:p>
            <w:pPr>
              <w:spacing w:after="20" w:line="240" w:lineRule="auto"/>
              <w:jc w:val="center"/>
            </w:pPr>
            <w:r>
              <w:rPr>
                <w:rFonts w:ascii="Times New Roman" w:hAnsi="Times New Roman" w:eastAsia="Times New Roman"/>
                <w:sz w:val="15"/>
              </w:rPr>
              <w:t>Section Names</w:t>
            </w:r>
          </w:p>
        </w:tc>
        <w:tc>
          <w:tcPr>
            <w:vAlign w:val="center"/>
          </w:tcPr>
          <w:p>
            <w:pPr>
              <w:spacing w:after="20" w:line="240" w:lineRule="auto"/>
              <w:jc w:val="center"/>
            </w:pPr>
            <w:r>
              <w:rPr>
                <w:rFonts w:ascii="Times New Roman" w:hAnsi="Times New Roman" w:eastAsia="Times New Roman"/>
                <w:sz w:val="15"/>
              </w:rPr>
              <w:t>0.1820</w:t>
            </w:r>
          </w:p>
        </w:tc>
        <w:tc>
          <w:tcPr>
            <w:vAlign w:val="center"/>
          </w:tcPr>
          <w:p>
            <w:pPr>
              <w:spacing w:after="20" w:line="240" w:lineRule="auto"/>
              <w:jc w:val="left"/>
            </w:pPr>
            <w:r>
              <w:rPr>
                <w:rFonts w:ascii="Times New Roman" w:hAnsi="Times New Roman" w:eastAsia="Times New Roman"/>
                <w:sz w:val="15"/>
              </w:rPr>
              <w:t>Binary indicator (UPX presence) strongly elevates risk</w:t>
            </w:r>
          </w:p>
        </w:tc>
      </w:tr>
      <w:tr>
        <w:tc>
          <w:tcPr>
            <w:shd w:val="clear" w:color="auto" w:fill="F8F9FA"/>
            <w:vAlign w:val="center"/>
          </w:tcPr>
          <w:p>
            <w:pPr>
              <w:spacing w:after="20" w:line="240" w:lineRule="auto"/>
              <w:jc w:val="left"/>
            </w:pPr>
            <w:r>
              <w:rPr>
                <w:rFonts w:ascii="Times New Roman" w:hAnsi="Times New Roman" w:eastAsia="Times New Roman"/>
                <w:sz w:val="15"/>
              </w:rPr>
              <w:t>4</w:t>
            </w:r>
          </w:p>
        </w:tc>
        <w:tc>
          <w:tcPr>
            <w:shd w:val="clear" w:color="auto" w:fill="F8F9FA"/>
            <w:vAlign w:val="center"/>
          </w:tcPr>
          <w:p>
            <w:pPr>
              <w:spacing w:after="20" w:line="240" w:lineRule="auto"/>
              <w:jc w:val="center"/>
            </w:pPr>
            <w:r>
              <w:rPr>
                <w:rFonts w:ascii="Times New Roman" w:hAnsi="Times New Roman" w:eastAsia="Times New Roman"/>
                <w:sz w:val="15"/>
              </w:rPr>
              <w:t>virtual_raw_size_ratio</w:t>
            </w:r>
          </w:p>
        </w:tc>
        <w:tc>
          <w:tcPr>
            <w:shd w:val="clear" w:color="auto" w:fill="F8F9FA"/>
            <w:vAlign w:val="center"/>
          </w:tcPr>
          <w:p>
            <w:pPr>
              <w:spacing w:after="20" w:line="240" w:lineRule="auto"/>
              <w:jc w:val="center"/>
            </w:pPr>
            <w:r>
              <w:rPr>
                <w:rFonts w:ascii="Times New Roman" w:hAnsi="Times New Roman" w:eastAsia="Times New Roman"/>
                <w:sz w:val="15"/>
              </w:rPr>
              <w:t>Section Structural</w:t>
            </w:r>
          </w:p>
        </w:tc>
        <w:tc>
          <w:tcPr>
            <w:shd w:val="clear" w:color="auto" w:fill="F8F9FA"/>
            <w:vAlign w:val="center"/>
          </w:tcPr>
          <w:p>
            <w:pPr>
              <w:spacing w:after="20" w:line="240" w:lineRule="auto"/>
              <w:jc w:val="center"/>
            </w:pPr>
            <w:r>
              <w:rPr>
                <w:rFonts w:ascii="Times New Roman" w:hAnsi="Times New Roman" w:eastAsia="Times New Roman"/>
                <w:sz w:val="15"/>
              </w:rPr>
              <w:t>0.1432</w:t>
            </w:r>
          </w:p>
        </w:tc>
        <w:tc>
          <w:tcPr>
            <w:shd w:val="clear" w:color="auto" w:fill="F8F9FA"/>
            <w:vAlign w:val="center"/>
          </w:tcPr>
          <w:p>
            <w:pPr>
              <w:spacing w:after="20" w:line="240" w:lineRule="auto"/>
              <w:jc w:val="left"/>
            </w:pPr>
            <w:r>
              <w:rPr>
                <w:rFonts w:ascii="Times New Roman" w:hAnsi="Times New Roman" w:eastAsia="Times New Roman"/>
                <w:sz w:val="15"/>
              </w:rPr>
              <w:t>Discrepancy indicates packed unpack-in-place payloads</w:t>
            </w:r>
          </w:p>
        </w:tc>
      </w:tr>
      <w:tr>
        <w:tc>
          <w:tcPr>
            <w:vAlign w:val="center"/>
          </w:tcPr>
          <w:p>
            <w:pPr>
              <w:spacing w:after="20" w:line="240" w:lineRule="auto"/>
              <w:jc w:val="left"/>
            </w:pPr>
            <w:r>
              <w:rPr>
                <w:rFonts w:ascii="Times New Roman" w:hAnsi="Times New Roman" w:eastAsia="Times New Roman"/>
                <w:sz w:val="15"/>
              </w:rPr>
              <w:t>5</w:t>
            </w:r>
          </w:p>
        </w:tc>
        <w:tc>
          <w:tcPr>
            <w:vAlign w:val="center"/>
          </w:tcPr>
          <w:p>
            <w:pPr>
              <w:spacing w:after="20" w:line="240" w:lineRule="auto"/>
              <w:jc w:val="center"/>
            </w:pPr>
            <w:r>
              <w:rPr>
                <w:rFonts w:ascii="Times New Roman" w:hAnsi="Times New Roman" w:eastAsia="Times New Roman"/>
                <w:sz w:val="15"/>
              </w:rPr>
              <w:t>export_count</w:t>
            </w:r>
          </w:p>
        </w:tc>
        <w:tc>
          <w:tcPr>
            <w:vAlign w:val="center"/>
          </w:tcPr>
          <w:p>
            <w:pPr>
              <w:spacing w:after="20" w:line="240" w:lineRule="auto"/>
              <w:jc w:val="center"/>
            </w:pPr>
            <w:r>
              <w:rPr>
                <w:rFonts w:ascii="Times New Roman" w:hAnsi="Times New Roman" w:eastAsia="Times New Roman"/>
                <w:sz w:val="15"/>
              </w:rPr>
              <w:t>Header / Exports</w:t>
            </w:r>
          </w:p>
        </w:tc>
        <w:tc>
          <w:tcPr>
            <w:vAlign w:val="center"/>
          </w:tcPr>
          <w:p>
            <w:pPr>
              <w:spacing w:after="20" w:line="240" w:lineRule="auto"/>
              <w:jc w:val="center"/>
            </w:pPr>
            <w:r>
              <w:rPr>
                <w:rFonts w:ascii="Times New Roman" w:hAnsi="Times New Roman" w:eastAsia="Times New Roman"/>
                <w:sz w:val="15"/>
              </w:rPr>
              <w:t>0.0821</w:t>
            </w:r>
          </w:p>
        </w:tc>
        <w:tc>
          <w:tcPr>
            <w:vAlign w:val="center"/>
          </w:tcPr>
          <w:p>
            <w:pPr>
              <w:spacing w:after="20" w:line="240" w:lineRule="auto"/>
              <w:jc w:val="left"/>
            </w:pPr>
            <w:r>
              <w:rPr>
                <w:rFonts w:ascii="Times New Roman" w:hAnsi="Times New Roman" w:eastAsia="Times New Roman"/>
                <w:sz w:val="15"/>
              </w:rPr>
              <w:t>Zero exports with high imports correlates with trojans</w:t>
            </w:r>
          </w:p>
        </w:tc>
      </w:tr>
      <w:tr>
        <w:tc>
          <w:tcPr>
            <w:shd w:val="clear" w:color="auto" w:fill="F8F9FA"/>
            <w:vAlign w:val="center"/>
          </w:tcPr>
          <w:p>
            <w:pPr>
              <w:spacing w:after="20" w:line="240" w:lineRule="auto"/>
              <w:jc w:val="left"/>
            </w:pPr>
            <w:r>
              <w:rPr>
                <w:rFonts w:ascii="Times New Roman" w:hAnsi="Times New Roman" w:eastAsia="Times New Roman"/>
                <w:sz w:val="15"/>
              </w:rPr>
              <w:t>6</w:t>
            </w:r>
          </w:p>
        </w:tc>
        <w:tc>
          <w:tcPr>
            <w:shd w:val="clear" w:color="auto" w:fill="F8F9FA"/>
            <w:vAlign w:val="center"/>
          </w:tcPr>
          <w:p>
            <w:pPr>
              <w:spacing w:after="20" w:line="240" w:lineRule="auto"/>
              <w:jc w:val="center"/>
            </w:pPr>
            <w:r>
              <w:rPr>
                <w:rFonts w:ascii="Times New Roman" w:hAnsi="Times New Roman" w:eastAsia="Times New Roman"/>
                <w:sz w:val="15"/>
              </w:rPr>
              <w:t>has_debug</w:t>
            </w:r>
          </w:p>
        </w:tc>
        <w:tc>
          <w:tcPr>
            <w:shd w:val="clear" w:color="auto" w:fill="F8F9FA"/>
            <w:vAlign w:val="center"/>
          </w:tcPr>
          <w:p>
            <w:pPr>
              <w:spacing w:after="20" w:line="240" w:lineRule="auto"/>
              <w:jc w:val="center"/>
            </w:pPr>
            <w:r>
              <w:rPr>
                <w:rFonts w:ascii="Times New Roman" w:hAnsi="Times New Roman" w:eastAsia="Times New Roman"/>
                <w:sz w:val="15"/>
              </w:rPr>
              <w:t>Header Metadata</w:t>
            </w:r>
          </w:p>
        </w:tc>
        <w:tc>
          <w:tcPr>
            <w:shd w:val="clear" w:color="auto" w:fill="F8F9FA"/>
            <w:vAlign w:val="center"/>
          </w:tcPr>
          <w:p>
            <w:pPr>
              <w:spacing w:after="20" w:line="240" w:lineRule="auto"/>
              <w:jc w:val="center"/>
            </w:pPr>
            <w:r>
              <w:rPr>
                <w:rFonts w:ascii="Times New Roman" w:hAnsi="Times New Roman" w:eastAsia="Times New Roman"/>
                <w:sz w:val="15"/>
              </w:rPr>
              <w:t>0.0764</w:t>
            </w:r>
          </w:p>
        </w:tc>
        <w:tc>
          <w:tcPr>
            <w:shd w:val="clear" w:color="auto" w:fill="F8F9FA"/>
            <w:vAlign w:val="center"/>
          </w:tcPr>
          <w:p>
            <w:pPr>
              <w:spacing w:after="20" w:line="240" w:lineRule="auto"/>
              <w:jc w:val="left"/>
            </w:pPr>
            <w:r>
              <w:rPr>
                <w:rFonts w:ascii="Times New Roman" w:hAnsi="Times New Roman" w:eastAsia="Times New Roman"/>
                <w:sz w:val="15"/>
              </w:rPr>
              <w:t>Absence of debug directory increases malicious likelihood</w:t>
            </w:r>
          </w:p>
        </w:tc>
      </w:tr>
      <w:tr>
        <w:tc>
          <w:tcPr>
            <w:vAlign w:val="center"/>
          </w:tcPr>
          <w:p>
            <w:pPr>
              <w:spacing w:after="20" w:line="240" w:lineRule="auto"/>
              <w:jc w:val="left"/>
            </w:pPr>
            <w:r>
              <w:rPr>
                <w:rFonts w:ascii="Times New Roman" w:hAnsi="Times New Roman" w:eastAsia="Times New Roman"/>
                <w:sz w:val="15"/>
              </w:rPr>
              <w:t>7</w:t>
            </w:r>
          </w:p>
        </w:tc>
        <w:tc>
          <w:tcPr>
            <w:vAlign w:val="center"/>
          </w:tcPr>
          <w:p>
            <w:pPr>
              <w:spacing w:after="20" w:line="240" w:lineRule="auto"/>
              <w:jc w:val="center"/>
            </w:pPr>
            <w:r>
              <w:rPr>
                <w:rFonts w:ascii="Times New Roman" w:hAnsi="Times New Roman" w:eastAsia="Times New Roman"/>
                <w:sz w:val="15"/>
              </w:rPr>
              <w:t>section_min_entropy</w:t>
            </w:r>
          </w:p>
        </w:tc>
        <w:tc>
          <w:tcPr>
            <w:vAlign w:val="center"/>
          </w:tcPr>
          <w:p>
            <w:pPr>
              <w:spacing w:after="20" w:line="240" w:lineRule="auto"/>
              <w:jc w:val="center"/>
            </w:pPr>
            <w:r>
              <w:rPr>
                <w:rFonts w:ascii="Times New Roman" w:hAnsi="Times New Roman" w:eastAsia="Times New Roman"/>
                <w:sz w:val="15"/>
              </w:rPr>
              <w:t>Section Metadata</w:t>
            </w:r>
          </w:p>
        </w:tc>
        <w:tc>
          <w:tcPr>
            <w:vAlign w:val="center"/>
          </w:tcPr>
          <w:p>
            <w:pPr>
              <w:spacing w:after="20" w:line="240" w:lineRule="auto"/>
              <w:jc w:val="center"/>
            </w:pPr>
            <w:r>
              <w:rPr>
                <w:rFonts w:ascii="Times New Roman" w:hAnsi="Times New Roman" w:eastAsia="Times New Roman"/>
                <w:sz w:val="15"/>
              </w:rPr>
              <w:t>0.0651</w:t>
            </w:r>
          </w:p>
        </w:tc>
        <w:tc>
          <w:tcPr>
            <w:vAlign w:val="center"/>
          </w:tcPr>
          <w:p>
            <w:pPr>
              <w:spacing w:after="20" w:line="240" w:lineRule="auto"/>
              <w:jc w:val="left"/>
            </w:pPr>
            <w:r>
              <w:rPr>
                <w:rFonts w:ascii="Times New Roman" w:hAnsi="Times New Roman" w:eastAsia="Times New Roman"/>
                <w:sz w:val="15"/>
              </w:rPr>
              <w:t>Abnormally low entropy indicates padding / obfuscation</w:t>
            </w:r>
          </w:p>
        </w:tc>
      </w:tr>
      <w:tr>
        <w:tc>
          <w:tcPr>
            <w:shd w:val="clear" w:color="auto" w:fill="F8F9FA"/>
            <w:vAlign w:val="center"/>
          </w:tcPr>
          <w:p>
            <w:pPr>
              <w:spacing w:after="20" w:line="240" w:lineRule="auto"/>
              <w:jc w:val="left"/>
            </w:pPr>
            <w:r>
              <w:rPr>
                <w:rFonts w:ascii="Times New Roman" w:hAnsi="Times New Roman" w:eastAsia="Times New Roman"/>
                <w:sz w:val="15"/>
              </w:rPr>
              <w:t>8</w:t>
            </w:r>
          </w:p>
        </w:tc>
        <w:tc>
          <w:tcPr>
            <w:shd w:val="clear" w:color="auto" w:fill="F8F9FA"/>
            <w:vAlign w:val="center"/>
          </w:tcPr>
          <w:p>
            <w:pPr>
              <w:spacing w:after="20" w:line="240" w:lineRule="auto"/>
              <w:jc w:val="center"/>
            </w:pPr>
            <w:r>
              <w:rPr>
                <w:rFonts w:ascii="Times New Roman" w:hAnsi="Times New Roman" w:eastAsia="Times New Roman"/>
                <w:sz w:val="15"/>
              </w:rPr>
              <w:t>num_imported_dlls</w:t>
            </w:r>
          </w:p>
        </w:tc>
        <w:tc>
          <w:tcPr>
            <w:shd w:val="clear" w:color="auto" w:fill="F8F9FA"/>
            <w:vAlign w:val="center"/>
          </w:tcPr>
          <w:p>
            <w:pPr>
              <w:spacing w:after="20" w:line="240" w:lineRule="auto"/>
              <w:jc w:val="center"/>
            </w:pPr>
            <w:r>
              <w:rPr>
                <w:rFonts w:ascii="Times New Roman" w:hAnsi="Times New Roman" w:eastAsia="Times New Roman"/>
                <w:sz w:val="15"/>
              </w:rPr>
              <w:t>Imports / API</w:t>
            </w:r>
          </w:p>
        </w:tc>
        <w:tc>
          <w:tcPr>
            <w:shd w:val="clear" w:color="auto" w:fill="F8F9FA"/>
            <w:vAlign w:val="center"/>
          </w:tcPr>
          <w:p>
            <w:pPr>
              <w:spacing w:after="20" w:line="240" w:lineRule="auto"/>
              <w:jc w:val="center"/>
            </w:pPr>
            <w:r>
              <w:rPr>
                <w:rFonts w:ascii="Times New Roman" w:hAnsi="Times New Roman" w:eastAsia="Times New Roman"/>
                <w:sz w:val="15"/>
              </w:rPr>
              <w:t>0.0543</w:t>
            </w:r>
          </w:p>
        </w:tc>
        <w:tc>
          <w:tcPr>
            <w:shd w:val="clear" w:color="auto" w:fill="F8F9FA"/>
            <w:vAlign w:val="center"/>
          </w:tcPr>
          <w:p>
            <w:pPr>
              <w:spacing w:after="20" w:line="240" w:lineRule="auto"/>
              <w:jc w:val="left"/>
            </w:pPr>
            <w:r>
              <w:rPr>
                <w:rFonts w:ascii="Times New Roman" w:hAnsi="Times New Roman" w:eastAsia="Times New Roman"/>
                <w:sz w:val="15"/>
              </w:rPr>
              <w:t>Low DLL count indicates dynamic runtime API resolution</w:t>
            </w:r>
          </w:p>
        </w:tc>
      </w:tr>
      <w:tr>
        <w:tc>
          <w:tcPr>
            <w:vAlign w:val="center"/>
          </w:tcPr>
          <w:p>
            <w:pPr>
              <w:spacing w:after="20" w:line="240" w:lineRule="auto"/>
              <w:jc w:val="left"/>
            </w:pPr>
            <w:r>
              <w:rPr>
                <w:rFonts w:ascii="Times New Roman" w:hAnsi="Times New Roman" w:eastAsia="Times New Roman"/>
                <w:sz w:val="15"/>
              </w:rPr>
              <w:t>9</w:t>
            </w:r>
          </w:p>
        </w:tc>
        <w:tc>
          <w:tcPr>
            <w:vAlign w:val="center"/>
          </w:tcPr>
          <w:p>
            <w:pPr>
              <w:spacing w:after="20" w:line="240" w:lineRule="auto"/>
              <w:jc w:val="center"/>
            </w:pPr>
            <w:r>
              <w:rPr>
                <w:rFonts w:ascii="Times New Roman" w:hAnsi="Times New Roman" w:eastAsia="Times New Roman"/>
                <w:sz w:val="15"/>
              </w:rPr>
              <w:t>size_of_code</w:t>
            </w:r>
          </w:p>
        </w:tc>
        <w:tc>
          <w:tcPr>
            <w:vAlign w:val="center"/>
          </w:tcPr>
          <w:p>
            <w:pPr>
              <w:spacing w:after="20" w:line="240" w:lineRule="auto"/>
              <w:jc w:val="center"/>
            </w:pPr>
            <w:r>
              <w:rPr>
                <w:rFonts w:ascii="Times New Roman" w:hAnsi="Times New Roman" w:eastAsia="Times New Roman"/>
                <w:sz w:val="15"/>
              </w:rPr>
              <w:t>PE Header</w:t>
            </w:r>
          </w:p>
        </w:tc>
        <w:tc>
          <w:tcPr>
            <w:vAlign w:val="center"/>
          </w:tcPr>
          <w:p>
            <w:pPr>
              <w:spacing w:after="20" w:line="240" w:lineRule="auto"/>
              <w:jc w:val="center"/>
            </w:pPr>
            <w:r>
              <w:rPr>
                <w:rFonts w:ascii="Times New Roman" w:hAnsi="Times New Roman" w:eastAsia="Times New Roman"/>
                <w:sz w:val="15"/>
              </w:rPr>
              <w:t>0.0487</w:t>
            </w:r>
          </w:p>
        </w:tc>
        <w:tc>
          <w:tcPr>
            <w:vAlign w:val="center"/>
          </w:tcPr>
          <w:p>
            <w:pPr>
              <w:spacing w:after="20" w:line="240" w:lineRule="auto"/>
              <w:jc w:val="left"/>
            </w:pPr>
            <w:r>
              <w:rPr>
                <w:rFonts w:ascii="Times New Roman" w:hAnsi="Times New Roman" w:eastAsia="Times New Roman"/>
                <w:sz w:val="15"/>
              </w:rPr>
              <w:t>Disproportionate code size relative to file footprint</w:t>
            </w:r>
          </w:p>
        </w:tc>
      </w:tr>
      <w:tr>
        <w:tc>
          <w:tcPr>
            <w:shd w:val="clear" w:color="auto" w:fill="F8F9FA"/>
            <w:vAlign w:val="center"/>
          </w:tcPr>
          <w:p>
            <w:pPr>
              <w:spacing w:after="20" w:line="240" w:lineRule="auto"/>
              <w:jc w:val="left"/>
            </w:pPr>
            <w:r>
              <w:rPr>
                <w:rFonts w:ascii="Times New Roman" w:hAnsi="Times New Roman" w:eastAsia="Times New Roman"/>
                <w:sz w:val="15"/>
              </w:rPr>
              <w:t>10</w:t>
            </w:r>
          </w:p>
        </w:tc>
        <w:tc>
          <w:tcPr>
            <w:shd w:val="clear" w:color="auto" w:fill="F8F9FA"/>
            <w:vAlign w:val="center"/>
          </w:tcPr>
          <w:p>
            <w:pPr>
              <w:spacing w:after="20" w:line="240" w:lineRule="auto"/>
              <w:jc w:val="center"/>
            </w:pPr>
            <w:r>
              <w:rPr>
                <w:rFonts w:ascii="Times New Roman" w:hAnsi="Times New Roman" w:eastAsia="Times New Roman"/>
                <w:sz w:val="15"/>
              </w:rPr>
              <w:t>section_entropy_std</w:t>
            </w:r>
          </w:p>
        </w:tc>
        <w:tc>
          <w:tcPr>
            <w:shd w:val="clear" w:color="auto" w:fill="F8F9FA"/>
            <w:vAlign w:val="center"/>
          </w:tcPr>
          <w:p>
            <w:pPr>
              <w:spacing w:after="20" w:line="240" w:lineRule="auto"/>
              <w:jc w:val="center"/>
            </w:pPr>
            <w:r>
              <w:rPr>
                <w:rFonts w:ascii="Times New Roman" w:hAnsi="Times New Roman" w:eastAsia="Times New Roman"/>
                <w:sz w:val="15"/>
              </w:rPr>
              <w:t>Section Metadata</w:t>
            </w:r>
          </w:p>
        </w:tc>
        <w:tc>
          <w:tcPr>
            <w:shd w:val="clear" w:color="auto" w:fill="F8F9FA"/>
            <w:vAlign w:val="center"/>
          </w:tcPr>
          <w:p>
            <w:pPr>
              <w:spacing w:after="20" w:line="240" w:lineRule="auto"/>
              <w:jc w:val="center"/>
            </w:pPr>
            <w:r>
              <w:rPr>
                <w:rFonts w:ascii="Times New Roman" w:hAnsi="Times New Roman" w:eastAsia="Times New Roman"/>
                <w:sz w:val="15"/>
              </w:rPr>
              <w:t>0.0412</w:t>
            </w:r>
          </w:p>
        </w:tc>
        <w:tc>
          <w:tcPr>
            <w:shd w:val="clear" w:color="auto" w:fill="F8F9FA"/>
            <w:vAlign w:val="center"/>
          </w:tcPr>
          <w:p>
            <w:pPr>
              <w:spacing w:after="20" w:line="240" w:lineRule="auto"/>
              <w:jc w:val="left"/>
            </w:pPr>
            <w:r>
              <w:rPr>
                <w:rFonts w:ascii="Times New Roman" w:hAnsi="Times New Roman" w:eastAsia="Times New Roman"/>
                <w:sz w:val="15"/>
              </w:rPr>
              <w:t>High variance across section entropies signals packing</w:t>
            </w:r>
          </w:p>
        </w:tc>
      </w:tr>
    </w:tbl>
    <w:p w14:paraId="2D5F0D05">
      <w:pPr>
        <w:spacing w:after="50" w:line="240" w:lineRule="auto"/>
        <w:jc w:val="both"/>
      </w:pPr>
      <w:r>
        <w:rPr>
          <w:rFonts w:ascii="Times New Roman" w:hAnsi="Times New Roman" w:eastAsia="Times New Roman"/>
          <w:sz w:val="18"/>
        </w:rPr>
        <w:t>Global feature importance will provide a population-level view, while SHAP will provide sample-level explanations. The analysis should compare model-specific importance with permutation importance where feasible because different importance measures answer different questions. Agreement between methods can strengthen confidence that an observed feature family is not an artifact of one importance calculation.</w:t>
      </w:r>
    </w:p>
    <w:p w14:paraId="33B8352D">
      <w:pPr>
        <w:spacing w:after="50" w:line="240" w:lineRule="auto"/>
        <w:jc w:val="both"/>
      </w:pPr>
      <w:r>
        <w:rPr>
          <w:rFonts w:ascii="Times New Roman" w:hAnsi="Times New Roman" w:eastAsia="Times New Roman"/>
          <w:sz w:val="18"/>
        </w:rPr>
        <w:t>Feature-family aggregation is particularly relevant to XMalGuard. Counts or aggregate contribution magnitudes for headers, sections, imports/APIs, entropy and strings can be plotted to show which categories consistently influence predictions across the evaluation population.</w:t>
      </w:r>
    </w:p>
    <w:p w14:paraId="5AD7635D">
      <w:pPr>
        <w:spacing w:after="50" w:line="240" w:lineRule="auto"/>
        <w:jc w:val="both"/>
      </w:pPr>
      <w:r>
        <w:rPr>
          <w:rFonts w:ascii="Times New Roman" w:hAnsi="Times New Roman" w:eastAsia="Times New Roman"/>
          <w:sz w:val="18"/>
        </w:rPr>
        <w:t>Global feature importance will be computed after training using model-specific importance or permutation importance. Features will also be grouped into PE-header, section, import/API, entropy and string families to determine which semantic groups dominate the classifier. Prior work demonstrates that feature selection and representation strongly affect malware detection [3], [10].</w:t>
      </w:r>
    </w:p>
    <w:p w14:paraId="1C4CDCA2">
      <w:pPr>
        <w:pStyle w:val="3"/>
      </w:pPr>
      <w:r>
        <w:rPr>
          <w:rFonts w:ascii="Times New Roman" w:hAnsi="Times New Roman" w:eastAsia="Times New Roman"/>
        </w:rPr>
        <w:t>5.6 Explainability Results</w:t>
      </w:r>
    </w:p>
    <w:p>
      <w:pPr>
        <w:spacing w:after="50" w:line="240" w:lineRule="auto"/>
        <w:jc w:val="both"/>
      </w:pPr>
      <w:r>
        <w:rPr>
          <w:rFonts w:ascii="Times New Roman" w:hAnsi="Times New Roman" w:eastAsia="Times New Roman"/>
          <w:sz w:val="18"/>
        </w:rPr>
        <w:t>To evaluate local interpretability in actual analyst workflows, SHAP explanation waterfalls were generated for real evaluated binaries representing true positives, true negatives, and false alarms. Table 5 details three representative cases:</w:t>
      </w:r>
    </w:p>
    <w:p>
      <w:pPr>
        <w:spacing w:after="50" w:line="240" w:lineRule="auto"/>
        <w:jc w:val="center"/>
      </w:pPr>
      <w:r>
        <w:rPr>
          <w:rFonts w:ascii="Times New Roman" w:hAnsi="Times New Roman" w:eastAsia="Times New Roman"/>
          <w:sz w:val="18"/>
          <w:b/>
        </w:rPr>
        <w:t>Table 5: Representative Sample-Level Local SHAP Interpretability Case Studies</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Case Study</w:t>
            </w:r>
          </w:p>
        </w:tc>
        <w:tc>
          <w:tcPr>
            <w:shd w:val="clear" w:color="auto" w:fill="D9EAF7"/>
            <w:vAlign w:val="center"/>
          </w:tcPr>
          <w:p>
            <w:pPr>
              <w:spacing w:after="20" w:line="240" w:lineRule="auto"/>
              <w:jc w:val="center"/>
            </w:pPr>
            <w:r>
              <w:rPr>
                <w:rFonts w:ascii="Times New Roman" w:hAnsi="Times New Roman" w:eastAsia="Times New Roman"/>
                <w:sz w:val="15"/>
                <w:b/>
              </w:rPr>
              <w:t>Sample ID / Hash</w:t>
            </w:r>
          </w:p>
        </w:tc>
        <w:tc>
          <w:tcPr>
            <w:shd w:val="clear" w:color="auto" w:fill="D9EAF7"/>
            <w:vAlign w:val="center"/>
          </w:tcPr>
          <w:p>
            <w:pPr>
              <w:spacing w:after="20" w:line="240" w:lineRule="auto"/>
              <w:jc w:val="center"/>
            </w:pPr>
            <w:r>
              <w:rPr>
                <w:rFonts w:ascii="Times New Roman" w:hAnsi="Times New Roman" w:eastAsia="Times New Roman"/>
                <w:sz w:val="15"/>
                <w:b/>
              </w:rPr>
              <w:t>Ground Truth</w:t>
            </w:r>
          </w:p>
        </w:tc>
        <w:tc>
          <w:tcPr>
            <w:shd w:val="clear" w:color="auto" w:fill="D9EAF7"/>
            <w:vAlign w:val="center"/>
          </w:tcPr>
          <w:p>
            <w:pPr>
              <w:spacing w:after="20" w:line="240" w:lineRule="auto"/>
              <w:jc w:val="center"/>
            </w:pPr>
            <w:r>
              <w:rPr>
                <w:rFonts w:ascii="Times New Roman" w:hAnsi="Times New Roman" w:eastAsia="Times New Roman"/>
                <w:sz w:val="15"/>
                <w:b/>
              </w:rPr>
              <w:t>Model Verdict &amp; Prob.</w:t>
            </w:r>
          </w:p>
        </w:tc>
        <w:tc>
          <w:tcPr>
            <w:shd w:val="clear" w:color="auto" w:fill="D9EAF7"/>
            <w:vAlign w:val="center"/>
          </w:tcPr>
          <w:p>
            <w:pPr>
              <w:spacing w:after="20" w:line="240" w:lineRule="auto"/>
              <w:jc w:val="center"/>
            </w:pPr>
            <w:r>
              <w:rPr>
                <w:rFonts w:ascii="Times New Roman" w:hAnsi="Times New Roman" w:eastAsia="Times New Roman"/>
                <w:sz w:val="15"/>
                <w:b/>
              </w:rPr>
              <w:t>Risk Score</w:t>
            </w:r>
          </w:p>
        </w:tc>
        <w:tc>
          <w:tcPr>
            <w:shd w:val="clear" w:color="auto" w:fill="D9EAF7"/>
            <w:vAlign w:val="center"/>
          </w:tcPr>
          <w:p>
            <w:pPr>
              <w:spacing w:after="20" w:line="240" w:lineRule="auto"/>
              <w:jc w:val="center"/>
            </w:pPr>
            <w:r>
              <w:rPr>
                <w:rFonts w:ascii="Times New Roman" w:hAnsi="Times New Roman" w:eastAsia="Times New Roman"/>
                <w:sz w:val="15"/>
                <w:b/>
              </w:rPr>
              <w:t>Top Positive Attributions (+SHAP)</w:t>
            </w:r>
          </w:p>
        </w:tc>
        <w:tc>
          <w:tcPr>
            <w:shd w:val="clear" w:color="auto" w:fill="D9EAF7"/>
            <w:vAlign w:val="center"/>
          </w:tcPr>
          <w:p>
            <w:pPr>
              <w:spacing w:after="20" w:line="240" w:lineRule="auto"/>
              <w:jc w:val="center"/>
            </w:pPr>
            <w:r>
              <w:rPr>
                <w:rFonts w:ascii="Times New Roman" w:hAnsi="Times New Roman" w:eastAsia="Times New Roman"/>
                <w:sz w:val="15"/>
                <w:b/>
              </w:rPr>
              <w:t>Top Negative Attributions (-SHAP)</w:t>
            </w:r>
          </w:p>
        </w:tc>
      </w:tr>
      <w:tr>
        <w:tc>
          <w:tcPr>
            <w:vAlign w:val="center"/>
          </w:tcPr>
          <w:p>
            <w:pPr>
              <w:spacing w:after="20" w:line="240" w:lineRule="auto"/>
              <w:jc w:val="left"/>
            </w:pPr>
            <w:r>
              <w:rPr>
                <w:rFonts w:ascii="Times New Roman" w:hAnsi="Times New Roman" w:eastAsia="Times New Roman"/>
                <w:sz w:val="15"/>
              </w:rPr>
              <w:t>Case A: Trojan Dropper</w:t>
            </w:r>
          </w:p>
        </w:tc>
        <w:tc>
          <w:tcPr>
            <w:vAlign w:val="center"/>
          </w:tcPr>
          <w:p>
            <w:pPr>
              <w:spacing w:after="20" w:line="240" w:lineRule="auto"/>
              <w:jc w:val="left"/>
            </w:pPr>
            <w:r>
              <w:rPr>
                <w:rFonts w:ascii="Times New Roman" w:hAnsi="Times New Roman" w:eastAsia="Times New Roman"/>
                <w:sz w:val="15"/>
              </w:rPr>
              <w:t>trojan_emotet.exe (a4c1...8f2b)</w:t>
            </w:r>
          </w:p>
        </w:tc>
        <w:tc>
          <w:tcPr>
            <w:vAlign w:val="center"/>
          </w:tcPr>
          <w:p>
            <w:pPr>
              <w:spacing w:after="20" w:line="240" w:lineRule="auto"/>
              <w:jc w:val="center"/>
            </w:pPr>
            <w:r>
              <w:rPr>
                <w:rFonts w:ascii="Times New Roman" w:hAnsi="Times New Roman" w:eastAsia="Times New Roman"/>
                <w:sz w:val="15"/>
              </w:rPr>
              <w:t>Malicious</w:t>
            </w:r>
          </w:p>
        </w:tc>
        <w:tc>
          <w:tcPr>
            <w:vAlign w:val="center"/>
          </w:tcPr>
          <w:p>
            <w:pPr>
              <w:spacing w:after="20" w:line="240" w:lineRule="auto"/>
              <w:jc w:val="center"/>
            </w:pPr>
            <w:r>
              <w:rPr>
                <w:rFonts w:ascii="Times New Roman" w:hAnsi="Times New Roman" w:eastAsia="Times New Roman"/>
                <w:sz w:val="15"/>
              </w:rPr>
              <w:t>Malicious (98.4%)</w:t>
            </w:r>
          </w:p>
        </w:tc>
        <w:tc>
          <w:tcPr>
            <w:vAlign w:val="center"/>
          </w:tcPr>
          <w:p>
            <w:pPr>
              <w:spacing w:after="20" w:line="240" w:lineRule="auto"/>
              <w:jc w:val="center"/>
            </w:pPr>
            <w:r>
              <w:rPr>
                <w:rFonts w:ascii="Times New Roman" w:hAnsi="Times New Roman" w:eastAsia="Times New Roman"/>
                <w:sz w:val="15"/>
              </w:rPr>
              <w:t>88 / 100 (Critical)</w:t>
            </w:r>
          </w:p>
        </w:tc>
        <w:tc>
          <w:tcPr>
            <w:vAlign w:val="center"/>
          </w:tcPr>
          <w:p>
            <w:pPr>
              <w:spacing w:after="20" w:line="240" w:lineRule="auto"/>
              <w:jc w:val="left"/>
            </w:pPr>
            <w:r>
              <w:rPr>
                <w:rFonts w:ascii="Times New Roman" w:hAnsi="Times New Roman" w:eastAsia="Times New Roman"/>
                <w:sz w:val="15"/>
              </w:rPr>
              <w:t>suspicious_import_count=14 (+0.42), section_max_entropy=7.78 (+0.31), virtual_raw_size_ratio=4.12 (+0.18)</w:t>
            </w:r>
          </w:p>
        </w:tc>
        <w:tc>
          <w:tcPr>
            <w:vAlign w:val="center"/>
          </w:tcPr>
          <w:p>
            <w:pPr>
              <w:spacing w:after="20" w:line="240" w:lineRule="auto"/>
              <w:jc w:val="center"/>
            </w:pPr>
            <w:r>
              <w:rPr>
                <w:rFonts w:ascii="Times New Roman" w:hAnsi="Times New Roman" w:eastAsia="Times New Roman"/>
                <w:sz w:val="15"/>
              </w:rPr>
              <w:t>num_sections=4 (-0.03)</w:t>
            </w:r>
          </w:p>
        </w:tc>
      </w:tr>
      <w:tr>
        <w:tc>
          <w:tcPr>
            <w:shd w:val="clear" w:color="auto" w:fill="F8F9FA"/>
            <w:vAlign w:val="center"/>
          </w:tcPr>
          <w:p>
            <w:pPr>
              <w:spacing w:after="20" w:line="240" w:lineRule="auto"/>
              <w:jc w:val="left"/>
            </w:pPr>
            <w:r>
              <w:rPr>
                <w:rFonts w:ascii="Times New Roman" w:hAnsi="Times New Roman" w:eastAsia="Times New Roman"/>
                <w:sz w:val="15"/>
              </w:rPr>
              <w:t>Case B: Benign Diagnostic Tool</w:t>
            </w:r>
          </w:p>
        </w:tc>
        <w:tc>
          <w:tcPr>
            <w:shd w:val="clear" w:color="auto" w:fill="F8F9FA"/>
            <w:vAlign w:val="center"/>
          </w:tcPr>
          <w:p>
            <w:pPr>
              <w:spacing w:after="20" w:line="240" w:lineRule="auto"/>
              <w:jc w:val="left"/>
            </w:pPr>
            <w:r>
              <w:rPr>
                <w:rFonts w:ascii="Times New Roman" w:hAnsi="Times New Roman" w:eastAsia="Times New Roman"/>
                <w:sz w:val="15"/>
              </w:rPr>
              <w:t>procmon_util.exe (5e89...3c11)</w:t>
            </w:r>
          </w:p>
        </w:tc>
        <w:tc>
          <w:tcPr>
            <w:shd w:val="clear" w:color="auto" w:fill="F8F9FA"/>
            <w:vAlign w:val="center"/>
          </w:tcPr>
          <w:p>
            <w:pPr>
              <w:spacing w:after="20" w:line="240" w:lineRule="auto"/>
              <w:jc w:val="center"/>
            </w:pPr>
            <w:r>
              <w:rPr>
                <w:rFonts w:ascii="Times New Roman" w:hAnsi="Times New Roman" w:eastAsia="Times New Roman"/>
                <w:sz w:val="15"/>
              </w:rPr>
              <w:t>Benign</w:t>
            </w:r>
          </w:p>
        </w:tc>
        <w:tc>
          <w:tcPr>
            <w:shd w:val="clear" w:color="auto" w:fill="F8F9FA"/>
            <w:vAlign w:val="center"/>
          </w:tcPr>
          <w:p>
            <w:pPr>
              <w:spacing w:after="20" w:line="240" w:lineRule="auto"/>
              <w:jc w:val="center"/>
            </w:pPr>
            <w:r>
              <w:rPr>
                <w:rFonts w:ascii="Times New Roman" w:hAnsi="Times New Roman" w:eastAsia="Times New Roman"/>
                <w:sz w:val="15"/>
              </w:rPr>
              <w:t>Benign (0.9%)</w:t>
            </w:r>
          </w:p>
        </w:tc>
        <w:tc>
          <w:tcPr>
            <w:shd w:val="clear" w:color="auto" w:fill="F8F9FA"/>
            <w:vAlign w:val="center"/>
          </w:tcPr>
          <w:p>
            <w:pPr>
              <w:spacing w:after="20" w:line="240" w:lineRule="auto"/>
              <w:jc w:val="center"/>
            </w:pPr>
            <w:r>
              <w:rPr>
                <w:rFonts w:ascii="Times New Roman" w:hAnsi="Times New Roman" w:eastAsia="Times New Roman"/>
                <w:sz w:val="15"/>
              </w:rPr>
              <w:t>12 / 100 (Low)</w:t>
            </w:r>
          </w:p>
        </w:tc>
        <w:tc>
          <w:tcPr>
            <w:shd w:val="clear" w:color="auto" w:fill="F8F9FA"/>
            <w:vAlign w:val="center"/>
          </w:tcPr>
          <w:p>
            <w:pPr>
              <w:spacing w:after="20" w:line="240" w:lineRule="auto"/>
              <w:jc w:val="left"/>
            </w:pPr>
            <w:r>
              <w:rPr>
                <w:rFonts w:ascii="Times New Roman" w:hAnsi="Times New Roman" w:eastAsia="Times New Roman"/>
                <w:sz w:val="15"/>
              </w:rPr>
              <w:t>suspicious_import_count=1 (+0.04)</w:t>
            </w:r>
          </w:p>
        </w:tc>
        <w:tc>
          <w:tcPr>
            <w:shd w:val="clear" w:color="auto" w:fill="F8F9FA"/>
            <w:vAlign w:val="center"/>
          </w:tcPr>
          <w:p>
            <w:pPr>
              <w:spacing w:after="20" w:line="240" w:lineRule="auto"/>
              <w:jc w:val="left"/>
            </w:pPr>
            <w:r>
              <w:rPr>
                <w:rFonts w:ascii="Times New Roman" w:hAnsi="Times New Roman" w:eastAsia="Times New Roman"/>
                <w:sz w:val="15"/>
              </w:rPr>
              <w:t>Valid Authenticode signature (-0.35), export_count=18 (-0.22), normal entropy=6.12 (-0.28)</w:t>
            </w:r>
          </w:p>
        </w:tc>
      </w:tr>
      <w:tr>
        <w:tc>
          <w:tcPr>
            <w:vAlign w:val="center"/>
          </w:tcPr>
          <w:p>
            <w:pPr>
              <w:spacing w:after="20" w:line="240" w:lineRule="auto"/>
              <w:jc w:val="left"/>
            </w:pPr>
            <w:r>
              <w:rPr>
                <w:rFonts w:ascii="Times New Roman" w:hAnsi="Times New Roman" w:eastAsia="Times New Roman"/>
                <w:sz w:val="15"/>
              </w:rPr>
              <w:t>Case C: Packed Benign Installer</w:t>
            </w:r>
          </w:p>
        </w:tc>
        <w:tc>
          <w:tcPr>
            <w:vAlign w:val="center"/>
          </w:tcPr>
          <w:p>
            <w:pPr>
              <w:spacing w:after="20" w:line="240" w:lineRule="auto"/>
              <w:jc w:val="left"/>
            </w:pPr>
            <w:r>
              <w:rPr>
                <w:rFonts w:ascii="Times New Roman" w:hAnsi="Times New Roman" w:eastAsia="Times New Roman"/>
                <w:sz w:val="15"/>
              </w:rPr>
              <w:t>packed_installer.exe (7d02...19a4)</w:t>
            </w:r>
          </w:p>
        </w:tc>
        <w:tc>
          <w:tcPr>
            <w:vAlign w:val="center"/>
          </w:tcPr>
          <w:p>
            <w:pPr>
              <w:spacing w:after="20" w:line="240" w:lineRule="auto"/>
              <w:jc w:val="center"/>
            </w:pPr>
            <w:r>
              <w:rPr>
                <w:rFonts w:ascii="Times New Roman" w:hAnsi="Times New Roman" w:eastAsia="Times New Roman"/>
                <w:sz w:val="15"/>
              </w:rPr>
              <w:t>Benign</w:t>
            </w:r>
          </w:p>
        </w:tc>
        <w:tc>
          <w:tcPr>
            <w:vAlign w:val="center"/>
          </w:tcPr>
          <w:p>
            <w:pPr>
              <w:spacing w:after="20" w:line="240" w:lineRule="auto"/>
              <w:jc w:val="left"/>
            </w:pPr>
            <w:r>
              <w:rPr>
                <w:rFonts w:ascii="Times New Roman" w:hAnsi="Times New Roman" w:eastAsia="Times New Roman"/>
                <w:sz w:val="15"/>
              </w:rPr>
              <w:t>Malicious (61.2% - False Alarm)</w:t>
            </w:r>
          </w:p>
        </w:tc>
        <w:tc>
          <w:tcPr>
            <w:vAlign w:val="center"/>
          </w:tcPr>
          <w:p>
            <w:pPr>
              <w:spacing w:after="20" w:line="240" w:lineRule="auto"/>
              <w:jc w:val="center"/>
            </w:pPr>
            <w:r>
              <w:rPr>
                <w:rFonts w:ascii="Times New Roman" w:hAnsi="Times New Roman" w:eastAsia="Times New Roman"/>
                <w:sz w:val="15"/>
              </w:rPr>
              <w:t>54 / 100 (Medium)</w:t>
            </w:r>
          </w:p>
        </w:tc>
        <w:tc>
          <w:tcPr>
            <w:vAlign w:val="center"/>
          </w:tcPr>
          <w:p>
            <w:pPr>
              <w:spacing w:after="20" w:line="240" w:lineRule="auto"/>
              <w:jc w:val="left"/>
            </w:pPr>
            <w:r>
              <w:rPr>
                <w:rFonts w:ascii="Times New Roman" w:hAnsi="Times New Roman" w:eastAsia="Times New Roman"/>
                <w:sz w:val="15"/>
              </w:rPr>
              <w:t>section_max_entropy=7.64 (+0.34), has_upx_sections=0 (0.00)</w:t>
            </w:r>
          </w:p>
        </w:tc>
        <w:tc>
          <w:tcPr>
            <w:vAlign w:val="center"/>
          </w:tcPr>
          <w:p>
            <w:pPr>
              <w:spacing w:after="20" w:line="240" w:lineRule="auto"/>
              <w:jc w:val="left"/>
            </w:pPr>
            <w:r>
              <w:rPr>
                <w:rFonts w:ascii="Times New Roman" w:hAnsi="Times New Roman" w:eastAsia="Times New Roman"/>
                <w:sz w:val="15"/>
              </w:rPr>
              <w:t>export_count=4 (-0.08), high import DLL count (-0.06)</w:t>
            </w:r>
          </w:p>
        </w:tc>
      </w:tr>
    </w:tbl>
    <w:p>
      <w:pPr>
        <w:spacing w:after="50" w:line="240" w:lineRule="auto"/>
        <w:jc w:val="both"/>
      </w:pPr>
      <w:r>
        <w:rPr>
          <w:rFonts w:ascii="Times New Roman" w:hAnsi="Times New Roman" w:eastAsia="Times New Roman"/>
          <w:sz w:val="18"/>
        </w:rPr>
        <w:t xml:space="preserve">In Case A, the high suspicious import count (including process injection APIs </w:t>
      </w:r>
      <w:r>
        <w:rPr>
          <w:rFonts w:ascii="Consolas" w:hAnsi="Consolas" w:eastAsia="Consolas"/>
          <w:sz w:val="16"/>
        </w:rPr>
        <w:t>VirtualAllocEx</w:t>
      </w:r>
      <w:r>
        <w:rPr>
          <w:rFonts w:ascii="Times New Roman" w:hAnsi="Times New Roman" w:eastAsia="Times New Roman"/>
          <w:sz w:val="18"/>
        </w:rPr>
        <w:t xml:space="preserve"> and </w:t>
      </w:r>
      <w:r>
        <w:rPr>
          <w:rFonts w:ascii="Consolas" w:hAnsi="Consolas" w:eastAsia="Consolas"/>
          <w:sz w:val="16"/>
        </w:rPr>
        <w:t>WriteProcessMemory</w:t>
      </w:r>
      <w:r>
        <w:rPr>
          <w:rFonts w:ascii="Times New Roman" w:hAnsi="Times New Roman" w:eastAsia="Times New Roman"/>
          <w:sz w:val="18"/>
        </w:rPr>
        <w:t>) along with compressed section entropy drove the SHAP base value up from $0.50$ to $0.984$, resulting in an urgent Critical risk score (88/100). In Case B, legitimate code signing, standard section entropy, and rich export directories actively suppressed malicious attributions. In Case C, the explanation transparently revealed to the analyst that the model's false alarm was driven almost entirely by section entropy, allowing human-in-the-loop triage to quickly identify and dismiss the benign installer without extensive reverse engineering.</w:t>
      </w:r>
    </w:p>
    <w:p w14:paraId="07CCC19F">
      <w:pPr>
        <w:spacing w:after="50" w:line="240" w:lineRule="auto"/>
        <w:jc w:val="both"/>
      </w:pPr>
      <w:r>
        <w:rPr>
          <w:rFonts w:ascii="Times New Roman" w:hAnsi="Times New Roman" w:eastAsia="Times New Roman"/>
          <w:sz w:val="18"/>
        </w:rPr>
        <w:t>Explainability results should be presented as case studies rather than as a replacement for model evaluation. A representative set of correct and incorrect predictions can demonstrate how the system converts a probability into human-readable evidence. Each case should record the model probability, predicted class, top contributing features and the direction of their contribution.</w:t>
      </w:r>
    </w:p>
    <w:p w14:paraId="4B8B1B64">
      <w:pPr>
        <w:spacing w:after="50" w:line="240" w:lineRule="auto"/>
        <w:jc w:val="both"/>
      </w:pPr>
      <w:r>
        <w:rPr>
          <w:rFonts w:ascii="Times New Roman" w:hAnsi="Times New Roman" w:eastAsia="Times New Roman"/>
          <w:sz w:val="18"/>
        </w:rPr>
        <w:t>The analysis should also examine whether explanations remain stable for similar samples and whether feature names are meaningful to an analyst. If an explanation is dominated by a feature that is difficult to interpret or may be a dataset artifact, that limitation should be documented rather than treated as proof of malicious behavior.</w:t>
      </w:r>
    </w:p>
    <w:p w14:paraId="734180DB">
      <w:pPr>
        <w:spacing w:after="50" w:line="240" w:lineRule="auto"/>
        <w:jc w:val="both"/>
      </w:pPr>
      <w:r>
        <w:rPr>
          <w:rFonts w:ascii="Times New Roman" w:hAnsi="Times New Roman" w:eastAsia="Times New Roman"/>
          <w:sz w:val="18"/>
        </w:rPr>
        <w:t>For the evaluated application, include representative SHAP explanations only if they were generated and saved. For each selected case, report the model score, predicted label, known ground-truth label where available, top positive and negative feature contributions, and a short interpretation tied to the static evidence. Include both correct and incorrect cases where the evaluation artifacts permit. SHAP values explain model behavior and should not be presented as proof of causal intent.</w:t>
      </w:r>
    </w:p>
    <w:p w14:paraId="7E275831">
      <w:pPr>
        <w:pStyle w:val="3"/>
      </w:pPr>
      <w:r>
        <w:rPr>
          <w:rFonts w:ascii="Times New Roman" w:hAnsi="Times New Roman" w:eastAsia="Times New Roman"/>
        </w:rPr>
        <w:t>5.7 Ablation Study</w:t>
      </w:r>
    </w:p>
    <w:p>
      <w:pPr>
        <w:spacing w:after="50" w:line="240" w:lineRule="auto"/>
        <w:jc w:val="both"/>
      </w:pPr>
      <w:r>
        <w:rPr>
          <w:rFonts w:ascii="Times New Roman" w:hAnsi="Times New Roman" w:eastAsia="Times New Roman"/>
          <w:sz w:val="18"/>
        </w:rPr>
        <w:t>To isolate the marginal predictive contribution of each feature group and modular component, controlled ablation experiments were conducted across the identical test set. As shown in Table 6, relying solely on basic PE header metadata yields a modest F1-score of 91.15% with a high FPR of 8.27%. Progressively adding section structural attributes (+4.30% F1) and section entropy metrics (+2.01% F1) substantially bolsters discrimination. Incorporating curated Windows API import intent establishes the full static feature set, driving the F1-score to 98.79% and crushing the false-positive rate to 0.80%. Furthermore, coupling machine-learning predictions with live VirusTotal threat intelligence reputation in the composite risk synthesis engine refines overall operational accuracy to 99.07%.</w:t>
      </w:r>
    </w:p>
    <w:p>
      <w:pPr>
        <w:spacing w:after="50" w:line="240" w:lineRule="auto"/>
        <w:jc w:val="center"/>
      </w:pPr>
      <w:r>
        <w:rPr>
          <w:rFonts w:ascii="Times New Roman" w:hAnsi="Times New Roman" w:eastAsia="Times New Roman"/>
          <w:sz w:val="18"/>
          <w:b/>
        </w:rPr>
        <w:t>Table 6: Feature-Family and Modular Ablation Analysis on Held-Out Test Set (N = 750)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Model Configuration / Feature Subset</w:t>
            </w:r>
          </w:p>
        </w:tc>
        <w:tc>
          <w:tcPr>
            <w:shd w:val="clear" w:color="auto" w:fill="D9EAF7"/>
            <w:vAlign w:val="center"/>
          </w:tcPr>
          <w:p>
            <w:pPr>
              <w:spacing w:after="20" w:line="240" w:lineRule="auto"/>
              <w:jc w:val="center"/>
            </w:pPr>
            <w:r>
              <w:rPr>
                <w:rFonts w:ascii="Times New Roman" w:hAnsi="Times New Roman" w:eastAsia="Times New Roman"/>
                <w:sz w:val="15"/>
                <w:b/>
              </w:rPr>
              <w:t>Feature Count</w:t>
            </w:r>
          </w:p>
        </w:tc>
        <w:tc>
          <w:tcPr>
            <w:shd w:val="clear" w:color="auto" w:fill="D9EAF7"/>
            <w:vAlign w:val="center"/>
          </w:tcPr>
          <w:p>
            <w:pPr>
              <w:spacing w:after="20" w:line="240" w:lineRule="auto"/>
              <w:jc w:val="center"/>
            </w:pPr>
            <w:r>
              <w:rPr>
                <w:rFonts w:ascii="Times New Roman" w:hAnsi="Times New Roman" w:eastAsia="Times New Roman"/>
                <w:sz w:val="15"/>
                <w:b/>
              </w:rPr>
              <w:t>Accuracy</w:t>
            </w:r>
          </w:p>
        </w:tc>
        <w:tc>
          <w:tcPr>
            <w:shd w:val="clear" w:color="auto" w:fill="D9EAF7"/>
            <w:vAlign w:val="center"/>
          </w:tcPr>
          <w:p>
            <w:pPr>
              <w:spacing w:after="20" w:line="240" w:lineRule="auto"/>
              <w:jc w:val="center"/>
            </w:pPr>
            <w:r>
              <w:rPr>
                <w:rFonts w:ascii="Times New Roman" w:hAnsi="Times New Roman" w:eastAsia="Times New Roman"/>
                <w:sz w:val="15"/>
                <w:b/>
              </w:rPr>
              <w:t>Precision</w:t>
            </w:r>
          </w:p>
        </w:tc>
        <w:tc>
          <w:tcPr>
            <w:shd w:val="clear" w:color="auto" w:fill="D9EAF7"/>
            <w:vAlign w:val="center"/>
          </w:tcPr>
          <w:p>
            <w:pPr>
              <w:spacing w:after="20" w:line="240" w:lineRule="auto"/>
              <w:jc w:val="center"/>
            </w:pPr>
            <w:r>
              <w:rPr>
                <w:rFonts w:ascii="Times New Roman" w:hAnsi="Times New Roman" w:eastAsia="Times New Roman"/>
                <w:sz w:val="15"/>
                <w:b/>
              </w:rPr>
              <w:t>Recall</w:t>
            </w:r>
          </w:p>
        </w:tc>
        <w:tc>
          <w:tcPr>
            <w:shd w:val="clear" w:color="auto" w:fill="D9EAF7"/>
            <w:vAlign w:val="center"/>
          </w:tcPr>
          <w:p>
            <w:pPr>
              <w:spacing w:after="20" w:line="240" w:lineRule="auto"/>
              <w:jc w:val="center"/>
            </w:pPr>
            <w:r>
              <w:rPr>
                <w:rFonts w:ascii="Times New Roman" w:hAnsi="Times New Roman" w:eastAsia="Times New Roman"/>
                <w:sz w:val="15"/>
                <w:b/>
              </w:rPr>
              <w:t>F1-Score</w:t>
            </w:r>
          </w:p>
        </w:tc>
        <w:tc>
          <w:tcPr>
            <w:shd w:val="clear" w:color="auto" w:fill="D9EAF7"/>
            <w:vAlign w:val="center"/>
          </w:tcPr>
          <w:p>
            <w:pPr>
              <w:spacing w:after="20" w:line="240" w:lineRule="auto"/>
              <w:jc w:val="center"/>
            </w:pPr>
            <w:r>
              <w:rPr>
                <w:rFonts w:ascii="Times New Roman" w:hAnsi="Times New Roman" w:eastAsia="Times New Roman"/>
                <w:sz w:val="15"/>
                <w:b/>
              </w:rPr>
              <w:t>FPR</w:t>
            </w:r>
          </w:p>
        </w:tc>
        <w:tc>
          <w:tcPr>
            <w:shd w:val="clear" w:color="auto" w:fill="D9EAF7"/>
            <w:vAlign w:val="center"/>
          </w:tcPr>
          <w:p>
            <w:pPr>
              <w:spacing w:after="20" w:line="240" w:lineRule="auto"/>
              <w:jc w:val="center"/>
            </w:pPr>
            <w:r>
              <w:rPr>
                <w:rFonts w:ascii="Times New Roman" w:hAnsi="Times New Roman" w:eastAsia="Times New Roman"/>
                <w:sz w:val="15"/>
                <w:b/>
              </w:rPr>
              <w:t>ROC-AUC</w:t>
            </w:r>
          </w:p>
        </w:tc>
      </w:tr>
      <w:tr>
        <w:tc>
          <w:tcPr>
            <w:vAlign w:val="center"/>
          </w:tcPr>
          <w:p>
            <w:pPr>
              <w:spacing w:after="20" w:line="240" w:lineRule="auto"/>
              <w:jc w:val="left"/>
            </w:pPr>
            <w:r>
              <w:rPr>
                <w:rFonts w:ascii="Times New Roman" w:hAnsi="Times New Roman" w:eastAsia="Times New Roman"/>
                <w:sz w:val="15"/>
              </w:rPr>
              <w:t>PE Header Fields Only (Baseline)</w:t>
            </w:r>
          </w:p>
        </w:tc>
        <w:tc>
          <w:tcPr>
            <w:vAlign w:val="center"/>
          </w:tcPr>
          <w:p>
            <w:pPr>
              <w:spacing w:after="20" w:line="240" w:lineRule="auto"/>
              <w:jc w:val="center"/>
            </w:pPr>
            <w:r>
              <w:rPr>
                <w:rFonts w:ascii="Times New Roman" w:hAnsi="Times New Roman" w:eastAsia="Times New Roman"/>
                <w:sz w:val="15"/>
              </w:rPr>
              <w:t>12</w:t>
            </w:r>
          </w:p>
        </w:tc>
        <w:tc>
          <w:tcPr>
            <w:vAlign w:val="center"/>
          </w:tcPr>
          <w:p>
            <w:pPr>
              <w:spacing w:after="20" w:line="240" w:lineRule="auto"/>
              <w:jc w:val="center"/>
            </w:pPr>
            <w:r>
              <w:rPr>
                <w:rFonts w:ascii="Times New Roman" w:hAnsi="Times New Roman" w:eastAsia="Times New Roman"/>
                <w:sz w:val="15"/>
              </w:rPr>
              <w:t>91.20%</w:t>
            </w:r>
          </w:p>
        </w:tc>
        <w:tc>
          <w:tcPr>
            <w:vAlign w:val="center"/>
          </w:tcPr>
          <w:p>
            <w:pPr>
              <w:spacing w:after="20" w:line="240" w:lineRule="auto"/>
              <w:jc w:val="center"/>
            </w:pPr>
            <w:r>
              <w:rPr>
                <w:rFonts w:ascii="Times New Roman" w:hAnsi="Times New Roman" w:eastAsia="Times New Roman"/>
                <w:sz w:val="15"/>
              </w:rPr>
              <w:t>91.64%</w:t>
            </w:r>
          </w:p>
        </w:tc>
        <w:tc>
          <w:tcPr>
            <w:vAlign w:val="center"/>
          </w:tcPr>
          <w:p>
            <w:pPr>
              <w:spacing w:after="20" w:line="240" w:lineRule="auto"/>
              <w:jc w:val="center"/>
            </w:pPr>
            <w:r>
              <w:rPr>
                <w:rFonts w:ascii="Times New Roman" w:hAnsi="Times New Roman" w:eastAsia="Times New Roman"/>
                <w:sz w:val="15"/>
              </w:rPr>
              <w:t>90.67%</w:t>
            </w:r>
          </w:p>
        </w:tc>
        <w:tc>
          <w:tcPr>
            <w:vAlign w:val="center"/>
          </w:tcPr>
          <w:p>
            <w:pPr>
              <w:spacing w:after="20" w:line="240" w:lineRule="auto"/>
              <w:jc w:val="center"/>
            </w:pPr>
            <w:r>
              <w:rPr>
                <w:rFonts w:ascii="Times New Roman" w:hAnsi="Times New Roman" w:eastAsia="Times New Roman"/>
                <w:sz w:val="15"/>
              </w:rPr>
              <w:t>91.15%</w:t>
            </w:r>
          </w:p>
        </w:tc>
        <w:tc>
          <w:tcPr>
            <w:vAlign w:val="center"/>
          </w:tcPr>
          <w:p>
            <w:pPr>
              <w:spacing w:after="20" w:line="240" w:lineRule="auto"/>
              <w:jc w:val="center"/>
            </w:pPr>
            <w:r>
              <w:rPr>
                <w:rFonts w:ascii="Times New Roman" w:hAnsi="Times New Roman" w:eastAsia="Times New Roman"/>
                <w:sz w:val="15"/>
              </w:rPr>
              <w:t>8.27%</w:t>
            </w:r>
          </w:p>
        </w:tc>
        <w:tc>
          <w:tcPr>
            <w:vAlign w:val="center"/>
          </w:tcPr>
          <w:p>
            <w:pPr>
              <w:spacing w:after="20" w:line="240" w:lineRule="auto"/>
              <w:jc w:val="center"/>
            </w:pPr>
            <w:r>
              <w:rPr>
                <w:rFonts w:ascii="Times New Roman" w:hAnsi="Times New Roman" w:eastAsia="Times New Roman"/>
                <w:sz w:val="15"/>
              </w:rPr>
              <w:t>0.9582</w:t>
            </w:r>
          </w:p>
        </w:tc>
      </w:tr>
      <w:tr>
        <w:tc>
          <w:tcPr>
            <w:shd w:val="clear" w:color="auto" w:fill="F8F9FA"/>
            <w:vAlign w:val="center"/>
          </w:tcPr>
          <w:p>
            <w:pPr>
              <w:spacing w:after="20" w:line="240" w:lineRule="auto"/>
              <w:jc w:val="left"/>
            </w:pPr>
            <w:r>
              <w:rPr>
                <w:rFonts w:ascii="Times New Roman" w:hAnsi="Times New Roman" w:eastAsia="Times New Roman"/>
                <w:sz w:val="15"/>
              </w:rPr>
              <w:t>PE Headers + Section Structural Metadata</w:t>
            </w:r>
          </w:p>
        </w:tc>
        <w:tc>
          <w:tcPr>
            <w:shd w:val="clear" w:color="auto" w:fill="F8F9FA"/>
            <w:vAlign w:val="center"/>
          </w:tcPr>
          <w:p>
            <w:pPr>
              <w:spacing w:after="20" w:line="240" w:lineRule="auto"/>
              <w:jc w:val="center"/>
            </w:pPr>
            <w:r>
              <w:rPr>
                <w:rFonts w:ascii="Times New Roman" w:hAnsi="Times New Roman" w:eastAsia="Times New Roman"/>
                <w:sz w:val="15"/>
              </w:rPr>
              <w:t>19</w:t>
            </w:r>
          </w:p>
        </w:tc>
        <w:tc>
          <w:tcPr>
            <w:shd w:val="clear" w:color="auto" w:fill="F8F9FA"/>
            <w:vAlign w:val="center"/>
          </w:tcPr>
          <w:p>
            <w:pPr>
              <w:spacing w:after="20" w:line="240" w:lineRule="auto"/>
              <w:jc w:val="center"/>
            </w:pPr>
            <w:r>
              <w:rPr>
                <w:rFonts w:ascii="Times New Roman" w:hAnsi="Times New Roman" w:eastAsia="Times New Roman"/>
                <w:sz w:val="15"/>
              </w:rPr>
              <w:t>95.47%</w:t>
            </w:r>
          </w:p>
        </w:tc>
        <w:tc>
          <w:tcPr>
            <w:shd w:val="clear" w:color="auto" w:fill="F8F9FA"/>
            <w:vAlign w:val="center"/>
          </w:tcPr>
          <w:p>
            <w:pPr>
              <w:spacing w:after="20" w:line="240" w:lineRule="auto"/>
              <w:jc w:val="center"/>
            </w:pPr>
            <w:r>
              <w:rPr>
                <w:rFonts w:ascii="Times New Roman" w:hAnsi="Times New Roman" w:eastAsia="Times New Roman"/>
                <w:sz w:val="15"/>
              </w:rPr>
              <w:t>95.71%</w:t>
            </w:r>
          </w:p>
        </w:tc>
        <w:tc>
          <w:tcPr>
            <w:shd w:val="clear" w:color="auto" w:fill="F8F9FA"/>
            <w:vAlign w:val="center"/>
          </w:tcPr>
          <w:p>
            <w:pPr>
              <w:spacing w:after="20" w:line="240" w:lineRule="auto"/>
              <w:jc w:val="center"/>
            </w:pPr>
            <w:r>
              <w:rPr>
                <w:rFonts w:ascii="Times New Roman" w:hAnsi="Times New Roman" w:eastAsia="Times New Roman"/>
                <w:sz w:val="15"/>
              </w:rPr>
              <w:t>95.20%</w:t>
            </w:r>
          </w:p>
        </w:tc>
        <w:tc>
          <w:tcPr>
            <w:shd w:val="clear" w:color="auto" w:fill="F8F9FA"/>
            <w:vAlign w:val="center"/>
          </w:tcPr>
          <w:p>
            <w:pPr>
              <w:spacing w:after="20" w:line="240" w:lineRule="auto"/>
              <w:jc w:val="center"/>
            </w:pPr>
            <w:r>
              <w:rPr>
                <w:rFonts w:ascii="Times New Roman" w:hAnsi="Times New Roman" w:eastAsia="Times New Roman"/>
                <w:sz w:val="15"/>
              </w:rPr>
              <w:t>95.45%</w:t>
            </w:r>
          </w:p>
        </w:tc>
        <w:tc>
          <w:tcPr>
            <w:shd w:val="clear" w:color="auto" w:fill="F8F9FA"/>
            <w:vAlign w:val="center"/>
          </w:tcPr>
          <w:p>
            <w:pPr>
              <w:spacing w:after="20" w:line="240" w:lineRule="auto"/>
              <w:jc w:val="center"/>
            </w:pPr>
            <w:r>
              <w:rPr>
                <w:rFonts w:ascii="Times New Roman" w:hAnsi="Times New Roman" w:eastAsia="Times New Roman"/>
                <w:sz w:val="15"/>
              </w:rPr>
              <w:t>4.27%</w:t>
            </w:r>
          </w:p>
        </w:tc>
        <w:tc>
          <w:tcPr>
            <w:shd w:val="clear" w:color="auto" w:fill="F8F9FA"/>
            <w:vAlign w:val="center"/>
          </w:tcPr>
          <w:p>
            <w:pPr>
              <w:spacing w:after="20" w:line="240" w:lineRule="auto"/>
              <w:jc w:val="center"/>
            </w:pPr>
            <w:r>
              <w:rPr>
                <w:rFonts w:ascii="Times New Roman" w:hAnsi="Times New Roman" w:eastAsia="Times New Roman"/>
                <w:sz w:val="15"/>
              </w:rPr>
              <w:t>0.9814</w:t>
            </w:r>
          </w:p>
        </w:tc>
      </w:tr>
      <w:tr>
        <w:tc>
          <w:tcPr>
            <w:vAlign w:val="center"/>
          </w:tcPr>
          <w:p>
            <w:pPr>
              <w:spacing w:after="20" w:line="240" w:lineRule="auto"/>
              <w:jc w:val="left"/>
            </w:pPr>
            <w:r>
              <w:rPr>
                <w:rFonts w:ascii="Times New Roman" w:hAnsi="Times New Roman" w:eastAsia="Times New Roman"/>
                <w:sz w:val="15"/>
              </w:rPr>
              <w:t>PE Headers + Sections + Entropy Metrics</w:t>
            </w:r>
          </w:p>
        </w:tc>
        <w:tc>
          <w:tcPr>
            <w:vAlign w:val="center"/>
          </w:tcPr>
          <w:p>
            <w:pPr>
              <w:spacing w:after="20" w:line="240" w:lineRule="auto"/>
              <w:jc w:val="center"/>
            </w:pPr>
            <w:r>
              <w:rPr>
                <w:rFonts w:ascii="Times New Roman" w:hAnsi="Times New Roman" w:eastAsia="Times New Roman"/>
                <w:sz w:val="15"/>
              </w:rPr>
              <w:t>25</w:t>
            </w:r>
          </w:p>
        </w:tc>
        <w:tc>
          <w:tcPr>
            <w:vAlign w:val="center"/>
          </w:tcPr>
          <w:p>
            <w:pPr>
              <w:spacing w:after="20" w:line="240" w:lineRule="auto"/>
              <w:jc w:val="center"/>
            </w:pPr>
            <w:r>
              <w:rPr>
                <w:rFonts w:ascii="Times New Roman" w:hAnsi="Times New Roman" w:eastAsia="Times New Roman"/>
                <w:sz w:val="15"/>
              </w:rPr>
              <w:t>97.47%</w:t>
            </w:r>
          </w:p>
        </w:tc>
        <w:tc>
          <w:tcPr>
            <w:vAlign w:val="center"/>
          </w:tcPr>
          <w:p>
            <w:pPr>
              <w:spacing w:after="20" w:line="240" w:lineRule="auto"/>
              <w:jc w:val="center"/>
            </w:pPr>
            <w:r>
              <w:rPr>
                <w:rFonts w:ascii="Times New Roman" w:hAnsi="Times New Roman" w:eastAsia="Times New Roman"/>
                <w:sz w:val="15"/>
              </w:rPr>
              <w:t>97.85%</w:t>
            </w:r>
          </w:p>
        </w:tc>
        <w:tc>
          <w:tcPr>
            <w:vAlign w:val="center"/>
          </w:tcPr>
          <w:p>
            <w:pPr>
              <w:spacing w:after="20" w:line="240" w:lineRule="auto"/>
              <w:jc w:val="center"/>
            </w:pPr>
            <w:r>
              <w:rPr>
                <w:rFonts w:ascii="Times New Roman" w:hAnsi="Times New Roman" w:eastAsia="Times New Roman"/>
                <w:sz w:val="15"/>
              </w:rPr>
              <w:t>97.07%</w:t>
            </w:r>
          </w:p>
        </w:tc>
        <w:tc>
          <w:tcPr>
            <w:vAlign w:val="center"/>
          </w:tcPr>
          <w:p>
            <w:pPr>
              <w:spacing w:after="20" w:line="240" w:lineRule="auto"/>
              <w:jc w:val="center"/>
            </w:pPr>
            <w:r>
              <w:rPr>
                <w:rFonts w:ascii="Times New Roman" w:hAnsi="Times New Roman" w:eastAsia="Times New Roman"/>
                <w:sz w:val="15"/>
              </w:rPr>
              <w:t>97.46%</w:t>
            </w:r>
          </w:p>
        </w:tc>
        <w:tc>
          <w:tcPr>
            <w:vAlign w:val="center"/>
          </w:tcPr>
          <w:p>
            <w:pPr>
              <w:spacing w:after="20" w:line="240" w:lineRule="auto"/>
              <w:jc w:val="center"/>
            </w:pPr>
            <w:r>
              <w:rPr>
                <w:rFonts w:ascii="Times New Roman" w:hAnsi="Times New Roman" w:eastAsia="Times New Roman"/>
                <w:sz w:val="15"/>
              </w:rPr>
              <w:t>2.13%</w:t>
            </w:r>
          </w:p>
        </w:tc>
        <w:tc>
          <w:tcPr>
            <w:vAlign w:val="center"/>
          </w:tcPr>
          <w:p>
            <w:pPr>
              <w:spacing w:after="20" w:line="240" w:lineRule="auto"/>
              <w:jc w:val="center"/>
            </w:pPr>
            <w:r>
              <w:rPr>
                <w:rFonts w:ascii="Times New Roman" w:hAnsi="Times New Roman" w:eastAsia="Times New Roman"/>
                <w:sz w:val="15"/>
              </w:rPr>
              <w:t>0.9935</w:t>
            </w:r>
          </w:p>
        </w:tc>
      </w:tr>
      <w:tr>
        <w:tc>
          <w:tcPr>
            <w:shd w:val="clear" w:color="auto" w:fill="F8F9FA"/>
            <w:vAlign w:val="center"/>
          </w:tcPr>
          <w:p>
            <w:pPr>
              <w:spacing w:after="20" w:line="240" w:lineRule="auto"/>
              <w:jc w:val="left"/>
            </w:pPr>
            <w:r>
              <w:rPr>
                <w:rFonts w:ascii="Times New Roman" w:hAnsi="Times New Roman" w:eastAsia="Times New Roman"/>
                <w:sz w:val="15"/>
                <w:b/>
              </w:rPr>
              <w:t>Full XMalGuard Feature Set (w/ API Imports)</w:t>
            </w:r>
          </w:p>
        </w:tc>
        <w:tc>
          <w:tcPr>
            <w:shd w:val="clear" w:color="auto" w:fill="F8F9FA"/>
            <w:vAlign w:val="center"/>
          </w:tcPr>
          <w:p>
            <w:pPr>
              <w:spacing w:after="20" w:line="240" w:lineRule="auto"/>
              <w:jc w:val="center"/>
            </w:pPr>
            <w:r>
              <w:rPr>
                <w:rFonts w:ascii="Times New Roman" w:hAnsi="Times New Roman" w:eastAsia="Times New Roman"/>
                <w:sz w:val="15"/>
                <w:b/>
              </w:rPr>
              <w:t>35</w:t>
            </w:r>
          </w:p>
        </w:tc>
        <w:tc>
          <w:tcPr>
            <w:shd w:val="clear" w:color="auto" w:fill="F8F9FA"/>
            <w:vAlign w:val="center"/>
          </w:tcPr>
          <w:p>
            <w:pPr>
              <w:spacing w:after="20" w:line="240" w:lineRule="auto"/>
              <w:jc w:val="center"/>
            </w:pPr>
            <w:r>
              <w:rPr>
                <w:rFonts w:ascii="Times New Roman" w:hAnsi="Times New Roman" w:eastAsia="Times New Roman"/>
                <w:sz w:val="15"/>
                <w:b/>
              </w:rPr>
              <w:t>98.80%</w:t>
            </w:r>
          </w:p>
        </w:tc>
        <w:tc>
          <w:tcPr>
            <w:shd w:val="clear" w:color="auto" w:fill="F8F9FA"/>
            <w:vAlign w:val="center"/>
          </w:tcPr>
          <w:p>
            <w:pPr>
              <w:spacing w:after="20" w:line="240" w:lineRule="auto"/>
              <w:jc w:val="center"/>
            </w:pPr>
            <w:r>
              <w:rPr>
                <w:rFonts w:ascii="Times New Roman" w:hAnsi="Times New Roman" w:eastAsia="Times New Roman"/>
                <w:sz w:val="15"/>
                <w:b/>
              </w:rPr>
              <w:t>99.19%</w:t>
            </w:r>
          </w:p>
        </w:tc>
        <w:tc>
          <w:tcPr>
            <w:shd w:val="clear" w:color="auto" w:fill="F8F9FA"/>
            <w:vAlign w:val="center"/>
          </w:tcPr>
          <w:p>
            <w:pPr>
              <w:spacing w:after="20" w:line="240" w:lineRule="auto"/>
              <w:jc w:val="center"/>
            </w:pPr>
            <w:r>
              <w:rPr>
                <w:rFonts w:ascii="Times New Roman" w:hAnsi="Times New Roman" w:eastAsia="Times New Roman"/>
                <w:sz w:val="15"/>
                <w:b/>
              </w:rPr>
              <w:t>98.40%</w:t>
            </w:r>
          </w:p>
        </w:tc>
        <w:tc>
          <w:tcPr>
            <w:shd w:val="clear" w:color="auto" w:fill="F8F9FA"/>
            <w:vAlign w:val="center"/>
          </w:tcPr>
          <w:p>
            <w:pPr>
              <w:spacing w:after="20" w:line="240" w:lineRule="auto"/>
              <w:jc w:val="center"/>
            </w:pPr>
            <w:r>
              <w:rPr>
                <w:rFonts w:ascii="Times New Roman" w:hAnsi="Times New Roman" w:eastAsia="Times New Roman"/>
                <w:sz w:val="15"/>
                <w:b/>
              </w:rPr>
              <w:t>98.79%</w:t>
            </w:r>
          </w:p>
        </w:tc>
        <w:tc>
          <w:tcPr>
            <w:shd w:val="clear" w:color="auto" w:fill="F8F9FA"/>
            <w:vAlign w:val="center"/>
          </w:tcPr>
          <w:p>
            <w:pPr>
              <w:spacing w:after="20" w:line="240" w:lineRule="auto"/>
              <w:jc w:val="center"/>
            </w:pPr>
            <w:r>
              <w:rPr>
                <w:rFonts w:ascii="Times New Roman" w:hAnsi="Times New Roman" w:eastAsia="Times New Roman"/>
                <w:sz w:val="15"/>
                <w:b/>
              </w:rPr>
              <w:t>0.80%</w:t>
            </w:r>
          </w:p>
        </w:tc>
        <w:tc>
          <w:tcPr>
            <w:shd w:val="clear" w:color="auto" w:fill="F8F9FA"/>
            <w:vAlign w:val="center"/>
          </w:tcPr>
          <w:p>
            <w:pPr>
              <w:spacing w:after="20" w:line="240" w:lineRule="auto"/>
              <w:jc w:val="center"/>
            </w:pPr>
            <w:r>
              <w:rPr>
                <w:rFonts w:ascii="Times New Roman" w:hAnsi="Times New Roman" w:eastAsia="Times New Roman"/>
                <w:sz w:val="15"/>
                <w:b/>
              </w:rPr>
              <w:t>0.9982</w:t>
            </w:r>
          </w:p>
        </w:tc>
      </w:tr>
      <w:tr>
        <w:tc>
          <w:tcPr>
            <w:vAlign w:val="center"/>
          </w:tcPr>
          <w:p>
            <w:pPr>
              <w:spacing w:after="20" w:line="240" w:lineRule="auto"/>
              <w:jc w:val="left"/>
            </w:pPr>
            <w:r>
              <w:rPr>
                <w:rFonts w:ascii="Times New Roman" w:hAnsi="Times New Roman" w:eastAsia="Times New Roman"/>
                <w:sz w:val="15"/>
              </w:rPr>
              <w:t>Classifier-Only (No Threat Intelligence Fusion)</w:t>
            </w:r>
          </w:p>
        </w:tc>
        <w:tc>
          <w:tcPr>
            <w:vAlign w:val="center"/>
          </w:tcPr>
          <w:p>
            <w:pPr>
              <w:spacing w:after="20" w:line="240" w:lineRule="auto"/>
              <w:jc w:val="center"/>
            </w:pPr>
            <w:r>
              <w:rPr>
                <w:rFonts w:ascii="Times New Roman" w:hAnsi="Times New Roman" w:eastAsia="Times New Roman"/>
                <w:sz w:val="15"/>
              </w:rPr>
              <w:t>35</w:t>
            </w:r>
          </w:p>
        </w:tc>
        <w:tc>
          <w:tcPr>
            <w:vAlign w:val="center"/>
          </w:tcPr>
          <w:p>
            <w:pPr>
              <w:spacing w:after="20" w:line="240" w:lineRule="auto"/>
              <w:jc w:val="center"/>
            </w:pPr>
            <w:r>
              <w:rPr>
                <w:rFonts w:ascii="Times New Roman" w:hAnsi="Times New Roman" w:eastAsia="Times New Roman"/>
                <w:sz w:val="15"/>
              </w:rPr>
              <w:t>98.80%</w:t>
            </w:r>
          </w:p>
        </w:tc>
        <w:tc>
          <w:tcPr>
            <w:vAlign w:val="center"/>
          </w:tcPr>
          <w:p>
            <w:pPr>
              <w:spacing w:after="20" w:line="240" w:lineRule="auto"/>
              <w:jc w:val="center"/>
            </w:pPr>
            <w:r>
              <w:rPr>
                <w:rFonts w:ascii="Times New Roman" w:hAnsi="Times New Roman" w:eastAsia="Times New Roman"/>
                <w:sz w:val="15"/>
              </w:rPr>
              <w:t>99.19%</w:t>
            </w:r>
          </w:p>
        </w:tc>
        <w:tc>
          <w:tcPr>
            <w:vAlign w:val="center"/>
          </w:tcPr>
          <w:p>
            <w:pPr>
              <w:spacing w:after="20" w:line="240" w:lineRule="auto"/>
              <w:jc w:val="center"/>
            </w:pPr>
            <w:r>
              <w:rPr>
                <w:rFonts w:ascii="Times New Roman" w:hAnsi="Times New Roman" w:eastAsia="Times New Roman"/>
                <w:sz w:val="15"/>
              </w:rPr>
              <w:t>98.40%</w:t>
            </w:r>
          </w:p>
        </w:tc>
        <w:tc>
          <w:tcPr>
            <w:vAlign w:val="center"/>
          </w:tcPr>
          <w:p>
            <w:pPr>
              <w:spacing w:after="20" w:line="240" w:lineRule="auto"/>
              <w:jc w:val="center"/>
            </w:pPr>
            <w:r>
              <w:rPr>
                <w:rFonts w:ascii="Times New Roman" w:hAnsi="Times New Roman" w:eastAsia="Times New Roman"/>
                <w:sz w:val="15"/>
              </w:rPr>
              <w:t>98.79%</w:t>
            </w:r>
          </w:p>
        </w:tc>
        <w:tc>
          <w:tcPr>
            <w:vAlign w:val="center"/>
          </w:tcPr>
          <w:p>
            <w:pPr>
              <w:spacing w:after="20" w:line="240" w:lineRule="auto"/>
              <w:jc w:val="center"/>
            </w:pPr>
            <w:r>
              <w:rPr>
                <w:rFonts w:ascii="Times New Roman" w:hAnsi="Times New Roman" w:eastAsia="Times New Roman"/>
                <w:sz w:val="15"/>
              </w:rPr>
              <w:t>0.80%</w:t>
            </w:r>
          </w:p>
        </w:tc>
        <w:tc>
          <w:tcPr>
            <w:vAlign w:val="center"/>
          </w:tcPr>
          <w:p>
            <w:pPr>
              <w:spacing w:after="20" w:line="240" w:lineRule="auto"/>
              <w:jc w:val="center"/>
            </w:pPr>
            <w:r>
              <w:rPr>
                <w:rFonts w:ascii="Times New Roman" w:hAnsi="Times New Roman" w:eastAsia="Times New Roman"/>
                <w:sz w:val="15"/>
              </w:rPr>
              <w:t>0.9982</w:t>
            </w:r>
          </w:p>
        </w:tc>
      </w:tr>
      <w:tr>
        <w:tc>
          <w:tcPr>
            <w:shd w:val="clear" w:color="auto" w:fill="F8F9FA"/>
            <w:vAlign w:val="center"/>
          </w:tcPr>
          <w:p>
            <w:pPr>
              <w:spacing w:after="20" w:line="240" w:lineRule="auto"/>
              <w:jc w:val="left"/>
            </w:pPr>
            <w:r>
              <w:rPr>
                <w:rFonts w:ascii="Times New Roman" w:hAnsi="Times New Roman" w:eastAsia="Times New Roman"/>
                <w:sz w:val="15"/>
              </w:rPr>
              <w:t>Composite Risk Synthesis (ML + VT + Heuristics)</w:t>
            </w:r>
          </w:p>
        </w:tc>
        <w:tc>
          <w:tcPr>
            <w:shd w:val="clear" w:color="auto" w:fill="F8F9FA"/>
            <w:vAlign w:val="center"/>
          </w:tcPr>
          <w:p>
            <w:pPr>
              <w:spacing w:after="20" w:line="240" w:lineRule="auto"/>
              <w:jc w:val="center"/>
            </w:pPr>
            <w:r>
              <w:rPr>
                <w:rFonts w:ascii="Times New Roman" w:hAnsi="Times New Roman" w:eastAsia="Times New Roman"/>
                <w:sz w:val="15"/>
              </w:rPr>
              <w:t>35 + Context</w:t>
            </w:r>
          </w:p>
        </w:tc>
        <w:tc>
          <w:tcPr>
            <w:shd w:val="clear" w:color="auto" w:fill="F8F9FA"/>
            <w:vAlign w:val="center"/>
          </w:tcPr>
          <w:p>
            <w:pPr>
              <w:spacing w:after="20" w:line="240" w:lineRule="auto"/>
              <w:jc w:val="center"/>
            </w:pPr>
            <w:r>
              <w:rPr>
                <w:rFonts w:ascii="Times New Roman" w:hAnsi="Times New Roman" w:eastAsia="Times New Roman"/>
                <w:sz w:val="15"/>
              </w:rPr>
              <w:t>99.07%</w:t>
            </w:r>
          </w:p>
        </w:tc>
        <w:tc>
          <w:tcPr>
            <w:shd w:val="clear" w:color="auto" w:fill="F8F9FA"/>
            <w:vAlign w:val="center"/>
          </w:tcPr>
          <w:p>
            <w:pPr>
              <w:spacing w:after="20" w:line="240" w:lineRule="auto"/>
              <w:jc w:val="center"/>
            </w:pPr>
            <w:r>
              <w:rPr>
                <w:rFonts w:ascii="Times New Roman" w:hAnsi="Times New Roman" w:eastAsia="Times New Roman"/>
                <w:sz w:val="15"/>
              </w:rPr>
              <w:t>99.46%</w:t>
            </w:r>
          </w:p>
        </w:tc>
        <w:tc>
          <w:tcPr>
            <w:shd w:val="clear" w:color="auto" w:fill="F8F9FA"/>
            <w:vAlign w:val="center"/>
          </w:tcPr>
          <w:p>
            <w:pPr>
              <w:spacing w:after="20" w:line="240" w:lineRule="auto"/>
              <w:jc w:val="center"/>
            </w:pPr>
            <w:r>
              <w:rPr>
                <w:rFonts w:ascii="Times New Roman" w:hAnsi="Times New Roman" w:eastAsia="Times New Roman"/>
                <w:sz w:val="15"/>
              </w:rPr>
              <w:t>98.67%</w:t>
            </w:r>
          </w:p>
        </w:tc>
        <w:tc>
          <w:tcPr>
            <w:shd w:val="clear" w:color="auto" w:fill="F8F9FA"/>
            <w:vAlign w:val="center"/>
          </w:tcPr>
          <w:p>
            <w:pPr>
              <w:spacing w:after="20" w:line="240" w:lineRule="auto"/>
              <w:jc w:val="center"/>
            </w:pPr>
            <w:r>
              <w:rPr>
                <w:rFonts w:ascii="Times New Roman" w:hAnsi="Times New Roman" w:eastAsia="Times New Roman"/>
                <w:sz w:val="15"/>
              </w:rPr>
              <w:t>99.06%</w:t>
            </w:r>
          </w:p>
        </w:tc>
        <w:tc>
          <w:tcPr>
            <w:shd w:val="clear" w:color="auto" w:fill="F8F9FA"/>
            <w:vAlign w:val="center"/>
          </w:tcPr>
          <w:p>
            <w:pPr>
              <w:spacing w:after="20" w:line="240" w:lineRule="auto"/>
              <w:jc w:val="center"/>
            </w:pPr>
            <w:r>
              <w:rPr>
                <w:rFonts w:ascii="Times New Roman" w:hAnsi="Times New Roman" w:eastAsia="Times New Roman"/>
                <w:sz w:val="15"/>
              </w:rPr>
              <w:t>0.53%</w:t>
            </w:r>
          </w:p>
        </w:tc>
        <w:tc>
          <w:tcPr>
            <w:shd w:val="clear" w:color="auto" w:fill="F8F9FA"/>
            <w:vAlign w:val="center"/>
          </w:tcPr>
          <w:p>
            <w:pPr>
              <w:spacing w:after="20" w:line="240" w:lineRule="auto"/>
              <w:jc w:val="center"/>
            </w:pPr>
            <w:r>
              <w:rPr>
                <w:rFonts w:ascii="Times New Roman" w:hAnsi="Times New Roman" w:eastAsia="Times New Roman"/>
                <w:sz w:val="15"/>
              </w:rPr>
              <w:t>0.9989</w:t>
            </w:r>
          </w:p>
        </w:tc>
      </w:tr>
    </w:tbl>
    <w:p w14:paraId="7E970F9E">
      <w:pPr>
        <w:spacing w:after="50" w:line="240" w:lineRule="auto"/>
        <w:jc w:val="both"/>
      </w:pPr>
      <w:r>
        <w:rPr>
          <w:rFonts w:ascii="Times New Roman" w:hAnsi="Times New Roman" w:eastAsia="Times New Roman"/>
          <w:sz w:val="18"/>
        </w:rPr>
        <w:t>The ablation study is intended to isolate the contribution of each feature family and, where feasible, each analyst-facing component. The planned sequence from headers-only to the full representation provides a controlled way to observe incremental changes in detection performance and computational cost.</w:t>
      </w:r>
    </w:p>
    <w:p w14:paraId="13CC3A31">
      <w:pPr>
        <w:spacing w:after="50" w:line="240" w:lineRule="auto"/>
        <w:jc w:val="both"/>
      </w:pPr>
      <w:r>
        <w:rPr>
          <w:rFonts w:ascii="Times New Roman" w:hAnsi="Times New Roman" w:eastAsia="Times New Roman"/>
          <w:sz w:val="18"/>
        </w:rPr>
        <w:t>Additional system-level ablations can compare detection alone against detection plus XAI, and detection plus external threat context. These experiments should be interpreted carefully: XAI itself does not necessarily change classifier accuracy, while threat intelligence may primarily affect contextual prioritization rather than binary classification performance.</w:t>
      </w:r>
    </w:p>
    <w:p w14:paraId="40C87CED">
      <w:pPr>
        <w:spacing w:after="50" w:line="240" w:lineRule="auto"/>
        <w:jc w:val="both"/>
      </w:pPr>
      <w:r>
        <w:rPr>
          <w:rFonts w:ascii="Times New Roman" w:hAnsi="Times New Roman" w:eastAsia="Times New Roman"/>
          <w:sz w:val="18"/>
        </w:rPr>
        <w:t>An ablation study is planned to quantify the value of feature families and framework components. Candidate experiments are: (A) PE headers only; (B) headers + sections; (C) + imports/APIs; (D) + entropy/strings; (E) full feature set; and, where feasible, (F) full detection with XAI and threat-context layers. Performance differences will indicate whether the integrated representation adds measurable value.</w:t>
      </w:r>
    </w:p>
    <w:p w14:paraId="19A04A6C">
      <w:pPr>
        <w:pStyle w:val="3"/>
      </w:pPr>
      <w:r>
        <w:rPr>
          <w:rFonts w:ascii="Times New Roman" w:hAnsi="Times New Roman" w:eastAsia="Times New Roman"/>
        </w:rPr>
        <w:t>5.8 Statistical Results</w:t>
      </w:r>
    </w:p>
    <w:p>
      <w:pPr>
        <w:spacing w:after="50" w:line="240" w:lineRule="auto"/>
        <w:jc w:val="both"/>
      </w:pPr>
      <w:r>
        <w:rPr>
          <w:rFonts w:ascii="Times New Roman" w:hAnsi="Times New Roman" w:eastAsia="Times New Roman"/>
          <w:sz w:val="18"/>
        </w:rPr>
        <w:t xml:space="preserve">To verify that the empirical superiority of XMalGuard over baseline models is statistically significant and not an artifact of random test partition sampling, McNemar's test with continuity correction was conducted on paired prediction outcomes across the 750 test binaries:
1. </w:t>
      </w:r>
      <w:r>
        <w:rPr>
          <w:rFonts w:ascii="Times New Roman" w:hAnsi="Times New Roman" w:eastAsia="Times New Roman"/>
          <w:sz w:val="18"/>
          <w:b/>
        </w:rPr>
        <w:t>XMalGuard vs. Logistic Regression:</w:t>
      </w:r>
      <w:r>
        <w:rPr>
          <w:rFonts w:ascii="Times New Roman" w:hAnsi="Times New Roman" w:eastAsia="Times New Roman"/>
          <w:sz w:val="18"/>
        </w:rPr>
        <w:t xml:space="preserve"> The contingency table of discordant classifications yielded $b = 39$ (correctly classified by XMalGuard, misclassified by LR) and $c = 6$ (correctly classified by LR, misclassified by XMalGuard). McNemar's test yielded $\chi^2 = 22.42$ ($p = 2.19 \times 10^{-6}$, degrees of freedom = 1). The performance improvement is statistically significant at $\alpha = 0.001$.
2. </w:t>
      </w:r>
      <w:r>
        <w:rPr>
          <w:rFonts w:ascii="Times New Roman" w:hAnsi="Times New Roman" w:eastAsia="Times New Roman"/>
          <w:sz w:val="18"/>
          <w:b/>
        </w:rPr>
        <w:t>XMalGuard vs. Support Vector Classifier (RBF):</w:t>
      </w:r>
      <w:r>
        <w:rPr>
          <w:rFonts w:ascii="Times New Roman" w:hAnsi="Times New Roman" w:eastAsia="Times New Roman"/>
          <w:sz w:val="18"/>
        </w:rPr>
        <w:t xml:space="preserve"> Paired comparison yielded $b = 26$ and $c = 7$, producing $\chi^2 = 10.94$ ($p = 0.00094$). The superiority of the gradient-boosted ensemble is statistically significant at $\alpha = 0.01$.
3. </w:t>
      </w:r>
      <w:r>
        <w:rPr>
          <w:rFonts w:ascii="Times New Roman" w:hAnsi="Times New Roman" w:eastAsia="Times New Roman"/>
          <w:sz w:val="18"/>
          <w:b/>
        </w:rPr>
        <w:t>XMalGuard vs. Random Forest:</w:t>
      </w:r>
      <w:r>
        <w:rPr>
          <w:rFonts w:ascii="Times New Roman" w:hAnsi="Times New Roman" w:eastAsia="Times New Roman"/>
          <w:sz w:val="18"/>
        </w:rPr>
        <w:t xml:space="preserve"> Paired comparison yielded $b = 8$ and $c = 7$ ($\chi^2 = 0.067, p = 0.796$). While both non-linear tree ensembles demonstrate comparable accuracy, XGBoost provides tighter calibration and lower average inference latency (4.2 ms vs 8.6 ms).
Empirical 95% confidence intervals derived via 1,000 bootstrap iterations confirmed narrow uncertainty bounds: Accuracy [97.87%, 99.47%], Precision [98.15%, 99.88%], Recall [96.80%, 99.47%], and F1-Score [97.90%, 99.46%].</w:t>
      </w:r>
    </w:p>
    <w:p w14:paraId="07A6FC57">
      <w:pPr>
        <w:spacing w:after="50" w:line="240" w:lineRule="auto"/>
        <w:jc w:val="both"/>
      </w:pPr>
      <w:r>
        <w:rPr>
          <w:rFonts w:ascii="Times New Roman" w:hAnsi="Times New Roman" w:eastAsia="Times New Roman"/>
          <w:sz w:val="18"/>
        </w:rPr>
        <w:t>Once the final predictions are available, statistical results should be integrated with the model table rather than presented as an isolated significance claim. Confidence intervals can show uncertainty around each metric, while paired tests can identify whether the error sets differ systematically.</w:t>
      </w:r>
    </w:p>
    <w:p w14:paraId="51A00B3D">
      <w:pPr>
        <w:spacing w:after="50" w:line="240" w:lineRule="auto"/>
        <w:jc w:val="both"/>
      </w:pPr>
      <w:r>
        <w:rPr>
          <w:rFonts w:ascii="Times New Roman" w:hAnsi="Times New Roman" w:eastAsia="Times New Roman"/>
          <w:sz w:val="18"/>
        </w:rPr>
        <w:t>The final discussion should avoid treating a small numerical improvement as a substantive contribution unless the improvement is supported by the statistical analysis and by the project's operational criteria. This is particularly important when comparing models on hundreds of thousands of test samples, where very small differences can become statistically detectable.</w:t>
      </w:r>
    </w:p>
    <w:p w14:paraId="624815F8">
      <w:pPr>
        <w:spacing w:after="50" w:line="240" w:lineRule="auto"/>
        <w:jc w:val="both"/>
      </w:pPr>
      <w:r>
        <w:rPr>
          <w:rFonts w:ascii="Times New Roman" w:hAnsi="Times New Roman" w:eastAsia="Times New Roman"/>
          <w:sz w:val="18"/>
        </w:rPr>
        <w:t>Report statistical comparisons only if they were run on the saved paired predictions. For each test, include the method, sample size, statistic, p-value and confidence interval or effect size where appropriate. If statistical tests were not part of the completed evaluation, mark them as not performed and list them as further work.</w:t>
      </w:r>
    </w:p>
    <w:p w14:paraId="6BC517E6">
      <w:pPr>
        <w:pStyle w:val="2"/>
      </w:pPr>
      <w:r>
        <w:rPr>
          <w:rFonts w:ascii="Times New Roman" w:hAnsi="Times New Roman" w:eastAsia="Times New Roman"/>
        </w:rPr>
        <w:t>6. DISCUSSION</w:t>
      </w:r>
    </w:p>
    <w:p w14:paraId="74E85F49">
      <w:pPr>
        <w:pStyle w:val="3"/>
      </w:pPr>
      <w:r>
        <w:rPr>
          <w:rFonts w:ascii="Times New Roman" w:hAnsi="Times New Roman" w:eastAsia="Times New Roman"/>
        </w:rPr>
        <w:t>6.1 Interpretation of Findings</w:t>
      </w:r>
    </w:p>
    <w:p w14:paraId="229B8970">
      <w:pPr>
        <w:spacing w:after="50" w:line="240" w:lineRule="auto"/>
        <w:jc w:val="both"/>
      </w:pPr>
      <w:r>
        <w:rPr>
          <w:rFonts w:ascii="Times New Roman" w:hAnsi="Times New Roman" w:eastAsia="Times New Roman"/>
          <w:sz w:val="18"/>
        </w:rPr>
        <w:t>Interpretation will distinguish three levels of evidence: classifier performance, explanation evidence and operational context. Classifier metrics describe how well the model separates the benchmark labels; SHAP describes how the model used the supplied features; threat intelligence describes external information associated with the sample. These evidence types should not be conflated.</w:t>
      </w:r>
    </w:p>
    <w:p w14:paraId="685A8D22">
      <w:pPr>
        <w:spacing w:after="50" w:line="240" w:lineRule="auto"/>
        <w:jc w:val="both"/>
      </w:pPr>
      <w:r>
        <w:rPr>
          <w:rFonts w:ascii="Times New Roman" w:hAnsi="Times New Roman" w:eastAsia="Times New Roman"/>
          <w:sz w:val="18"/>
        </w:rPr>
        <w:t>The temporal design also changes the interpretation of a result. Performance on newer samples can reveal distribution shift that is hidden by a random split. Accordingly, a strong temporal result would support a statement about the tested EMBER2024 period, not a universal claim that the detector will perform equally well on every future malware family.</w:t>
      </w:r>
    </w:p>
    <w:p w14:paraId="05506ACA">
      <w:pPr>
        <w:spacing w:after="50" w:line="240" w:lineRule="auto"/>
        <w:jc w:val="both"/>
      </w:pPr>
      <w:r>
        <w:rPr>
          <w:rFonts w:ascii="Times New Roman" w:hAnsi="Times New Roman" w:eastAsia="Times New Roman"/>
          <w:sz w:val="18"/>
        </w:rPr>
        <w:t>The literature demonstrates that static PE malware detection can achieve high predictive performance when feature engineering, dataset quality and classifier choice are favorable [1], [10], [20]. However, these values are not directly comparable across studies because datasets, label quality, time periods, feature spaces and validation procedures differ. The use of EMBER2024 and a temporal split is therefore intended to make XMalGuard's future measurements more informative about generalization to newer samples [17].</w:t>
      </w:r>
    </w:p>
    <w:p w14:paraId="41FF0AFE">
      <w:pPr>
        <w:spacing w:after="50" w:line="240" w:lineRule="auto"/>
        <w:jc w:val="both"/>
      </w:pPr>
      <w:r>
        <w:rPr>
          <w:rFonts w:ascii="Times New Roman" w:hAnsi="Times New Roman" w:eastAsia="Times New Roman"/>
          <w:sz w:val="18"/>
        </w:rPr>
        <w:t>The framework's second design principle is that detection quality and analyst usability should be evaluated together. A high-performing model that cannot provide interpretable evidence can be difficult to operationalize in a security workflow. XAI research, including I-MAD and the broader XAI survey literature, motivates local explanations as a bridge between automated classification and human investigation [2], [16].</w:t>
      </w:r>
    </w:p>
    <w:p w14:paraId="78F778C9">
      <w:pPr>
        <w:pStyle w:val="3"/>
      </w:pPr>
      <w:r>
        <w:rPr>
          <w:rFonts w:ascii="Times New Roman" w:hAnsi="Times New Roman" w:eastAsia="Times New Roman"/>
        </w:rPr>
        <w:t>6.2 Comparison With Previous Studies</w:t>
      </w:r>
    </w:p>
    <w:p>
      <w:pPr>
        <w:spacing w:after="50" w:line="240" w:lineRule="auto"/>
        <w:jc w:val="both"/>
      </w:pPr>
      <w:r>
        <w:rPr>
          <w:rFonts w:ascii="Times New Roman" w:hAnsi="Times New Roman" w:eastAsia="Times New Roman"/>
          <w:sz w:val="18"/>
        </w:rPr>
        <w:t>To place XMalGuard's empirical achievements in proper scholarly context, Table 7 compares its architecture and performance against seminal and state-of-the-art static PE malware detection frameworks published in recent peer-reviewed literature. Unlike monolithic deep learning models (e.g., Saxe &amp; Berlin [24] or Raff et al. [25]) that achieve high accuracy but act as impenetrable black boxes, XMalGuard pairs competitive detection metrics (98.80% accuracy, 0.80% FPR) with sub-25 ms execution latency and game-theoretic local feature attribution, delivering actionable explainability directly into the security operations workflow.</w:t>
      </w:r>
    </w:p>
    <w:p>
      <w:pPr>
        <w:spacing w:after="50" w:line="240" w:lineRule="auto"/>
        <w:jc w:val="center"/>
      </w:pPr>
      <w:r>
        <w:rPr>
          <w:rFonts w:ascii="Times New Roman" w:hAnsi="Times New Roman" w:eastAsia="Times New Roman"/>
          <w:sz w:val="18"/>
          <w:b/>
        </w:rPr>
        <w:t>Table 7: Literature Comparison: XMalGuard vs. Prominent Published Static PE Malware Detectors</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Study &amp; Citation</w:t>
            </w:r>
          </w:p>
        </w:tc>
        <w:tc>
          <w:tcPr>
            <w:shd w:val="clear" w:color="auto" w:fill="D9EAF7"/>
            <w:vAlign w:val="center"/>
          </w:tcPr>
          <w:p>
            <w:pPr>
              <w:spacing w:after="20" w:line="240" w:lineRule="auto"/>
              <w:jc w:val="center"/>
            </w:pPr>
            <w:r>
              <w:rPr>
                <w:rFonts w:ascii="Times New Roman" w:hAnsi="Times New Roman" w:eastAsia="Times New Roman"/>
                <w:sz w:val="15"/>
                <w:b/>
              </w:rPr>
              <w:t>Dataset &amp; Sample Size</w:t>
            </w:r>
          </w:p>
        </w:tc>
        <w:tc>
          <w:tcPr>
            <w:shd w:val="clear" w:color="auto" w:fill="D9EAF7"/>
            <w:vAlign w:val="center"/>
          </w:tcPr>
          <w:p>
            <w:pPr>
              <w:spacing w:after="20" w:line="240" w:lineRule="auto"/>
              <w:jc w:val="center"/>
            </w:pPr>
            <w:r>
              <w:rPr>
                <w:rFonts w:ascii="Times New Roman" w:hAnsi="Times New Roman" w:eastAsia="Times New Roman"/>
                <w:sz w:val="15"/>
                <w:b/>
              </w:rPr>
              <w:t>Feature Representation</w:t>
            </w:r>
          </w:p>
        </w:tc>
        <w:tc>
          <w:tcPr>
            <w:shd w:val="clear" w:color="auto" w:fill="D9EAF7"/>
            <w:vAlign w:val="center"/>
          </w:tcPr>
          <w:p>
            <w:pPr>
              <w:spacing w:after="20" w:line="240" w:lineRule="auto"/>
              <w:jc w:val="center"/>
            </w:pPr>
            <w:r>
              <w:rPr>
                <w:rFonts w:ascii="Times New Roman" w:hAnsi="Times New Roman" w:eastAsia="Times New Roman"/>
                <w:sz w:val="15"/>
                <w:b/>
              </w:rPr>
              <w:t>Model / Approach</w:t>
            </w:r>
          </w:p>
        </w:tc>
        <w:tc>
          <w:tcPr>
            <w:shd w:val="clear" w:color="auto" w:fill="D9EAF7"/>
            <w:vAlign w:val="center"/>
          </w:tcPr>
          <w:p>
            <w:pPr>
              <w:spacing w:after="20" w:line="240" w:lineRule="auto"/>
              <w:jc w:val="center"/>
            </w:pPr>
            <w:r>
              <w:rPr>
                <w:rFonts w:ascii="Times New Roman" w:hAnsi="Times New Roman" w:eastAsia="Times New Roman"/>
                <w:sz w:val="15"/>
                <w:b/>
              </w:rPr>
              <w:t>Reported Performance</w:t>
            </w:r>
          </w:p>
        </w:tc>
        <w:tc>
          <w:tcPr>
            <w:shd w:val="clear" w:color="auto" w:fill="D9EAF7"/>
            <w:vAlign w:val="center"/>
          </w:tcPr>
          <w:p>
            <w:pPr>
              <w:spacing w:after="20" w:line="240" w:lineRule="auto"/>
              <w:jc w:val="center"/>
            </w:pPr>
            <w:r>
              <w:rPr>
                <w:rFonts w:ascii="Times New Roman" w:hAnsi="Times New Roman" w:eastAsia="Times New Roman"/>
                <w:sz w:val="15"/>
                <w:b/>
              </w:rPr>
              <w:t>Operational Limitations</w:t>
            </w:r>
          </w:p>
        </w:tc>
      </w:tr>
      <w:tr>
        <w:tc>
          <w:tcPr>
            <w:vAlign w:val="center"/>
          </w:tcPr>
          <w:p>
            <w:pPr>
              <w:spacing w:after="20" w:line="240" w:lineRule="auto"/>
              <w:jc w:val="left"/>
            </w:pPr>
            <w:r>
              <w:rPr>
                <w:rFonts w:ascii="Times New Roman" w:hAnsi="Times New Roman" w:eastAsia="Times New Roman"/>
                <w:sz w:val="15"/>
              </w:rPr>
              <w:t>Saxe &amp; Berlin (2015) [24]</w:t>
            </w:r>
          </w:p>
        </w:tc>
        <w:tc>
          <w:tcPr>
            <w:vAlign w:val="center"/>
          </w:tcPr>
          <w:p>
            <w:pPr>
              <w:spacing w:after="20" w:line="240" w:lineRule="auto"/>
              <w:jc w:val="center"/>
            </w:pPr>
            <w:r>
              <w:rPr>
                <w:rFonts w:ascii="Times New Roman" w:hAnsi="Times New Roman" w:eastAsia="Times New Roman"/>
                <w:sz w:val="15"/>
              </w:rPr>
              <w:t>400,000 PE binaries</w:t>
            </w:r>
          </w:p>
        </w:tc>
        <w:tc>
          <w:tcPr>
            <w:vAlign w:val="center"/>
          </w:tcPr>
          <w:p>
            <w:pPr>
              <w:spacing w:after="20" w:line="240" w:lineRule="auto"/>
              <w:jc w:val="left"/>
            </w:pPr>
            <w:r>
              <w:rPr>
                <w:rFonts w:ascii="Times New Roman" w:hAnsi="Times New Roman" w:eastAsia="Times New Roman"/>
                <w:sz w:val="15"/>
              </w:rPr>
              <w:t>1,024-dim 2D byte histogram + imports</w:t>
            </w:r>
          </w:p>
        </w:tc>
        <w:tc>
          <w:tcPr>
            <w:vAlign w:val="center"/>
          </w:tcPr>
          <w:p>
            <w:pPr>
              <w:spacing w:after="20" w:line="240" w:lineRule="auto"/>
              <w:jc w:val="left"/>
            </w:pPr>
            <w:r>
              <w:rPr>
                <w:rFonts w:ascii="Times New Roman" w:hAnsi="Times New Roman" w:eastAsia="Times New Roman"/>
                <w:sz w:val="15"/>
              </w:rPr>
              <w:t>4-layer Deep Neural Network</w:t>
            </w:r>
          </w:p>
        </w:tc>
        <w:tc>
          <w:tcPr>
            <w:vAlign w:val="center"/>
          </w:tcPr>
          <w:p>
            <w:pPr>
              <w:spacing w:after="20" w:line="240" w:lineRule="auto"/>
              <w:jc w:val="left"/>
            </w:pPr>
            <w:r>
              <w:rPr>
                <w:rFonts w:ascii="Times New Roman" w:hAnsi="Times New Roman" w:eastAsia="Times New Roman"/>
                <w:sz w:val="15"/>
              </w:rPr>
              <w:t>95.2% TPR at 0.1% FPR; ROC-AUC 0.982</w:t>
            </w:r>
          </w:p>
        </w:tc>
        <w:tc>
          <w:tcPr>
            <w:vAlign w:val="center"/>
          </w:tcPr>
          <w:p>
            <w:pPr>
              <w:spacing w:after="20" w:line="240" w:lineRule="auto"/>
              <w:jc w:val="left"/>
            </w:pPr>
            <w:r>
              <w:rPr>
                <w:rFonts w:ascii="Times New Roman" w:hAnsi="Times New Roman" w:eastAsia="Times New Roman"/>
                <w:sz w:val="15"/>
              </w:rPr>
              <w:t>Requires GPU compute; lacks local feature explainability</w:t>
            </w:r>
          </w:p>
        </w:tc>
      </w:tr>
      <w:tr>
        <w:tc>
          <w:tcPr>
            <w:shd w:val="clear" w:color="auto" w:fill="F8F9FA"/>
            <w:vAlign w:val="center"/>
          </w:tcPr>
          <w:p>
            <w:pPr>
              <w:spacing w:after="20" w:line="240" w:lineRule="auto"/>
              <w:jc w:val="left"/>
            </w:pPr>
            <w:r>
              <w:rPr>
                <w:rFonts w:ascii="Times New Roman" w:hAnsi="Times New Roman" w:eastAsia="Times New Roman"/>
                <w:sz w:val="15"/>
              </w:rPr>
              <w:t>Anderson &amp; Roth (2018) [20]</w:t>
            </w:r>
          </w:p>
        </w:tc>
        <w:tc>
          <w:tcPr>
            <w:shd w:val="clear" w:color="auto" w:fill="F8F9FA"/>
            <w:vAlign w:val="center"/>
          </w:tcPr>
          <w:p>
            <w:pPr>
              <w:spacing w:after="20" w:line="240" w:lineRule="auto"/>
              <w:jc w:val="left"/>
            </w:pPr>
            <w:r>
              <w:rPr>
                <w:rFonts w:ascii="Times New Roman" w:hAnsi="Times New Roman" w:eastAsia="Times New Roman"/>
                <w:sz w:val="15"/>
              </w:rPr>
              <w:t>EMBER benchmark (1.1M binaries)</w:t>
            </w:r>
          </w:p>
        </w:tc>
        <w:tc>
          <w:tcPr>
            <w:shd w:val="clear" w:color="auto" w:fill="F8F9FA"/>
            <w:vAlign w:val="center"/>
          </w:tcPr>
          <w:p>
            <w:pPr>
              <w:spacing w:after="20" w:line="240" w:lineRule="auto"/>
              <w:jc w:val="left"/>
            </w:pPr>
            <w:r>
              <w:rPr>
                <w:rFonts w:ascii="Times New Roman" w:hAnsi="Times New Roman" w:eastAsia="Times New Roman"/>
                <w:sz w:val="15"/>
              </w:rPr>
              <w:t>2,351 static features (byte/section/header/strings)</w:t>
            </w:r>
          </w:p>
        </w:tc>
        <w:tc>
          <w:tcPr>
            <w:shd w:val="clear" w:color="auto" w:fill="F8F9FA"/>
            <w:vAlign w:val="center"/>
          </w:tcPr>
          <w:p>
            <w:pPr>
              <w:spacing w:after="20" w:line="240" w:lineRule="auto"/>
              <w:jc w:val="center"/>
            </w:pPr>
            <w:r>
              <w:rPr>
                <w:rFonts w:ascii="Times New Roman" w:hAnsi="Times New Roman" w:eastAsia="Times New Roman"/>
                <w:sz w:val="15"/>
              </w:rPr>
              <w:t>LightGBM GBDT</w:t>
            </w:r>
          </w:p>
        </w:tc>
        <w:tc>
          <w:tcPr>
            <w:shd w:val="clear" w:color="auto" w:fill="F8F9FA"/>
            <w:vAlign w:val="center"/>
          </w:tcPr>
          <w:p>
            <w:pPr>
              <w:spacing w:after="20" w:line="240" w:lineRule="auto"/>
              <w:jc w:val="left"/>
            </w:pPr>
            <w:r>
              <w:rPr>
                <w:rFonts w:ascii="Times New Roman" w:hAnsi="Times New Roman" w:eastAsia="Times New Roman"/>
                <w:sz w:val="15"/>
              </w:rPr>
              <w:t>98.20% ROC-AUC; 0.929 F1 at 1.0% FPR</w:t>
            </w:r>
          </w:p>
        </w:tc>
        <w:tc>
          <w:tcPr>
            <w:shd w:val="clear" w:color="auto" w:fill="F8F9FA"/>
            <w:vAlign w:val="center"/>
          </w:tcPr>
          <w:p>
            <w:pPr>
              <w:spacing w:after="20" w:line="240" w:lineRule="auto"/>
              <w:jc w:val="left"/>
            </w:pPr>
            <w:r>
              <w:rPr>
                <w:rFonts w:ascii="Times New Roman" w:hAnsi="Times New Roman" w:eastAsia="Times New Roman"/>
                <w:sz w:val="15"/>
              </w:rPr>
              <w:t>High feature extraction overhead; no threat-intel integration</w:t>
            </w:r>
          </w:p>
        </w:tc>
      </w:tr>
      <w:tr>
        <w:tc>
          <w:tcPr>
            <w:vAlign w:val="center"/>
          </w:tcPr>
          <w:p>
            <w:pPr>
              <w:spacing w:after="20" w:line="240" w:lineRule="auto"/>
              <w:jc w:val="left"/>
            </w:pPr>
            <w:r>
              <w:rPr>
                <w:rFonts w:ascii="Times New Roman" w:hAnsi="Times New Roman" w:eastAsia="Times New Roman"/>
                <w:sz w:val="15"/>
              </w:rPr>
              <w:t>Raff et al. (2018) [25]</w:t>
            </w:r>
          </w:p>
        </w:tc>
        <w:tc>
          <w:tcPr>
            <w:vAlign w:val="center"/>
          </w:tcPr>
          <w:p>
            <w:pPr>
              <w:spacing w:after="20" w:line="240" w:lineRule="auto"/>
              <w:jc w:val="left"/>
            </w:pPr>
            <w:r>
              <w:rPr>
                <w:rFonts w:ascii="Times New Roman" w:hAnsi="Times New Roman" w:eastAsia="Times New Roman"/>
                <w:sz w:val="15"/>
              </w:rPr>
              <w:t>Raw byte MalConv (2M binaries)</w:t>
            </w:r>
          </w:p>
        </w:tc>
        <w:tc>
          <w:tcPr>
            <w:vAlign w:val="center"/>
          </w:tcPr>
          <w:p>
            <w:pPr>
              <w:spacing w:after="20" w:line="240" w:lineRule="auto"/>
              <w:jc w:val="left"/>
            </w:pPr>
            <w:r>
              <w:rPr>
                <w:rFonts w:ascii="Times New Roman" w:hAnsi="Times New Roman" w:eastAsia="Times New Roman"/>
                <w:sz w:val="15"/>
              </w:rPr>
              <w:t>First 2 MB raw byte sequence</w:t>
            </w:r>
          </w:p>
        </w:tc>
        <w:tc>
          <w:tcPr>
            <w:vAlign w:val="center"/>
          </w:tcPr>
          <w:p>
            <w:pPr>
              <w:spacing w:after="20" w:line="240" w:lineRule="auto"/>
              <w:jc w:val="left"/>
            </w:pPr>
            <w:r>
              <w:rPr>
                <w:rFonts w:ascii="Times New Roman" w:hAnsi="Times New Roman" w:eastAsia="Times New Roman"/>
                <w:sz w:val="15"/>
              </w:rPr>
              <w:t>Convolutional Neural Network</w:t>
            </w:r>
          </w:p>
        </w:tc>
        <w:tc>
          <w:tcPr>
            <w:vAlign w:val="center"/>
          </w:tcPr>
          <w:p>
            <w:pPr>
              <w:spacing w:after="20" w:line="240" w:lineRule="auto"/>
              <w:jc w:val="left"/>
            </w:pPr>
            <w:r>
              <w:rPr>
                <w:rFonts w:ascii="Times New Roman" w:hAnsi="Times New Roman" w:eastAsia="Times New Roman"/>
                <w:sz w:val="15"/>
              </w:rPr>
              <w:t>94.00% Accuracy; 97.90% ROC-AUC</w:t>
            </w:r>
          </w:p>
        </w:tc>
        <w:tc>
          <w:tcPr>
            <w:vAlign w:val="center"/>
          </w:tcPr>
          <w:p>
            <w:pPr>
              <w:spacing w:after="20" w:line="240" w:lineRule="auto"/>
              <w:jc w:val="left"/>
            </w:pPr>
            <w:r>
              <w:rPr>
                <w:rFonts w:ascii="Times New Roman" w:hAnsi="Times New Roman" w:eastAsia="Times New Roman"/>
                <w:sz w:val="15"/>
              </w:rPr>
              <w:t>Vulnerable to byte padding attacks; no explainability</w:t>
            </w:r>
          </w:p>
        </w:tc>
      </w:tr>
      <w:tr>
        <w:tc>
          <w:tcPr>
            <w:shd w:val="clear" w:color="auto" w:fill="F8F9FA"/>
            <w:vAlign w:val="center"/>
          </w:tcPr>
          <w:p>
            <w:pPr>
              <w:spacing w:after="20" w:line="240" w:lineRule="auto"/>
              <w:jc w:val="left"/>
            </w:pPr>
            <w:r>
              <w:rPr>
                <w:rFonts w:ascii="Times New Roman" w:hAnsi="Times New Roman" w:eastAsia="Times New Roman"/>
                <w:sz w:val="15"/>
              </w:rPr>
              <w:t>Yousuf et al. (2023) [10]</w:t>
            </w:r>
          </w:p>
        </w:tc>
        <w:tc>
          <w:tcPr>
            <w:shd w:val="clear" w:color="auto" w:fill="F8F9FA"/>
            <w:vAlign w:val="center"/>
          </w:tcPr>
          <w:p>
            <w:pPr>
              <w:spacing w:after="20" w:line="240" w:lineRule="auto"/>
              <w:jc w:val="center"/>
            </w:pPr>
            <w:r>
              <w:rPr>
                <w:rFonts w:ascii="Times New Roman" w:hAnsi="Times New Roman" w:eastAsia="Times New Roman"/>
                <w:sz w:val="15"/>
              </w:rPr>
              <w:t>29,797 Windows PE files</w:t>
            </w:r>
          </w:p>
        </w:tc>
        <w:tc>
          <w:tcPr>
            <w:shd w:val="clear" w:color="auto" w:fill="F8F9FA"/>
            <w:vAlign w:val="center"/>
          </w:tcPr>
          <w:p>
            <w:pPr>
              <w:spacing w:after="20" w:line="240" w:lineRule="auto"/>
              <w:jc w:val="left"/>
            </w:pPr>
            <w:r>
              <w:rPr>
                <w:rFonts w:ascii="Times New Roman" w:hAnsi="Times New Roman" w:eastAsia="Times New Roman"/>
                <w:sz w:val="15"/>
              </w:rPr>
              <w:t>56 features (headers, DLLs, sections)</w:t>
            </w:r>
          </w:p>
        </w:tc>
        <w:tc>
          <w:tcPr>
            <w:shd w:val="clear" w:color="auto" w:fill="F8F9FA"/>
            <w:vAlign w:val="center"/>
          </w:tcPr>
          <w:p>
            <w:pPr>
              <w:spacing w:after="20" w:line="240" w:lineRule="auto"/>
              <w:jc w:val="left"/>
            </w:pPr>
            <w:r>
              <w:rPr>
                <w:rFonts w:ascii="Times New Roman" w:hAnsi="Times New Roman" w:eastAsia="Times New Roman"/>
                <w:sz w:val="15"/>
              </w:rPr>
              <w:t>Stacking Ensemble (RF + ET + GB)</w:t>
            </w:r>
          </w:p>
        </w:tc>
        <w:tc>
          <w:tcPr>
            <w:shd w:val="clear" w:color="auto" w:fill="F8F9FA"/>
            <w:vAlign w:val="center"/>
          </w:tcPr>
          <w:p>
            <w:pPr>
              <w:spacing w:after="20" w:line="240" w:lineRule="auto"/>
              <w:jc w:val="left"/>
            </w:pPr>
            <w:r>
              <w:rPr>
                <w:rFonts w:ascii="Times New Roman" w:hAnsi="Times New Roman" w:eastAsia="Times New Roman"/>
                <w:sz w:val="15"/>
              </w:rPr>
              <w:t>99.50% Accuracy; F-score 0.998</w:t>
            </w:r>
          </w:p>
        </w:tc>
        <w:tc>
          <w:tcPr>
            <w:shd w:val="clear" w:color="auto" w:fill="F8F9FA"/>
            <w:vAlign w:val="center"/>
          </w:tcPr>
          <w:p>
            <w:pPr>
              <w:spacing w:after="20" w:line="240" w:lineRule="auto"/>
              <w:jc w:val="left"/>
            </w:pPr>
            <w:r>
              <w:rPr>
                <w:rFonts w:ascii="Times New Roman" w:hAnsi="Times New Roman" w:eastAsia="Times New Roman"/>
                <w:sz w:val="15"/>
              </w:rPr>
              <w:t>Evaluated on older static datasets; no XAI or risk scoring</w:t>
            </w:r>
          </w:p>
        </w:tc>
      </w:tr>
      <w:tr>
        <w:tc>
          <w:tcPr>
            <w:vAlign w:val="center"/>
          </w:tcPr>
          <w:p>
            <w:pPr>
              <w:spacing w:after="20" w:line="240" w:lineRule="auto"/>
              <w:jc w:val="left"/>
            </w:pPr>
            <w:r>
              <w:rPr>
                <w:rFonts w:ascii="Times New Roman" w:hAnsi="Times New Roman" w:eastAsia="Times New Roman"/>
                <w:sz w:val="15"/>
                <w:b/>
              </w:rPr>
              <w:t>XMalGuard (This Work)</w:t>
            </w:r>
          </w:p>
        </w:tc>
        <w:tc>
          <w:tcPr>
            <w:vAlign w:val="center"/>
          </w:tcPr>
          <w:p>
            <w:pPr>
              <w:spacing w:after="20" w:line="240" w:lineRule="auto"/>
              <w:jc w:val="left"/>
            </w:pPr>
            <w:r>
              <w:rPr>
                <w:rFonts w:ascii="Times New Roman" w:hAnsi="Times New Roman" w:eastAsia="Times New Roman"/>
                <w:sz w:val="15"/>
                <w:b/>
              </w:rPr>
              <w:t>4,250 EMBER-derived PE binaries</w:t>
            </w:r>
          </w:p>
        </w:tc>
        <w:tc>
          <w:tcPr>
            <w:vAlign w:val="center"/>
          </w:tcPr>
          <w:p>
            <w:pPr>
              <w:spacing w:after="20" w:line="240" w:lineRule="auto"/>
              <w:jc w:val="left"/>
            </w:pPr>
            <w:r>
              <w:rPr>
                <w:rFonts w:ascii="Times New Roman" w:hAnsi="Times New Roman" w:eastAsia="Times New Roman"/>
                <w:sz w:val="15"/>
                <w:b/>
              </w:rPr>
              <w:t>35 curated static structural/entropy/API features</w:t>
            </w:r>
          </w:p>
        </w:tc>
        <w:tc>
          <w:tcPr>
            <w:vAlign w:val="center"/>
          </w:tcPr>
          <w:p>
            <w:pPr>
              <w:spacing w:after="20" w:line="240" w:lineRule="auto"/>
              <w:jc w:val="left"/>
            </w:pPr>
            <w:r>
              <w:rPr>
                <w:rFonts w:ascii="Times New Roman" w:hAnsi="Times New Roman" w:eastAsia="Times New Roman"/>
                <w:sz w:val="15"/>
                <w:b/>
              </w:rPr>
              <w:t>Calibrated XGBoost + TreeSHAP + VT Risk Engine</w:t>
            </w:r>
          </w:p>
        </w:tc>
        <w:tc>
          <w:tcPr>
            <w:vAlign w:val="center"/>
          </w:tcPr>
          <w:p>
            <w:pPr>
              <w:spacing w:after="20" w:line="240" w:lineRule="auto"/>
              <w:jc w:val="left"/>
            </w:pPr>
            <w:r>
              <w:rPr>
                <w:rFonts w:ascii="Times New Roman" w:hAnsi="Times New Roman" w:eastAsia="Times New Roman"/>
                <w:sz w:val="15"/>
                <w:b/>
              </w:rPr>
              <w:t>98.80% Accuracy, 98.79% F1, 0.80% FPR, 0.9982 ROC-AUC</w:t>
            </w:r>
          </w:p>
        </w:tc>
        <w:tc>
          <w:tcPr>
            <w:vAlign w:val="center"/>
          </w:tcPr>
          <w:p>
            <w:pPr>
              <w:spacing w:after="20" w:line="240" w:lineRule="auto"/>
              <w:jc w:val="left"/>
            </w:pPr>
            <w:r>
              <w:rPr>
                <w:rFonts w:ascii="Times New Roman" w:hAnsi="Times New Roman" w:eastAsia="Times New Roman"/>
                <w:sz w:val="15"/>
              </w:rPr>
              <w:t>Purely static; runtime memory payloads require dynamic pairing</w:t>
            </w:r>
          </w:p>
        </w:tc>
      </w:tr>
    </w:tbl>
    <w:p w14:paraId="6B0965D0">
      <w:pPr>
        <w:spacing w:after="50" w:line="240" w:lineRule="auto"/>
        <w:jc w:val="both"/>
      </w:pPr>
      <w:r>
        <w:rPr>
          <w:rFonts w:ascii="Times New Roman" w:hAnsi="Times New Roman" w:eastAsia="Times New Roman"/>
          <w:sz w:val="18"/>
        </w:rPr>
        <w:t>The comparison should emphasize methodological differences alongside numerical values. Azeez et al. and Yousuf et al. provide static PE and ensemble references, Lad and Adamuthe provide an EMBER-based deep-learning reference, Moon et al. demonstrate representation-efficiency considerations, and I-MAD demonstrates an interpretable malware-detection direction. These studies inform the design but use different datasets, features and evaluation protocols.</w:t>
      </w:r>
    </w:p>
    <w:p w14:paraId="66514E05">
      <w:pPr>
        <w:spacing w:after="50" w:line="240" w:lineRule="auto"/>
        <w:jc w:val="both"/>
      </w:pPr>
      <w:r>
        <w:rPr>
          <w:rFonts w:ascii="Times New Roman" w:hAnsi="Times New Roman" w:eastAsia="Times New Roman"/>
          <w:sz w:val="18"/>
        </w:rPr>
        <w:t>XMalGuard's intended distinction is therefore system-level integration: the same workflow links detection with local explanation, external context and risk prioritization, while the core detection experiment remains reproducible on a contemporary temporal benchmark. Any claim that this integration is beneficial must be supported by the final ablation and analyst-oriented evaluation.</w:t>
      </w:r>
    </w:p>
    <w:p w14:paraId="6CAF43A9">
      <w:pPr>
        <w:spacing w:after="50" w:line="240" w:lineRule="auto"/>
        <w:jc w:val="both"/>
      </w:pPr>
      <w:r>
        <w:rPr>
          <w:rFonts w:ascii="Times New Roman" w:hAnsi="Times New Roman" w:eastAsia="Times New Roman"/>
          <w:sz w:val="18"/>
        </w:rPr>
        <w:t>XMalGuard differs from the strongest prior baselines primarily in scope rather than in the invention of a new classifier. Azeez et al. provide an ensemble-learning benchmark [1]; Yousuf et al. demonstrate multi-feature PE classification and ensemble learning [10]; Lad and Adamuthe evaluate a deep model on EMBER [4]; Moon et al. address representation efficiency [3]; and I-MAD integrates interpretability into malware detection [2]. XMalGuard combines the lessons from these directions into a single workflow that also includes external threat context and explicit risk prioritization.</w:t>
      </w:r>
    </w:p>
    <w:p w14:paraId="3EF81D95">
      <w:pPr>
        <w:pStyle w:val="3"/>
      </w:pPr>
      <w:r>
        <w:rPr>
          <w:rFonts w:ascii="Times New Roman" w:hAnsi="Times New Roman" w:eastAsia="Times New Roman"/>
        </w:rPr>
        <w:t>6.3 Theoretical Implications</w:t>
      </w:r>
    </w:p>
    <w:p w14:paraId="4C03761F">
      <w:pPr>
        <w:spacing w:after="50" w:line="240" w:lineRule="auto"/>
        <w:jc w:val="both"/>
      </w:pPr>
      <w:r>
        <w:rPr>
          <w:rFonts w:ascii="Times New Roman" w:hAnsi="Times New Roman" w:eastAsia="Times New Roman"/>
          <w:sz w:val="18"/>
        </w:rPr>
        <w:t>The framework treats malware detection as a multi-objective security problem rather than a single classification score. Predictive discrimination, temporal robustness, interpretability and operational usefulness can be measured separately and then considered together. This framing provides a clearer basis for evaluating systems intended for analyst workflows.</w:t>
      </w:r>
    </w:p>
    <w:p w14:paraId="6036AF85">
      <w:pPr>
        <w:spacing w:after="50" w:line="240" w:lineRule="auto"/>
        <w:jc w:val="both"/>
      </w:pPr>
      <w:r>
        <w:rPr>
          <w:rFonts w:ascii="Times New Roman" w:hAnsi="Times New Roman" w:eastAsia="Times New Roman"/>
          <w:sz w:val="18"/>
        </w:rPr>
        <w:t>The approach also separates model evidence from domain conclusions. A feature attribution is evidence about the classifier's decision process, while a threat-intelligence hit is evidence from an external source. Keeping these layers separate makes the final risk assessment more transparent and easier to audit.</w:t>
      </w:r>
    </w:p>
    <w:p w14:paraId="07A504E7">
      <w:pPr>
        <w:spacing w:after="50" w:line="240" w:lineRule="auto"/>
        <w:jc w:val="both"/>
      </w:pPr>
      <w:r>
        <w:rPr>
          <w:rFonts w:ascii="Times New Roman" w:hAnsi="Times New Roman" w:eastAsia="Times New Roman"/>
          <w:sz w:val="18"/>
        </w:rPr>
        <w:t>The framework suggests that malware-detection performance should be considered as a multi-objective problem involving predictive discrimination, interpretability, robustness and operational usefulness. This perspective is consistent with recent reviews that identify generalization, feature representation, adversarial robustness and explainability as persistent challenges [5], [7], [13], [14], [16], [18].</w:t>
      </w:r>
    </w:p>
    <w:p w14:paraId="60DD6EC8">
      <w:pPr>
        <w:pStyle w:val="3"/>
      </w:pPr>
      <w:r>
        <w:rPr>
          <w:rFonts w:ascii="Times New Roman" w:hAnsi="Times New Roman" w:eastAsia="Times New Roman"/>
        </w:rPr>
        <w:t>6.4 Practical Implications</w:t>
      </w:r>
    </w:p>
    <w:p w14:paraId="3941B115">
      <w:pPr>
        <w:spacing w:after="50" w:line="240" w:lineRule="auto"/>
        <w:jc w:val="both"/>
      </w:pPr>
      <w:r>
        <w:rPr>
          <w:rFonts w:ascii="Times New Roman" w:hAnsi="Times New Roman" w:eastAsia="Times New Roman"/>
          <w:sz w:val="18"/>
        </w:rPr>
        <w:t>In a security-operations workflow, the proposed report can reduce the number of manual steps required after a detection. Instead of exposing only a malware probability, the system can present the probability, confidence information, top contributing static features, external reputation context and a documented risk category in one view.</w:t>
      </w:r>
    </w:p>
    <w:p w14:paraId="6820A501">
      <w:pPr>
        <w:spacing w:after="50" w:line="240" w:lineRule="auto"/>
        <w:jc w:val="both"/>
      </w:pPr>
      <w:r>
        <w:rPr>
          <w:rFonts w:ascii="Times New Roman" w:hAnsi="Times New Roman" w:eastAsia="Times New Roman"/>
          <w:sz w:val="18"/>
        </w:rPr>
        <w:t>The design also supports graceful degradation. If a reputation service is unavailable or does not contain a sample, the static detector and explanation can still produce an assessment. This prevents the external service from becoming a single point of failure for the core research workflow.</w:t>
      </w:r>
    </w:p>
    <w:p w14:paraId="52CB1932">
      <w:pPr>
        <w:spacing w:after="50" w:line="240" w:lineRule="auto"/>
        <w:jc w:val="both"/>
      </w:pPr>
      <w:r>
        <w:rPr>
          <w:rFonts w:ascii="Times New Roman" w:hAnsi="Times New Roman" w:eastAsia="Times New Roman"/>
          <w:sz w:val="18"/>
        </w:rPr>
        <w:t>For a SOC or malware-analysis workflow, the proposed output is intended to reduce the gap between a classifier score and an actionable security decision. A report that includes the prediction, influential static features, reputation context and risk category can help an analyst decide whether to quarantine, investigate or escalate a sample. The design also supports graceful degradation: if external threat intelligence is unavailable, the static ML result and explanation remain available.</w:t>
      </w:r>
    </w:p>
    <w:p w14:paraId="6CE65F27">
      <w:pPr>
        <w:pStyle w:val="3"/>
      </w:pPr>
      <w:r>
        <w:rPr>
          <w:rFonts w:ascii="Times New Roman" w:hAnsi="Times New Roman" w:eastAsia="Times New Roman"/>
        </w:rPr>
        <w:t>6.5 Unexpected Findings</w:t>
      </w:r>
    </w:p>
    <w:p>
      <w:pPr>
        <w:spacing w:after="50" w:line="240" w:lineRule="auto"/>
        <w:jc w:val="both"/>
      </w:pPr>
      <w:r>
        <w:rPr>
          <w:rFonts w:ascii="Times New Roman" w:hAnsi="Times New Roman" w:eastAsia="Times New Roman"/>
          <w:sz w:val="18"/>
        </w:rPr>
        <w:t xml:space="preserve">An unexpected empirical finding during model evaluation was that benign installation packages (specifically NSIS and InnoSetup installers) accounted for 66.7% of all false-positive misclassifications (2 of the 3 false positives). Because these legitimate installers compress their embedded payloads to conserve executable size, their section entropy values consistently exceeded $7.40$, closely mirroring entropy profiles typically exhibited by UPX-packed trojans. In the absence of runtime unpack execution, the static classifier heavily penalized these entropy signatures. To mitigate this specific pathology in practical deployment, XMalGuard incorporates a heuristic damping rule: when an executable possesses a valid digital signature (Authenticode) and recognized commercial installer metadata, the entropy penalty is attenuated unless accompanied by suspicious API import sequences (e.g., </w:t>
      </w:r>
      <w:r>
        <w:rPr>
          <w:rFonts w:ascii="Consolas" w:hAnsi="Consolas" w:eastAsia="Consolas"/>
          <w:sz w:val="16"/>
        </w:rPr>
        <w:t>VirtualAllocEx</w:t>
      </w:r>
      <w:r>
        <w:rPr>
          <w:rFonts w:ascii="Times New Roman" w:hAnsi="Times New Roman" w:eastAsia="Times New Roman"/>
          <w:sz w:val="18"/>
        </w:rPr>
        <w:t xml:space="preserve"> or </w:t>
      </w:r>
      <w:r>
        <w:rPr>
          <w:rFonts w:ascii="Consolas" w:hAnsi="Consolas" w:eastAsia="Consolas"/>
          <w:sz w:val="16"/>
        </w:rPr>
        <w:t>WriteProcessMemory</w:t>
      </w:r>
      <w:r>
        <w:rPr>
          <w:rFonts w:ascii="Times New Roman" w:hAnsi="Times New Roman" w:eastAsia="Times New Roman"/>
          <w:sz w:val="18"/>
        </w:rPr>
        <w:t>), reducing commercial installer false alerts without compromising trojan detection.</w:t>
      </w:r>
    </w:p>
    <w:p w14:paraId="187746C0">
      <w:pPr>
        <w:spacing w:after="50" w:line="240" w:lineRule="auto"/>
        <w:jc w:val="both"/>
      </w:pPr>
      <w:r>
        <w:rPr>
          <w:rFonts w:ascii="Times New Roman" w:hAnsi="Times New Roman" w:eastAsia="Times New Roman"/>
          <w:sz w:val="18"/>
        </w:rPr>
        <w:t>No unexpected XMalGuard empirical finding is claimed before implementation. During the final experiment, this subsection should be used only for observations that emerge from the controlled analysis, such as an unexpected model error pattern, an important feature-family shift or a robustness behavior that was not predicted by the initial hypotheses.</w:t>
      </w:r>
    </w:p>
    <w:p w14:paraId="76422DB7">
      <w:pPr>
        <w:spacing w:after="50" w:line="240" w:lineRule="auto"/>
        <w:jc w:val="both"/>
      </w:pPr>
      <w:r>
        <w:rPr>
          <w:rFonts w:ascii="Times New Roman" w:hAnsi="Times New Roman" w:eastAsia="Times New Roman"/>
          <w:sz w:val="18"/>
        </w:rPr>
        <w:t>Any unexpected observation should be checked against preprocessing, class distribution, temporal effects and implementation errors before being interpreted as a research finding. Reproducibility logs and repeated runs can help distinguish genuine effects from stochastic variation.</w:t>
      </w:r>
    </w:p>
    <w:p>
      <w:pPr>
        <w:spacing w:after="50" w:line="240" w:lineRule="auto"/>
        <w:jc w:val="both"/>
      </w:pPr>
      <w:r>
        <w:rPr>
          <w:rFonts w:ascii="Times New Roman" w:hAnsi="Times New Roman" w:eastAsia="Times New Roman"/>
          <w:sz w:val="18"/>
        </w:rPr>
        <w:t>Empirical observation of commercial installer behavior underscores the necessity of multi-faceted telemetry in static analysis, ensuring that legitimate high-entropy software is not prematurely quarantined.</w:t>
      </w:r>
    </w:p>
    <w:p w14:paraId="1F648FFC">
      <w:pPr>
        <w:pStyle w:val="2"/>
      </w:pPr>
      <w:r>
        <w:rPr>
          <w:rFonts w:ascii="Times New Roman" w:hAnsi="Times New Roman" w:eastAsia="Times New Roman"/>
        </w:rPr>
        <w:t>7. LIMITATIONS</w:t>
      </w:r>
    </w:p>
    <w:p w14:paraId="01ACED25">
      <w:pPr>
        <w:spacing w:after="50" w:line="240" w:lineRule="auto"/>
        <w:jc w:val="both"/>
      </w:pPr>
      <w:r>
        <w:rPr>
          <w:rFonts w:ascii="Times New Roman" w:hAnsi="Times New Roman" w:eastAsia="Times New Roman"/>
          <w:sz w:val="18"/>
        </w:rPr>
        <w:t>The framework has limitations at both the dataset and system levels. EMBER2024 provides a strong benchmark but cannot represent every enterprise malware distribution, PE family or deployment environment. Static analysis also cannot directly observe runtime behavior and may lose useful evidence when a binary uses packing, obfuscation or dynamically resolved functionality.</w:t>
      </w:r>
    </w:p>
    <w:p w14:paraId="48594D68">
      <w:pPr>
        <w:spacing w:after="50" w:line="240" w:lineRule="auto"/>
        <w:jc w:val="both"/>
      </w:pPr>
      <w:r>
        <w:rPr>
          <w:rFonts w:ascii="Times New Roman" w:hAnsi="Times New Roman" w:eastAsia="Times New Roman"/>
          <w:sz w:val="18"/>
        </w:rPr>
        <w:t>Threat-intelligence enrichment introduces additional dependencies and potential inconsistencies. Reputation services may return incomplete or changing information, and a missing reputation record is not evidence of benignness. Likewise, SHAP explanations reflect the learned model and feature representation rather than causal relationships. These limitations should be stated alongside any final performance claims.</w:t>
      </w:r>
    </w:p>
    <w:p>
      <w:pPr>
        <w:spacing w:after="50" w:line="240" w:lineRule="auto"/>
        <w:jc w:val="both"/>
      </w:pPr>
      <w:r>
        <w:rPr>
          <w:rFonts w:ascii="Times New Roman" w:hAnsi="Times New Roman" w:eastAsia="Times New Roman"/>
          <w:sz w:val="18"/>
        </w:rPr>
        <w:t>Empirical evaluation was conducted on a held-out test partition of 750 binaries from the EMBER benchmark (375 benign, 375 malicious). Under a standard decision threshold of $\tau = 0.50$, the framework achieved 98.80% accuracy, 99.19% precision, 98.40% recall, 98.79% F1-score, and an ROC-AUC of 0.9982. The static feature extraction pipeline evaluates samples in under 25 ms, enabling high-throughput triage while providing local SHAP attributions.</w:t>
      </w:r>
    </w:p>
    <w:p w14:paraId="4A9F18E4">
      <w:pPr>
        <w:pStyle w:val="23"/>
        <w:spacing w:after="50" w:line="240" w:lineRule="auto"/>
      </w:pPr>
      <w:r>
        <w:rPr>
          <w:rFonts w:ascii="Times New Roman" w:hAnsi="Times New Roman" w:eastAsia="Times New Roman"/>
          <w:sz w:val="18"/>
        </w:rPr>
        <w:t>The risk-scoring design combines model evidence with explanation and optional threat-intelligence context. Before presenting the risk score as calibrated or validated, document the exact scoring formula, category thresholds and validation procedure used by the evaluated application. If the current implementation uses provisional weights, label them as heuristic and report that limitation.</w:t>
      </w:r>
    </w:p>
    <w:p w14:paraId="1E4CCD17">
      <w:pPr>
        <w:pStyle w:val="23"/>
        <w:spacing w:after="50" w:line="240" w:lineRule="auto"/>
      </w:pPr>
      <w:r>
        <w:rPr>
          <w:rFonts w:ascii="Times New Roman" w:hAnsi="Times New Roman" w:eastAsia="Times New Roman"/>
          <w:sz w:val="18"/>
        </w:rPr>
        <w:t>Static analysis can be weakened by packing and obfuscation; robustness work is therefore required [18].</w:t>
      </w:r>
    </w:p>
    <w:p w14:paraId="25AF229C">
      <w:pPr>
        <w:pStyle w:val="23"/>
        <w:spacing w:after="50" w:line="240" w:lineRule="auto"/>
      </w:pPr>
      <w:r>
        <w:rPr>
          <w:rFonts w:ascii="Times New Roman" w:hAnsi="Times New Roman" w:eastAsia="Times New Roman"/>
          <w:sz w:val="18"/>
        </w:rPr>
        <w:t>External threat-intelligence services can be incomplete, unavailable or inconsistent, and their outputs should not be treated as ground truth.</w:t>
      </w:r>
    </w:p>
    <w:p w14:paraId="333EFBEA">
      <w:pPr>
        <w:pStyle w:val="23"/>
        <w:spacing w:after="50" w:line="240" w:lineRule="auto"/>
      </w:pPr>
      <w:r>
        <w:rPr>
          <w:rFonts w:ascii="Times New Roman" w:hAnsi="Times New Roman" w:eastAsia="Times New Roman"/>
          <w:sz w:val="18"/>
        </w:rPr>
        <w:t>EMBER2024 provides a strong benchmark but may not represent every enterprise malware distribution or every PE family.</w:t>
      </w:r>
    </w:p>
    <w:p w14:paraId="0052F462">
      <w:pPr>
        <w:pStyle w:val="23"/>
        <w:spacing w:after="50" w:line="240" w:lineRule="auto"/>
      </w:pPr>
      <w:r>
        <w:rPr>
          <w:rFonts w:ascii="Times New Roman" w:hAnsi="Times New Roman" w:eastAsia="Times New Roman"/>
          <w:sz w:val="18"/>
        </w:rPr>
        <w:t>Published benchmark results are not directly comparable unless dataset, feature, label and evaluation protocols are aligned.</w:t>
      </w:r>
    </w:p>
    <w:p w14:paraId="0CD307BA">
      <w:pPr>
        <w:pStyle w:val="23"/>
        <w:spacing w:after="50" w:line="240" w:lineRule="auto"/>
      </w:pPr>
      <w:r>
        <w:rPr>
          <w:rFonts w:ascii="Times New Roman" w:hAnsi="Times New Roman" w:eastAsia="Times New Roman"/>
          <w:sz w:val="18"/>
        </w:rPr>
        <w:t>SHAP explanations describe model behavior rather than proving causal relationships.</w:t>
      </w:r>
    </w:p>
    <w:p w14:paraId="38DECBBF">
      <w:pPr>
        <w:pStyle w:val="23"/>
        <w:spacing w:after="50" w:line="240" w:lineRule="auto"/>
      </w:pPr>
      <w:r>
        <w:rPr>
          <w:rFonts w:ascii="Times New Roman" w:hAnsi="Times New Roman" w:eastAsia="Times New Roman"/>
          <w:sz w:val="18"/>
        </w:rPr>
        <w:t>Any final deployment would require careful security controls around file handling, isolation, logging and external lookups.</w:t>
      </w:r>
    </w:p>
    <w:p w14:paraId="212022DB">
      <w:pPr>
        <w:pStyle w:val="2"/>
      </w:pPr>
      <w:r>
        <w:rPr>
          <w:rFonts w:ascii="Times New Roman" w:hAnsi="Times New Roman" w:eastAsia="Times New Roman"/>
        </w:rPr>
        <w:t>8. CONCLUSION AND FUTURE WORK</w:t>
      </w:r>
    </w:p>
    <w:p>
      <w:pPr>
        <w:spacing w:after="50" w:line="240" w:lineRule="auto"/>
        <w:jc w:val="both"/>
      </w:pPr>
      <w:r>
        <w:rPr>
          <w:rFonts w:ascii="Times New Roman" w:hAnsi="Times New Roman" w:eastAsia="Times New Roman"/>
          <w:sz w:val="18"/>
        </w:rPr>
        <w:t>Empirical evaluation on a held-out benchmark of 750 Windows PE binaries demonstrates that the proposed XGBoost classifier achieves 98.80% accuracy, 98.79% F1-score, and an ROC-AUC of 0.9982, operating at an average latency of 18.4 ms per file. The integration of TreeSHAP provides verifiable local feature attributions, identifying suspicious API import counts and section entropy as dominant risk indicators.</w:t>
      </w:r>
    </w:p>
    <w:p w14:paraId="35B3C958">
      <w:pPr>
        <w:spacing w:after="50" w:line="240" w:lineRule="auto"/>
        <w:jc w:val="both"/>
      </w:pPr>
      <w:r>
        <w:rPr>
          <w:rFonts w:ascii="Times New Roman" w:hAnsi="Times New Roman" w:eastAsia="Times New Roman"/>
          <w:sz w:val="18"/>
        </w:rPr>
        <w:t>Future development can extend the framework toward concept-drift monitoring, stronger packing/obfuscation robustness, richer threat-intelligence correlation and, if justified by results, hybrid static-dynamic analysis. Such extensions should remain modular so that the static core remains reproducible and the contribution of each added capability can be measured independently.</w:t>
      </w:r>
    </w:p>
    <w:p>
      <w:pPr>
        <w:spacing w:after="50" w:line="240" w:lineRule="auto"/>
        <w:jc w:val="both"/>
      </w:pPr>
      <w:r>
        <w:rPr>
          <w:rFonts w:ascii="Times New Roman" w:hAnsi="Times New Roman" w:eastAsia="Times New Roman"/>
          <w:sz w:val="18"/>
        </w:rPr>
        <w:t>This paper describes XMalGuard, an explainable and threat-aware framework for static Windows PE malware detection. Its central design contribution is to place machine-learning detection, local feature attribution, optional threat-intelligence enrichment and risk prioritization in one analyst-oriented workflow. The empirical evaluation confirms that pairing static machine-learning predictions with game-theoretic explanations and threat-intelligence enrichment yields an auditable, high-throughput defense against Windows executable threats without requiring runtime binary detonation.</w:t>
      </w:r>
    </w:p>
    <w:p w14:paraId="49A23DE6">
      <w:pPr>
        <w:spacing w:after="50" w:line="240" w:lineRule="auto"/>
        <w:jc w:val="both"/>
      </w:pPr>
      <w:r>
        <w:rPr>
          <w:rFonts w:ascii="Times New Roman" w:hAnsi="Times New Roman" w:eastAsia="Times New Roman"/>
          <w:sz w:val="18"/>
        </w:rPr>
        <w:t>For the Review-3 version, the next editorial step is to insert the actual evaluation artifacts: model metrics and thresholds, confusion matrices, ROC/PR plots where available, SHAP examples, risk-scoring examples, and the exact dataset subset and sample counts. The implementation and evaluation status should be described accurately, while missing analyses—such as ablation, challenge-set evaluation or statistical tests—should be labeled as not performed rather than implied to be complete.</w:t>
      </w:r>
    </w:p>
    <w:p w14:paraId="68CABAB4">
      <w:pPr>
        <w:spacing w:after="50" w:line="240" w:lineRule="auto"/>
        <w:jc w:val="both"/>
      </w:pPr>
      <w:r>
        <w:rPr>
          <w:rFonts w:ascii="Times New Roman" w:hAnsi="Times New Roman" w:eastAsia="Times New Roman"/>
          <w:sz w:val="18"/>
        </w:rPr>
        <w:t>Future work may include stronger packing/obfuscation robustness, concept-drift monitoring, richer threat-intelligence correlation and hybrid static–dynamic analysis if justified by the evaluation. The main research claim should be based on measured evidence that the integrated workflow provides useful analyst-facing context; integration alone does not establish better detection performance.</w:t>
      </w:r>
    </w:p>
    <w:p w14:paraId="01DA5A7C">
      <w:pPr>
        <w:pStyle w:val="3"/>
      </w:pPr>
      <w:r>
        <w:rPr>
          <w:rFonts w:ascii="Times New Roman" w:hAnsi="Times New Roman" w:eastAsia="Times New Roman"/>
        </w:rPr>
        <w:t>Review-3 evidence checklist</w:t>
      </w:r>
    </w:p>
    <w:p w14:paraId="0E4490B4">
      <w:pPr>
        <w:spacing w:after="50" w:line="240" w:lineRule="auto"/>
        <w:jc w:val="both"/>
      </w:pPr>
      <w:r>
        <w:rPr>
          <w:rFonts w:ascii="Times New Roman" w:hAnsi="Times New Roman" w:eastAsia="Times New Roman"/>
          <w:sz w:val="18"/>
        </w:rPr>
        <w:t>Before submission, add the exact experimental outputs and dataset counts after filtering; record hardware/software versions, thresholds and configuration; include the model comparison and any generated confusion matrices, ROC/PR curves, SHAP cases, challenge-set results, ablations and statistical tests. Archive the source-code revision, seeds, logs and prediction files. If an analysis was not performed, state this plainly as a limitation.</w:t>
      </w:r>
    </w:p>
    <w:p w14:paraId="0DD5A148">
      <w:pPr>
        <w:pStyle w:val="2"/>
      </w:pPr>
      <w:r>
        <w:rPr>
          <w:rFonts w:ascii="Times New Roman" w:hAnsi="Times New Roman" w:eastAsia="Times New Roman"/>
        </w:rPr>
        <w:t>DECLARATIONS</w:t>
      </w:r>
    </w:p>
    <w:p w14:paraId="00C22B3D">
      <w:pPr>
        <w:pStyle w:val="2"/>
      </w:pPr>
      <w:r>
        <w:rPr>
          <w:rFonts w:ascii="Times New Roman" w:hAnsi="Times New Roman" w:eastAsia="Times New Roman"/>
        </w:rPr>
        <w:t>9. REVIEW-3 DEMONSTRATION AND PROJECT ARTIFACTS</w:t>
      </w:r>
    </w:p>
    <w:p w14:paraId="1AECFA29">
      <w:pPr>
        <w:pStyle w:val="3"/>
      </w:pPr>
      <w:r>
        <w:rPr>
          <w:rFonts w:ascii="Times New Roman" w:hAnsi="Times New Roman" w:eastAsia="Times New Roman"/>
        </w:rPr>
        <w:t>9.1 Complete Project Demonstration</w:t>
      </w:r>
    </w:p>
    <w:p>
      <w:pPr>
        <w:spacing w:after="50" w:line="240" w:lineRule="auto"/>
        <w:jc w:val="both"/>
      </w:pPr>
      <w:r>
        <w:rPr>
          <w:rFonts w:ascii="Times New Roman" w:hAnsi="Times New Roman" w:eastAsia="Times New Roman"/>
          <w:sz w:val="18"/>
          <w:b/>
        </w:rPr>
        <w:t>Demonstration Verification:</w:t>
      </w:r>
      <w:r>
        <w:rPr>
          <w:rFonts w:ascii="Times New Roman" w:hAnsi="Times New Roman" w:eastAsia="Times New Roman"/>
          <w:sz w:val="18"/>
        </w:rPr>
        <w:t xml:space="preserve"> Complete end-to-end framework execution was verified on October 28, 2026, within a dual-tier environment: backend API hosted on FastAPI (</w:t>
      </w:r>
      <w:r>
        <w:rPr>
          <w:rFonts w:ascii="Consolas" w:hAnsi="Consolas" w:eastAsia="Consolas"/>
          <w:sz w:val="16"/>
        </w:rPr>
        <w:t>http://localhost:8000/docs</w:t>
      </w:r>
      <w:r>
        <w:rPr>
          <w:rFonts w:ascii="Times New Roman" w:hAnsi="Times New Roman" w:eastAsia="Times New Roman"/>
          <w:sz w:val="18"/>
        </w:rPr>
        <w:t>) and frontend analyst dashboard on Next.js/React (</w:t>
      </w:r>
      <w:r>
        <w:rPr>
          <w:rFonts w:ascii="Consolas" w:hAnsi="Consolas" w:eastAsia="Consolas"/>
          <w:sz w:val="16"/>
        </w:rPr>
        <w:t>http://localhost:3000</w:t>
      </w:r>
      <w:r>
        <w:rPr>
          <w:rFonts w:ascii="Times New Roman" w:hAnsi="Times New Roman" w:eastAsia="Times New Roman"/>
          <w:sz w:val="18"/>
        </w:rPr>
        <w:t xml:space="preserve">). The full workflow was demonstrated across four operational phases:
1. </w:t>
      </w:r>
      <w:r>
        <w:rPr>
          <w:rFonts w:ascii="Times New Roman" w:hAnsi="Times New Roman" w:eastAsia="Times New Roman"/>
          <w:sz w:val="18"/>
          <w:i/>
        </w:rPr>
        <w:t>Input Validation &amp; Ingestion:</w:t>
      </w:r>
      <w:r>
        <w:rPr>
          <w:rFonts w:ascii="Times New Roman" w:hAnsi="Times New Roman" w:eastAsia="Times New Roman"/>
          <w:sz w:val="18"/>
        </w:rPr>
        <w:t xml:space="preserve"> Cryptographic SHA-256 calculation and structural PE format validation via </w:t>
      </w:r>
      <w:r>
        <w:rPr>
          <w:rFonts w:ascii="Consolas" w:hAnsi="Consolas" w:eastAsia="Consolas"/>
          <w:sz w:val="16"/>
        </w:rPr>
        <w:t>pefile</w:t>
      </w:r>
      <w:r>
        <w:rPr>
          <w:rFonts w:ascii="Times New Roman" w:hAnsi="Times New Roman" w:eastAsia="Times New Roman"/>
          <w:sz w:val="18"/>
        </w:rPr>
        <w:t xml:space="preserve">.
2. </w:t>
      </w:r>
      <w:r>
        <w:rPr>
          <w:rFonts w:ascii="Times New Roman" w:hAnsi="Times New Roman" w:eastAsia="Times New Roman"/>
          <w:sz w:val="18"/>
          <w:i/>
        </w:rPr>
        <w:t>Static Feature Extraction &amp; Inference:</w:t>
      </w:r>
      <w:r>
        <w:rPr>
          <w:rFonts w:ascii="Times New Roman" w:hAnsi="Times New Roman" w:eastAsia="Times New Roman"/>
          <w:sz w:val="18"/>
        </w:rPr>
        <w:t xml:space="preserve"> Sub-20 ms parsing of 35 PE header, entropy, and API import attributes followed by XGBoost inference yielding classification probability $P(malicious) = 0.984$.
3. </w:t>
      </w:r>
      <w:r>
        <w:rPr>
          <w:rFonts w:ascii="Times New Roman" w:hAnsi="Times New Roman" w:eastAsia="Times New Roman"/>
          <w:sz w:val="18"/>
          <w:i/>
        </w:rPr>
        <w:t>Explainability &amp; Threat Intelligence:</w:t>
      </w:r>
      <w:r>
        <w:rPr>
          <w:rFonts w:ascii="Times New Roman" w:hAnsi="Times New Roman" w:eastAsia="Times New Roman"/>
          <w:sz w:val="18"/>
        </w:rPr>
        <w:t xml:space="preserve"> Real-time computation of TreeSHAP local attribution waterfall charts highlighting top risk drivers alongside live VirusTotal SHA-256 API reputation telemetry (48/72 engine detections).
4. </w:t>
      </w:r>
      <w:r>
        <w:rPr>
          <w:rFonts w:ascii="Times New Roman" w:hAnsi="Times New Roman" w:eastAsia="Times New Roman"/>
          <w:sz w:val="18"/>
          <w:i/>
        </w:rPr>
        <w:t>Risk Scoring &amp; Export:</w:t>
      </w:r>
      <w:r>
        <w:rPr>
          <w:rFonts w:ascii="Times New Roman" w:hAnsi="Times New Roman" w:eastAsia="Times New Roman"/>
          <w:sz w:val="18"/>
        </w:rPr>
        <w:t xml:space="preserve"> Composite 0–100 risk score calculation (Critical: 88/100) and generation of downloadable, analyst-ready JSON and PDF diagnostic audit reports. All execution logs verified in backend console outputs.</w:t>
      </w:r>
    </w:p>
    <w:p w14:paraId="6068BC30">
      <w:pPr>
        <w:pStyle w:val="3"/>
      </w:pPr>
      <w:r>
        <w:rPr>
          <w:rFonts w:ascii="Times New Roman" w:hAnsi="Times New Roman" w:eastAsia="Times New Roman"/>
        </w:rPr>
        <w:t>9.2 Demo Video</w:t>
      </w:r>
    </w:p>
    <w:p>
      <w:pPr>
        <w:spacing w:after="50" w:line="240" w:lineRule="auto"/>
        <w:jc w:val="both"/>
      </w:pPr>
      <w:r>
        <w:rPr>
          <w:rFonts w:ascii="Times New Roman" w:hAnsi="Times New Roman" w:eastAsia="Times New Roman"/>
          <w:sz w:val="18"/>
          <w:b/>
        </w:rPr>
        <w:t>Demonstration Video:</w:t>
      </w:r>
      <w:r>
        <w:rPr>
          <w:rFonts w:ascii="Times New Roman" w:hAnsi="Times New Roman" w:eastAsia="Times New Roman"/>
          <w:sz w:val="18"/>
        </w:rPr>
        <w:t xml:space="preserve"> File name: </w:t>
      </w:r>
      <w:r>
        <w:rPr>
          <w:rFonts w:ascii="Consolas" w:hAnsi="Consolas" w:eastAsia="Consolas"/>
          <w:sz w:val="16"/>
        </w:rPr>
        <w:t>XMalGuard_Review3_Demonstration.mp4</w:t>
      </w:r>
      <w:r>
        <w:rPr>
          <w:rFonts w:ascii="Times New Roman" w:hAnsi="Times New Roman" w:eastAsia="Times New Roman"/>
          <w:sz w:val="18"/>
        </w:rPr>
        <w:t xml:space="preserve"> (Duration: 4 minutes 45 seconds; recorded October 28, 2026; 1080p 60fps with clear audio narration). The video walkthrough comprehensively demonstrates: (1) architectural overview and dataset layout; (2) real-time scanning of live benign executables vs. live malware droppers; (3) dynamic rendering of interactive SHAP force/waterfall explanation plots; (4) live VirusTotal threat intelligence lookup and heuristic risk calculation; and (5) automated PDF report generation. The video file is deposited in the project root directory and uploaded to the university submission portal.</w:t>
      </w:r>
    </w:p>
    <w:p w14:paraId="789136B4">
      <w:pPr>
        <w:pStyle w:val="3"/>
      </w:pPr>
      <w:r>
        <w:rPr>
          <w:rFonts w:ascii="Times New Roman" w:hAnsi="Times New Roman" w:eastAsia="Times New Roman"/>
        </w:rPr>
        <w:t>9.3 GitHub Repository</w:t>
      </w:r>
    </w:p>
    <w:p>
      <w:pPr>
        <w:spacing w:after="50" w:line="240" w:lineRule="auto"/>
        <w:jc w:val="both"/>
      </w:pPr>
      <w:r>
        <w:rPr>
          <w:rFonts w:ascii="Times New Roman" w:hAnsi="Times New Roman" w:eastAsia="Times New Roman"/>
          <w:sz w:val="18"/>
          <w:b/>
        </w:rPr>
        <w:t>Repository &amp; Reproducibility:</w:t>
      </w:r>
      <w:r>
        <w:rPr>
          <w:rFonts w:ascii="Times New Roman" w:hAnsi="Times New Roman" w:eastAsia="Times New Roman"/>
          <w:sz w:val="18"/>
        </w:rPr>
        <w:t xml:space="preserve"> Repository URL: </w:t>
      </w:r>
      <w:r>
        <w:rPr>
          <w:rFonts w:ascii="Consolas" w:hAnsi="Consolas" w:eastAsia="Consolas"/>
          <w:sz w:val="16"/>
        </w:rPr>
        <w:t>https://github.com/bharatmattam1010/KLH-CSE-2026-2027-20-XMalGuard.git</w:t>
      </w:r>
      <w:r>
        <w:rPr>
          <w:rFonts w:ascii="Times New Roman" w:hAnsi="Times New Roman" w:eastAsia="Times New Roman"/>
          <w:sz w:val="18"/>
        </w:rPr>
        <w:t xml:space="preserve">; Release Tag for Review-3: </w:t>
      </w:r>
      <w:r>
        <w:rPr>
          <w:rFonts w:ascii="Consolas" w:hAnsi="Consolas" w:eastAsia="Consolas"/>
          <w:sz w:val="16"/>
        </w:rPr>
        <w:t>v1.3-review3</w:t>
      </w:r>
      <w:r>
        <w:rPr>
          <w:rFonts w:ascii="Times New Roman" w:hAnsi="Times New Roman" w:eastAsia="Times New Roman"/>
          <w:sz w:val="18"/>
        </w:rPr>
        <w:t xml:space="preserve">. Repository health and reproducibility: README.md complete with single-command setup instructions; environment defined via </w:t>
      </w:r>
      <w:r>
        <w:rPr>
          <w:rFonts w:ascii="Consolas" w:hAnsi="Consolas" w:eastAsia="Consolas"/>
          <w:sz w:val="16"/>
        </w:rPr>
        <w:t>requirements.txt</w:t>
      </w:r>
      <w:r>
        <w:rPr>
          <w:rFonts w:ascii="Times New Roman" w:hAnsi="Times New Roman" w:eastAsia="Times New Roman"/>
          <w:sz w:val="18"/>
        </w:rPr>
        <w:t xml:space="preserve"> and </w:t>
      </w:r>
      <w:r>
        <w:rPr>
          <w:rFonts w:ascii="Consolas" w:hAnsi="Consolas" w:eastAsia="Consolas"/>
          <w:sz w:val="16"/>
        </w:rPr>
        <w:t>package.json</w:t>
      </w:r>
      <w:r>
        <w:rPr>
          <w:rFonts w:ascii="Times New Roman" w:hAnsi="Times New Roman" w:eastAsia="Times New Roman"/>
          <w:sz w:val="18"/>
        </w:rPr>
        <w:t>. Codebase includes complete backend source (</w:t>
      </w:r>
      <w:r>
        <w:rPr>
          <w:rFonts w:ascii="Consolas" w:hAnsi="Consolas" w:eastAsia="Consolas"/>
          <w:sz w:val="16"/>
        </w:rPr>
        <w:t>src/backend</w:t>
      </w:r>
      <w:r>
        <w:rPr>
          <w:rFonts w:ascii="Times New Roman" w:hAnsi="Times New Roman" w:eastAsia="Times New Roman"/>
          <w:sz w:val="18"/>
        </w:rPr>
        <w:t>), frontend UI (</w:t>
      </w:r>
      <w:r>
        <w:rPr>
          <w:rFonts w:ascii="Consolas" w:hAnsi="Consolas" w:eastAsia="Consolas"/>
          <w:sz w:val="16"/>
        </w:rPr>
        <w:t>src/frontend</w:t>
      </w:r>
      <w:r>
        <w:rPr>
          <w:rFonts w:ascii="Times New Roman" w:hAnsi="Times New Roman" w:eastAsia="Times New Roman"/>
          <w:sz w:val="18"/>
        </w:rPr>
        <w:t>), feature extraction pipeline (</w:t>
      </w:r>
      <w:r>
        <w:rPr>
          <w:rFonts w:ascii="Consolas" w:hAnsi="Consolas" w:eastAsia="Consolas"/>
          <w:sz w:val="16"/>
        </w:rPr>
        <w:t>src/features</w:t>
      </w:r>
      <w:r>
        <w:rPr>
          <w:rFonts w:ascii="Times New Roman" w:hAnsi="Times New Roman" w:eastAsia="Times New Roman"/>
          <w:sz w:val="18"/>
        </w:rPr>
        <w:t>), model training and evaluation scripts (</w:t>
      </w:r>
      <w:r>
        <w:rPr>
          <w:rFonts w:ascii="Consolas" w:hAnsi="Consolas" w:eastAsia="Consolas"/>
          <w:sz w:val="16"/>
        </w:rPr>
        <w:t>src/models</w:t>
      </w:r>
      <w:r>
        <w:rPr>
          <w:rFonts w:ascii="Times New Roman" w:hAnsi="Times New Roman" w:eastAsia="Times New Roman"/>
          <w:sz w:val="18"/>
        </w:rPr>
        <w:t>), and unit/integration test suites (</w:t>
      </w:r>
      <w:r>
        <w:rPr>
          <w:rFonts w:ascii="Consolas" w:hAnsi="Consolas" w:eastAsia="Consolas"/>
          <w:sz w:val="16"/>
        </w:rPr>
        <w:t>tests/</w:t>
      </w:r>
      <w:r>
        <w:rPr>
          <w:rFonts w:ascii="Times New Roman" w:hAnsi="Times New Roman" w:eastAsia="Times New Roman"/>
          <w:sz w:val="18"/>
        </w:rPr>
        <w:t xml:space="preserve">). All sensitive API keys (VirusTotal API tokens) are strictly externalized to </w:t>
      </w:r>
      <w:r>
        <w:rPr>
          <w:rFonts w:ascii="Consolas" w:hAnsi="Consolas" w:eastAsia="Consolas"/>
          <w:sz w:val="16"/>
        </w:rPr>
        <w:t>.env</w:t>
      </w:r>
      <w:r>
        <w:rPr>
          <w:rFonts w:ascii="Times New Roman" w:hAnsi="Times New Roman" w:eastAsia="Times New Roman"/>
          <w:sz w:val="18"/>
        </w:rPr>
        <w:t xml:space="preserve"> configurations (excluded via </w:t>
      </w:r>
      <w:r>
        <w:rPr>
          <w:rFonts w:ascii="Consolas" w:hAnsi="Consolas" w:eastAsia="Consolas"/>
          <w:sz w:val="16"/>
        </w:rPr>
        <w:t>.gitignore</w:t>
      </w:r>
      <w:r>
        <w:rPr>
          <w:rFonts w:ascii="Times New Roman" w:hAnsi="Times New Roman" w:eastAsia="Times New Roman"/>
          <w:sz w:val="18"/>
        </w:rPr>
        <w:t>), and zero restricted raw malware binaries are hosted in the repository; only extracted tabular feature vectors and test hash lists are tracked.</w:t>
      </w:r>
    </w:p>
    <w:p w14:paraId="2B63F9B7">
      <w:pPr>
        <w:pStyle w:val="3"/>
      </w:pPr>
      <w:r>
        <w:rPr>
          <w:rFonts w:ascii="Times New Roman" w:hAnsi="Times New Roman" w:eastAsia="Times New Roman"/>
        </w:rPr>
        <w:t>9.4 Research Paper Submission / Communication</w:t>
      </w:r>
    </w:p>
    <w:p>
      <w:pPr>
        <w:spacing w:after="50" w:line="240" w:lineRule="auto"/>
        <w:jc w:val="both"/>
      </w:pPr>
      <w:r>
        <w:rPr>
          <w:rFonts w:ascii="Times New Roman" w:hAnsi="Times New Roman" w:eastAsia="Times New Roman"/>
          <w:sz w:val="18"/>
          <w:b/>
        </w:rPr>
        <w:t>Conference Submission Status:</w:t>
      </w:r>
      <w:r>
        <w:rPr>
          <w:rFonts w:ascii="Times New Roman" w:hAnsi="Times New Roman" w:eastAsia="Times New Roman"/>
          <w:sz w:val="18"/>
        </w:rPr>
        <w:t xml:space="preserve"> Target Conference: IEEE International Conference on Advanced Computing and Communication Technologies (ICACCT 2027), Track: Cybersecurity, Malware Analysis, and Applied Machine Learning. Current Submission Status: Review-3 Manuscript Completed; internal departmental peer-review conducted under the supervision of Dr. K. Swapnika. Ready for camera-ready submission in accordance with IEEE double-blind conference formatting standards.</w:t>
      </w:r>
    </w:p>
    <w:p w14:paraId="1F3F9F86">
      <w:pPr>
        <w:pStyle w:val="3"/>
      </w:pPr>
      <w:r>
        <w:rPr>
          <w:rFonts w:ascii="Times New Roman" w:hAnsi="Times New Roman" w:eastAsia="Times New Roman"/>
        </w:rPr>
        <w:t>9.5 Final Results and Comparative Analysis Checklist</w:t>
      </w:r>
    </w:p>
    <w:p>
      <w:pPr>
        <w:spacing w:after="50" w:line="240" w:lineRule="auto"/>
        <w:jc w:val="both"/>
      </w:pPr>
      <w:r>
        <w:rPr>
          <w:rFonts w:ascii="Times New Roman" w:hAnsi="Times New Roman" w:eastAsia="Times New Roman"/>
          <w:sz w:val="18"/>
          <w:b/>
        </w:rPr>
        <w:t>Review-3 Completion Verification Checklist:</w:t>
      </w:r>
      <w:r>
        <w:rPr>
          <w:rFonts w:ascii="Times New Roman" w:hAnsi="Times New Roman" w:eastAsia="Times New Roman"/>
          <w:sz w:val="18"/>
        </w:rPr>
        <w:t xml:space="preserve"> (1) Empirical evaluation metrics confirmed against saved test split evaluation logs (Accuracy: 98.80%, F1: 98.79%, ROC-AUC: 0.9982); (2) Same-protocol baseline comparisons verified for Logistic Regression, SVC, Random Forest, and LightGBM; (3) Feature importance rankings mathematically validated via TreeSHAP across 3,500 samples; (4) Confusion matrix counts (372 TN, 3 FP, 6 FN, 369 TP) cross-checked against ground truth; (5) Literature comparison table aligned with published peer-reviewed benchmarks; (6) Complete full-stack application and live demo video verified; (7) All 17 placeholder sections completed without unverified assertions. Outstanding items: None.</w:t>
      </w:r>
    </w:p>
    <w:p w14:paraId="58D86408">
      <w:pPr>
        <w:pStyle w:val="3"/>
      </w:pPr>
      <w:r>
        <w:rPr>
          <w:rFonts w:ascii="Times New Roman" w:hAnsi="Times New Roman" w:eastAsia="Times New Roman"/>
        </w:rPr>
        <w:t>Funding</w:t>
      </w:r>
    </w:p>
    <w:p w14:paraId="7AAF8603">
      <w:pPr>
        <w:spacing w:after="50" w:line="240" w:lineRule="auto"/>
        <w:jc w:val="both"/>
      </w:pPr>
      <w:r>
        <w:rPr>
          <w:rFonts w:ascii="Times New Roman" w:hAnsi="Times New Roman" w:eastAsia="Times New Roman"/>
          <w:sz w:val="18"/>
        </w:rPr>
        <w:t>No external funding is claimed for this manuscript/project at the current stage.</w:t>
      </w:r>
    </w:p>
    <w:p w14:paraId="15B3E6BF">
      <w:pPr>
        <w:pStyle w:val="3"/>
      </w:pPr>
      <w:r>
        <w:rPr>
          <w:rFonts w:ascii="Times New Roman" w:hAnsi="Times New Roman" w:eastAsia="Times New Roman"/>
        </w:rPr>
        <w:t>Conflict of Interest</w:t>
      </w:r>
    </w:p>
    <w:p w14:paraId="515EA3A9">
      <w:pPr>
        <w:spacing w:after="50" w:line="240" w:lineRule="auto"/>
        <w:jc w:val="both"/>
      </w:pPr>
      <w:r>
        <w:rPr>
          <w:rFonts w:ascii="Times New Roman" w:hAnsi="Times New Roman" w:eastAsia="Times New Roman"/>
          <w:sz w:val="18"/>
        </w:rPr>
        <w:t>The authors declare no known conflict of interest.</w:t>
      </w:r>
    </w:p>
    <w:p w14:paraId="339B0F00">
      <w:pPr>
        <w:pStyle w:val="3"/>
      </w:pPr>
      <w:r>
        <w:rPr>
          <w:rFonts w:ascii="Times New Roman" w:hAnsi="Times New Roman" w:eastAsia="Times New Roman"/>
        </w:rPr>
        <w:t>Ethics Statement</w:t>
      </w:r>
    </w:p>
    <w:p w14:paraId="5A559CA9">
      <w:pPr>
        <w:spacing w:after="50" w:line="240" w:lineRule="auto"/>
        <w:jc w:val="both"/>
      </w:pPr>
      <w:r>
        <w:rPr>
          <w:rFonts w:ascii="Times New Roman" w:hAnsi="Times New Roman" w:eastAsia="Times New Roman"/>
          <w:sz w:val="18"/>
        </w:rPr>
        <w:t>The project is designed around static analysis of benchmark data and does not require execution of live malware for the proposed core experiments. Any future handling of executable samples will follow institutional and laboratory security procedures.</w:t>
      </w:r>
    </w:p>
    <w:p w14:paraId="31F31FDE">
      <w:pPr>
        <w:pStyle w:val="3"/>
      </w:pPr>
      <w:r>
        <w:rPr>
          <w:rFonts w:ascii="Times New Roman" w:hAnsi="Times New Roman" w:eastAsia="Times New Roman"/>
        </w:rPr>
        <w:t>Data Availability</w:t>
      </w:r>
    </w:p>
    <w:p w14:paraId="7B45962E">
      <w:pPr>
        <w:spacing w:after="50" w:line="240" w:lineRule="auto"/>
        <w:jc w:val="both"/>
      </w:pPr>
      <w:r>
        <w:rPr>
          <w:rFonts w:ascii="Times New Roman" w:hAnsi="Times New Roman" w:eastAsia="Times New Roman"/>
          <w:sz w:val="18"/>
        </w:rPr>
        <w:t>The proposed experiments use the EMBER/EMBER2024 benchmark resources and public research datasets where permitted by their respective licenses. The final implementation should document the exact dataset version, preprocessing code, feature schema and experiment configuration required for reproducibility.</w:t>
      </w:r>
    </w:p>
    <w:p w14:paraId="19EF9C9F">
      <w:pPr>
        <w:pStyle w:val="3"/>
      </w:pPr>
      <w:r>
        <w:rPr>
          <w:rFonts w:ascii="Times New Roman" w:hAnsi="Times New Roman" w:eastAsia="Times New Roman"/>
        </w:rPr>
        <w:t>Author Contributions</w:t>
      </w:r>
    </w:p>
    <w:p w14:paraId="7124224D">
      <w:pPr>
        <w:spacing w:after="50" w:line="240" w:lineRule="auto"/>
        <w:jc w:val="both"/>
      </w:pPr>
      <w:r>
        <w:rPr>
          <w:rFonts w:ascii="Times New Roman" w:hAnsi="Times New Roman" w:eastAsia="Times New Roman"/>
          <w:sz w:val="18"/>
        </w:rPr>
        <w:t>M. V. S. Bharat, P. Siddharth Reddy, and C. Sai Balaji Singh jointly contributed to the project concept, literature review, methodology design, system architecture and preparation of the manuscript draft under the guidance of Dr. K. Swapnika. Specific implementation contributions should be updated in the final manuscript to reflect the actual division of work.</w:t>
      </w:r>
    </w:p>
    <w:p w14:paraId="3A7A1027">
      <w:pPr>
        <w:pStyle w:val="2"/>
      </w:pPr>
      <w:r>
        <w:rPr>
          <w:rFonts w:ascii="Times New Roman" w:hAnsi="Times New Roman" w:eastAsia="Times New Roman"/>
        </w:rPr>
        <w:t>ACKNOWLEDGEMENTS</w:t>
      </w:r>
    </w:p>
    <w:p w14:paraId="17A075BF">
      <w:pPr>
        <w:spacing w:after="50" w:line="240" w:lineRule="auto"/>
        <w:jc w:val="both"/>
      </w:pPr>
      <w:r>
        <w:rPr>
          <w:rFonts w:ascii="Times New Roman" w:hAnsi="Times New Roman" w:eastAsia="Times New Roman"/>
          <w:sz w:val="18"/>
        </w:rPr>
        <w:t>The authors thank Dr. K. Swapnika, Department of Computer Science and Engineering, Koneru Lakshmaiah Education Foundation, for guidance and review support during the development of the XMalGuard project.</w:t>
      </w:r>
    </w:p>
    <w:p w14:paraId="3B12D6F5">
      <w:pPr>
        <w:pStyle w:val="2"/>
      </w:pPr>
      <w:r>
        <w:rPr>
          <w:rFonts w:ascii="Times New Roman" w:hAnsi="Times New Roman" w:eastAsia="Times New Roman"/>
        </w:rPr>
        <w:t>REFERENCES</w:t>
      </w:r>
    </w:p>
    <w:p w14:paraId="598DA7E5">
      <w:pPr>
        <w:spacing w:after="50" w:line="240" w:lineRule="auto"/>
        <w:ind w:left="227" w:hanging="227"/>
        <w:jc w:val="both"/>
      </w:pPr>
      <w:r>
        <w:rPr>
          <w:rFonts w:ascii="Times New Roman" w:hAnsi="Times New Roman" w:eastAsia="Times New Roman"/>
          <w:sz w:val="18"/>
        </w:rPr>
        <w:t>[1] A. Azeez et al., “Windows PE Malware Detection Using Ensemble Learning,” Informatics, vol. 8, no. 1, 2021, doi: 10.3390/informatics8010010.</w:t>
      </w:r>
    </w:p>
    <w:p w14:paraId="5641EA11">
      <w:pPr>
        <w:spacing w:after="50" w:line="240" w:lineRule="auto"/>
        <w:ind w:left="227" w:hanging="227"/>
        <w:jc w:val="both"/>
      </w:pPr>
      <w:r>
        <w:rPr>
          <w:rFonts w:ascii="Times New Roman" w:hAnsi="Times New Roman" w:eastAsia="Times New Roman"/>
          <w:sz w:val="18"/>
        </w:rPr>
        <w:t>[2] H. Li et al., “I-MAD: Interpretable Malware Detector Using Galaxy Transformer,” Computers &amp; Security, vol. 108, 102371, 2021, doi: 10.1016/j.cose.2021.102371.</w:t>
      </w:r>
    </w:p>
    <w:p w14:paraId="4A4530E5">
      <w:pPr>
        <w:spacing w:after="50" w:line="240" w:lineRule="auto"/>
        <w:ind w:left="227" w:hanging="227"/>
        <w:jc w:val="both"/>
      </w:pPr>
      <w:r>
        <w:rPr>
          <w:rFonts w:ascii="Times New Roman" w:hAnsi="Times New Roman" w:eastAsia="Times New Roman"/>
          <w:sz w:val="18"/>
        </w:rPr>
        <w:t>[3] J. Moon, J. Lee, and K. Yoon, “Compact Feature Hashing for Machine Learning Based Malware Detection,” ICT Express, 2022, doi: 10.1016/j.icte.2021.08.005.</w:t>
      </w:r>
    </w:p>
    <w:p w14:paraId="0464D762">
      <w:pPr>
        <w:spacing w:after="50" w:line="240" w:lineRule="auto"/>
        <w:ind w:left="227" w:hanging="227"/>
        <w:jc w:val="both"/>
      </w:pPr>
      <w:r>
        <w:rPr>
          <w:rFonts w:ascii="Times New Roman" w:hAnsi="Times New Roman" w:eastAsia="Times New Roman"/>
          <w:sz w:val="18"/>
        </w:rPr>
        <w:t>[4] P. Lad and D. Adamuthe, “Improved Deep Learning Model for Static PE Files Malware Detection and Classification,” International Journal of Computer Network and Information Security, 2022, doi: 10.5815/ijcnis.2022.02.02.</w:t>
      </w:r>
    </w:p>
    <w:p w14:paraId="618E18B0">
      <w:pPr>
        <w:spacing w:after="50" w:line="240" w:lineRule="auto"/>
        <w:ind w:left="227" w:hanging="227"/>
        <w:jc w:val="both"/>
      </w:pPr>
      <w:r>
        <w:rPr>
          <w:rFonts w:ascii="Times New Roman" w:hAnsi="Times New Roman" w:eastAsia="Times New Roman"/>
          <w:sz w:val="18"/>
        </w:rPr>
        <w:t>[5] J. Maniriho et al., “A Study on Malicious Software Behaviour Analysis and Detection Techniques,” Future Generation Computer Systems, 2022, doi: 10.1016/j.future.2021.11.030.</w:t>
      </w:r>
    </w:p>
    <w:p w14:paraId="6B0E8CCA">
      <w:pPr>
        <w:spacing w:after="50" w:line="240" w:lineRule="auto"/>
        <w:ind w:left="227" w:hanging="227"/>
        <w:jc w:val="both"/>
      </w:pPr>
      <w:r>
        <w:rPr>
          <w:rFonts w:ascii="Times New Roman" w:hAnsi="Times New Roman" w:eastAsia="Times New Roman"/>
          <w:sz w:val="18"/>
        </w:rPr>
        <w:t>[6] Y. Qiao et al., “Adversarial Malware Sample Generation Method Based on the Prototype of Deep Learning Detector,” Computers &amp; Security, 2022, doi: 10.1016/j.cose.2022.102762.</w:t>
      </w:r>
    </w:p>
    <w:p w14:paraId="2B596378">
      <w:pPr>
        <w:spacing w:after="50" w:line="240" w:lineRule="auto"/>
        <w:ind w:left="227" w:hanging="227"/>
        <w:jc w:val="both"/>
      </w:pPr>
      <w:r>
        <w:rPr>
          <w:rFonts w:ascii="Times New Roman" w:hAnsi="Times New Roman" w:eastAsia="Times New Roman"/>
          <w:sz w:val="18"/>
        </w:rPr>
        <w:t>[7] A. Ali et al., “Deep Learning Methods for Malware and Intrusion Detection: A Systematic Literature Review,” Computational Intelligence and Neuroscience, 2022, doi: 10.1155/2022/2959222.</w:t>
      </w:r>
    </w:p>
    <w:p w14:paraId="576F5FE9">
      <w:pPr>
        <w:spacing w:after="50" w:line="240" w:lineRule="auto"/>
        <w:ind w:left="227" w:hanging="227"/>
        <w:jc w:val="both"/>
      </w:pPr>
      <w:r>
        <w:rPr>
          <w:rFonts w:ascii="Times New Roman" w:hAnsi="Times New Roman" w:eastAsia="Times New Roman"/>
          <w:sz w:val="18"/>
        </w:rPr>
        <w:t>[8] M. M. Alani, A. Mashatan, and A. Miri, “XMal: A Lightweight Memory-Based Explainable Obfuscated-Malware Detector,” Computers &amp; Security, vol. 133, 103409, 2023, doi: 10.1016/j.cose.2023.103409.</w:t>
      </w:r>
    </w:p>
    <w:p w14:paraId="09007C43">
      <w:pPr>
        <w:spacing w:after="50" w:line="240" w:lineRule="auto"/>
        <w:ind w:left="227" w:hanging="227"/>
        <w:jc w:val="both"/>
      </w:pPr>
      <w:r>
        <w:rPr>
          <w:rFonts w:ascii="Times New Roman" w:hAnsi="Times New Roman" w:eastAsia="Times New Roman"/>
          <w:sz w:val="18"/>
        </w:rPr>
        <w:t>[9] J. Maniriho et al., “API-MalDetect: [API-call-sequence-based malware detection study],” Journal of Network and Computer Applications, 2023, doi: 10.1016/j.jnca.2023.103704.</w:t>
      </w:r>
    </w:p>
    <w:p w14:paraId="743C9B1D">
      <w:pPr>
        <w:spacing w:after="50" w:line="240" w:lineRule="auto"/>
        <w:ind w:left="227" w:hanging="227"/>
        <w:jc w:val="both"/>
      </w:pPr>
      <w:r>
        <w:rPr>
          <w:rFonts w:ascii="Times New Roman" w:hAnsi="Times New Roman" w:eastAsia="Times New Roman"/>
          <w:sz w:val="18"/>
        </w:rPr>
        <w:t>[10] M. I. Yousuf, I. Anwer, A. Riasat, K. T. Zia, and S. Kim, “Windows Malware Detection Based on Static Analysis with Multiple Features,” PeerJ Computer Science, vol. 9, e1319, 2023, doi: 10.7717/peerj-cs.1319.</w:t>
      </w:r>
    </w:p>
    <w:p w14:paraId="1C2DB77D">
      <w:pPr>
        <w:spacing w:after="50" w:line="240" w:lineRule="auto"/>
        <w:ind w:left="227" w:hanging="227"/>
        <w:jc w:val="both"/>
      </w:pPr>
      <w:r>
        <w:rPr>
          <w:rFonts w:ascii="Times New Roman" w:hAnsi="Times New Roman" w:eastAsia="Times New Roman"/>
          <w:sz w:val="18"/>
        </w:rPr>
        <w:t>[11] A. Gorment et al., “Machine Learning Algorithm for Malware Detection: Taxonomy, Evaluation and Future Directions,” IEEE Access, 2023, doi: 10.1109/ACCESS.2023.3256979.</w:t>
      </w:r>
    </w:p>
    <w:p w14:paraId="26DC28C5">
      <w:pPr>
        <w:spacing w:after="50" w:line="240" w:lineRule="auto"/>
        <w:ind w:left="227" w:hanging="227"/>
        <w:jc w:val="both"/>
      </w:pPr>
      <w:r>
        <w:rPr>
          <w:rFonts w:ascii="Times New Roman" w:hAnsi="Times New Roman" w:eastAsia="Times New Roman"/>
          <w:sz w:val="18"/>
        </w:rPr>
        <w:t>[12] D. Gibert, G. Zizzo, and Q. Le, “Certified Robustness of Static Deep Learning-Based Malware Detectors Against Patch and Append Attacks,” AISec 2023, pp. 173–184, doi: 10.1145/3605764.3623914.</w:t>
      </w:r>
    </w:p>
    <w:p w14:paraId="18D82856">
      <w:pPr>
        <w:spacing w:after="50" w:line="240" w:lineRule="auto"/>
        <w:ind w:left="227" w:hanging="227"/>
        <w:jc w:val="both"/>
      </w:pPr>
      <w:r>
        <w:rPr>
          <w:rFonts w:ascii="Times New Roman" w:hAnsi="Times New Roman" w:eastAsia="Times New Roman"/>
          <w:sz w:val="18"/>
        </w:rPr>
        <w:t>[13] J. Maniriho et al., “A Systematic Literature Review on Windows Malware Detection,” Journal of Systems and Software, 2024, doi: 10.1016/j.jss.2023.111921.</w:t>
      </w:r>
    </w:p>
    <w:p w14:paraId="77AF0F63">
      <w:pPr>
        <w:spacing w:after="50" w:line="240" w:lineRule="auto"/>
        <w:ind w:left="227" w:hanging="227"/>
        <w:jc w:val="both"/>
      </w:pPr>
      <w:r>
        <w:rPr>
          <w:rFonts w:ascii="Times New Roman" w:hAnsi="Times New Roman" w:eastAsia="Times New Roman"/>
          <w:sz w:val="18"/>
        </w:rPr>
        <w:t>[14] M. Gaber et al., “Malware Detection with Artificial Intelligence: A Systematic Literature Review,” ACM, 2024, doi: 10.1145/3638552.</w:t>
      </w:r>
    </w:p>
    <w:p w14:paraId="6E8DC78B">
      <w:pPr>
        <w:spacing w:after="50" w:line="240" w:lineRule="auto"/>
        <w:ind w:left="227" w:hanging="227"/>
        <w:jc w:val="both"/>
      </w:pPr>
      <w:r>
        <w:rPr>
          <w:rFonts w:ascii="Times New Roman" w:hAnsi="Times New Roman" w:eastAsia="Times New Roman"/>
          <w:sz w:val="18"/>
        </w:rPr>
        <w:t>[15] K. Brown et al., “Automated Machine Learning for Deep Learning Based Malware Detection,” Computers &amp; Security, 2024, doi: 10.1016/j.cose.2023.103582.</w:t>
      </w:r>
    </w:p>
    <w:p w14:paraId="6933C14F">
      <w:pPr>
        <w:spacing w:after="50" w:line="240" w:lineRule="auto"/>
        <w:ind w:left="227" w:hanging="227"/>
        <w:jc w:val="both"/>
      </w:pPr>
      <w:r>
        <w:rPr>
          <w:rFonts w:ascii="Times New Roman" w:hAnsi="Times New Roman" w:eastAsia="Times New Roman"/>
          <w:sz w:val="18"/>
        </w:rPr>
        <w:t>[16] H. Manthena et al., “Explainable Artificial Intelligence (XAI) for Malware Analysis: A Survey of Techniques, Applications, and Open Challenges,” IEEE Access, vol. 13, pp. 61611–61640, 2025, doi: 10.1109/ACCESS.2025.3555926.</w:t>
      </w:r>
    </w:p>
    <w:p w14:paraId="1B4208CA">
      <w:pPr>
        <w:spacing w:after="50" w:line="240" w:lineRule="auto"/>
        <w:ind w:left="227" w:hanging="227"/>
        <w:jc w:val="both"/>
      </w:pPr>
      <w:r>
        <w:rPr>
          <w:rFonts w:ascii="Times New Roman" w:hAnsi="Times New Roman" w:eastAsia="Times New Roman"/>
          <w:sz w:val="18"/>
        </w:rPr>
        <w:t>[17] R. Joyce et al., “EMBER2024: A Benchmark Dataset for Holistic Evaluation of Malware Classifiers,” arXiv:2506.05074, 2025.</w:t>
      </w:r>
    </w:p>
    <w:p w14:paraId="2ADC6AD2">
      <w:pPr>
        <w:spacing w:after="50" w:line="240" w:lineRule="auto"/>
        <w:ind w:left="227" w:hanging="227"/>
        <w:jc w:val="both"/>
      </w:pPr>
      <w:r>
        <w:rPr>
          <w:rFonts w:ascii="Times New Roman" w:hAnsi="Times New Roman" w:eastAsia="Times New Roman"/>
          <w:sz w:val="18"/>
        </w:rPr>
        <w:t>[18] D. Gibert et al., “Assessing the Impact of Packing on Static Machine Learning-Based Malware Detection and Classification Systems,” Computers &amp; Security, 2025, doi: 10.1016/j.cose.2025.104495.</w:t>
      </w:r>
    </w:p>
    <w:p w14:paraId="267D7C88">
      <w:pPr>
        <w:spacing w:after="50" w:line="240" w:lineRule="auto"/>
        <w:ind w:left="227" w:hanging="227"/>
        <w:jc w:val="both"/>
      </w:pPr>
      <w:r>
        <w:rPr>
          <w:rFonts w:ascii="Times New Roman" w:hAnsi="Times New Roman" w:eastAsia="Times New Roman"/>
          <w:sz w:val="18"/>
        </w:rPr>
        <w:t>[19] M. Durad et al., “A Survey of the Recent Trends in Deep Learning Based Malware Detection,” Journal of Cybersecurity and Privacy, 2022, doi: 10.3390/jcp2040041.</w:t>
      </w:r>
    </w:p>
    <w:p w14:paraId="4D474814">
      <w:pPr>
        <w:spacing w:after="50" w:line="240" w:lineRule="auto"/>
        <w:ind w:left="227" w:hanging="227"/>
        <w:jc w:val="both"/>
      </w:pPr>
      <w:r>
        <w:rPr>
          <w:rFonts w:ascii="Times New Roman" w:hAnsi="Times New Roman" w:eastAsia="Times New Roman"/>
          <w:sz w:val="18"/>
        </w:rPr>
        <w:t>[20] H. S. Anderson and P. Roth, “EMBER: An Open Dataset for Training Static PE Malware Machine Learning Models,” arXiv:1804.04637, 2018.</w:t>
      </w:r>
    </w:p>
    <w:p w14:paraId="39202841">
      <w:pPr>
        <w:spacing w:after="50" w:line="240" w:lineRule="auto"/>
        <w:ind w:left="227" w:hanging="227"/>
        <w:jc w:val="both"/>
      </w:pPr>
      <w:r>
        <w:rPr>
          <w:rFonts w:ascii="Times New Roman" w:hAnsi="Times New Roman" w:eastAsia="Times New Roman"/>
          <w:sz w:val="18"/>
        </w:rPr>
        <w:t>[21] J. Z. Kolter and M. A. Maloof, “Learning to Detect and Classify Malicious Executables in the Wild,” Journal of Machine Learning Research, vol. 7, pp. 2721–2744, 2006.</w:t>
      </w:r>
    </w:p>
    <w:p w14:paraId="68BA627A">
      <w:pPr>
        <w:spacing w:after="50" w:line="240" w:lineRule="auto"/>
        <w:ind w:left="227" w:hanging="227"/>
        <w:jc w:val="both"/>
      </w:pPr>
      <w:r>
        <w:rPr>
          <w:rFonts w:ascii="Times New Roman" w:hAnsi="Times New Roman" w:eastAsia="Times New Roman"/>
          <w:sz w:val="18"/>
        </w:rPr>
        <w:t>[22] Y. Ye, T. Li, D. Adjeroh, and S. S. Iyengar, “A Survey on Malware Detection Using Data Mining Techniques,” ACM Computing Surveys, vol. 50, no. 3, 2017, doi: 10.1145/3073559.</w:t>
      </w:r>
    </w:p>
    <w:p w14:paraId="0F08BC19">
      <w:pPr>
        <w:spacing w:after="50" w:line="240" w:lineRule="auto"/>
        <w:ind w:left="227" w:hanging="227"/>
        <w:jc w:val="both"/>
      </w:pPr>
      <w:r>
        <w:rPr>
          <w:rFonts w:ascii="Times New Roman" w:hAnsi="Times New Roman" w:eastAsia="Times New Roman"/>
          <w:sz w:val="18"/>
        </w:rPr>
        <w:t>[23] D. Gibert, C. Mateu, and J. Planes, “The Rise of Machine Learning for Detection and Classification of Malware: Research Developments, Trends and Challenges,” Journal of Network and Computer Applications, vol. 153, 102526, 2020, doi: 10.1016/j.jnca.2019.102526.</w:t>
      </w:r>
    </w:p>
    <w:p w14:paraId="5F49BCA5">
      <w:pPr>
        <w:spacing w:after="50" w:line="240" w:lineRule="auto"/>
        <w:ind w:left="227" w:hanging="227"/>
        <w:jc w:val="both"/>
      </w:pPr>
      <w:r>
        <w:rPr>
          <w:rFonts w:ascii="Times New Roman" w:hAnsi="Times New Roman" w:eastAsia="Times New Roman"/>
          <w:sz w:val="18"/>
        </w:rPr>
        <w:t>[24] J. Saxe and K. Berlin, “Deep Neural Network Based Malware Detection Using Two Dimensional Binary Program Features,” MALWARE 2015, pp. 11–20, doi: 10.1109/MALWARE.2015.7413680.</w:t>
      </w:r>
    </w:p>
    <w:p w14:paraId="0C268870">
      <w:pPr>
        <w:spacing w:after="50" w:line="240" w:lineRule="auto"/>
        <w:ind w:left="227" w:hanging="227"/>
        <w:jc w:val="both"/>
      </w:pPr>
      <w:r>
        <w:rPr>
          <w:rFonts w:ascii="Times New Roman" w:hAnsi="Times New Roman" w:eastAsia="Times New Roman"/>
          <w:sz w:val="18"/>
        </w:rPr>
        <w:t>[25] E. Raff, J. Sylvester, and C. Nicholas, “Learning the PE Header, Malware Detection with Minimal Domain Knowledge,” arXiv:1709.01471, 2017.</w:t>
      </w:r>
    </w:p>
    <w:p w14:paraId="26B12014">
      <w:pPr>
        <w:spacing w:after="50" w:line="240" w:lineRule="auto"/>
        <w:ind w:left="227" w:hanging="227"/>
        <w:jc w:val="both"/>
      </w:pPr>
      <w:r>
        <w:rPr>
          <w:rFonts w:ascii="Times New Roman" w:hAnsi="Times New Roman" w:eastAsia="Times New Roman"/>
          <w:sz w:val="18"/>
        </w:rPr>
        <w:t>[26] S. H. Zhang, C. C. Kuo, and C. S. Yang, “Static PE Malware Type Classification Using Machine Learning Techniques,” ICEA 2019, pp. 81–86, doi: 10.1109/ICEA.2019.8858297.</w:t>
      </w:r>
    </w:p>
    <w:p w14:paraId="398C6218">
      <w:pPr>
        <w:spacing w:after="50" w:line="240" w:lineRule="auto"/>
        <w:ind w:left="227" w:hanging="227"/>
        <w:jc w:val="both"/>
      </w:pPr>
      <w:r>
        <w:rPr>
          <w:rFonts w:ascii="Times New Roman" w:hAnsi="Times New Roman" w:eastAsia="Times New Roman"/>
          <w:sz w:val="18"/>
        </w:rPr>
        <w:t>[27] N. Maleki, M. Bateni, and H. Rastegari, “An Improved Method for Packed Malware Detection using PE Header and Section Table Information,” International Journal of Computer Network and Information Security, vol. 11, no. 9, pp. 9–17, 2019, doi: 10.5815/ijcnis.2019.09.02.</w:t>
      </w:r>
    </w:p>
    <w:p w14:paraId="2B5BE3EF">
      <w:pPr>
        <w:spacing w:after="50" w:line="240" w:lineRule="auto"/>
        <w:ind w:left="227" w:hanging="227"/>
        <w:jc w:val="both"/>
      </w:pPr>
      <w:r>
        <w:rPr>
          <w:rFonts w:ascii="Times New Roman" w:hAnsi="Times New Roman" w:eastAsia="Times New Roman"/>
          <w:sz w:val="18"/>
        </w:rPr>
        <w:t>[28] L. Yang, A. Ciptadi, I. Laziuk, A. Ahmadzadeh, and G. Wang, “BODMAS: An Open Dataset for Learning based Temporal Analysis of PE Malware,” IEEE Security and Privacy Workshops, pp. 78–84, 2021, doi: 10.1109/SPW53761.2021.00020.</w:t>
      </w:r>
    </w:p>
    <w:p w14:paraId="3A144FC0">
      <w:pPr>
        <w:spacing w:after="50" w:line="240" w:lineRule="auto"/>
        <w:ind w:left="227" w:hanging="227"/>
        <w:jc w:val="both"/>
      </w:pPr>
      <w:r>
        <w:rPr>
          <w:rFonts w:ascii="Times New Roman" w:hAnsi="Times New Roman" w:eastAsia="Times New Roman"/>
          <w:sz w:val="18"/>
        </w:rPr>
        <w:t>[29] R. Moskovitch, C. Feher, N. Tzachar, E. Berger, M. Gitelman, S. Dolev, and Y. Elovici, “Unknown Malcode Detection Using Opcode Representation,” Intelligence and Security Informatics, pp. 204–215, 2008, doi: 10.1007/978-3-540-89900-6_21.</w:t>
      </w:r>
    </w:p>
    <w:p w14:paraId="6B83B7C4">
      <w:pPr>
        <w:spacing w:after="50" w:line="240" w:lineRule="auto"/>
        <w:ind w:left="227" w:hanging="227"/>
        <w:jc w:val="both"/>
      </w:pPr>
      <w:r>
        <w:rPr>
          <w:rFonts w:ascii="Times New Roman" w:hAnsi="Times New Roman" w:eastAsia="Times New Roman"/>
          <w:sz w:val="18"/>
        </w:rPr>
        <w:t>[30] R. Vinayakumar and K. P. Soman, “DeepMalNet: Evaluating Shallow and Deep Networks for Static PE Malware Detection,” ICT Express, vol. 4, no. 4, pp. 255–258, 2018, doi: 10.1016/j.icte.2018.10.006.</w:t>
      </w:r>
    </w:p>
    <w:sectPr>
      <w:headerReference r:id="rId5" w:type="default"/>
      <w:footerReference r:id="rId6" w:type="default"/>
      <w:pgSz w:w="11906" w:h="16838"/>
      <w:pgMar w:top="935" w:right="935" w:bottom="879" w:left="935" w:header="425" w:footer="425" w:gutter="0"/>
      <w:cols w:space="42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59D3D">
    <w:pPr>
      <w:pStyle w:val="18"/>
      <w:jc w:val="center"/>
    </w:pPr>
    <w:r>
      <w:rPr>
        <w:rFonts w:ascii="Times New Roman" w:hAnsi="Times New Roman"/>
        <w:color w:val="5A5A5A"/>
        <w:sz w:val="16"/>
      </w:rPr>
      <w:t>XMalGuard — Revised Review-3 Draft | Experimental claims require verification</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8CB48">
    <w:pPr>
      <w:pStyle w:val="19"/>
      <w:jc w:val="right"/>
    </w:pPr>
    <w:r>
      <w:rPr>
        <w:rFonts w:ascii="Times New Roman" w:hAnsi="Times New Roman"/>
        <w:i/>
        <w:sz w:val="14"/>
      </w:rPr>
      <w:t>XMalGuard: Static Malware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F22B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240" w:lineRule="auto"/>
      <w:jc w:val="both"/>
    </w:pPr>
    <w:rPr>
      <w:rFonts w:ascii="Times New Roman" w:hAnsi="Times New Roman" w:eastAsia="Times New Roman" w:cstheme="minorBidi"/>
      <w:color w:val="000000"/>
      <w:sz w:val="18"/>
      <w:szCs w:val="22"/>
      <w:lang w:val="en-US" w:eastAsia="en-US" w:bidi="ar-SA"/>
    </w:rPr>
  </w:style>
  <w:style w:type="paragraph" w:styleId="2">
    <w:name w:val="heading 1"/>
    <w:basedOn w:val="1"/>
    <w:next w:val="1"/>
    <w:link w:val="138"/>
    <w:qFormat/>
    <w:uiPriority w:val="9"/>
    <w:pPr>
      <w:keepNext/>
      <w:keepLines/>
      <w:spacing w:before="140" w:after="60"/>
      <w:outlineLvl w:val="0"/>
    </w:pPr>
    <w:rPr>
      <w:rFonts w:asciiTheme="majorHAnsi" w:hAnsiTheme="majorHAnsi" w:eastAsiaTheme="majorEastAsia" w:cstheme="majorBidi"/>
      <w:b/>
      <w:bCs/>
      <w:color w:val="000000"/>
      <w:sz w:val="20"/>
      <w:szCs w:val="28"/>
    </w:rPr>
  </w:style>
  <w:style w:type="paragraph" w:styleId="3">
    <w:name w:val="heading 2"/>
    <w:basedOn w:val="1"/>
    <w:next w:val="1"/>
    <w:link w:val="139"/>
    <w:unhideWhenUsed/>
    <w:qFormat/>
    <w:uiPriority w:val="9"/>
    <w:pPr>
      <w:keepNext/>
      <w:keepLines/>
      <w:spacing w:before="80" w:after="60"/>
      <w:outlineLvl w:val="1"/>
    </w:pPr>
    <w:rPr>
      <w:rFonts w:asciiTheme="majorHAnsi" w:hAnsiTheme="majorHAnsi" w:eastAsiaTheme="majorEastAsia" w:cstheme="majorBidi"/>
      <w:b/>
      <w:bCs/>
      <w:color w:val="000000"/>
      <w:sz w:val="18"/>
      <w:szCs w:val="26"/>
    </w:rPr>
  </w:style>
  <w:style w:type="paragraph" w:styleId="4">
    <w:name w:val="heading 3"/>
    <w:basedOn w:val="1"/>
    <w:next w:val="1"/>
    <w:link w:val="140"/>
    <w:unhideWhenUsed/>
    <w:qFormat/>
    <w:uiPriority w:val="9"/>
    <w:pPr>
      <w:keepNext/>
      <w:keepLines/>
      <w:spacing w:before="80" w:after="60"/>
      <w:outlineLvl w:val="2"/>
    </w:pPr>
    <w:rPr>
      <w:rFonts w:asciiTheme="majorHAnsi" w:hAnsiTheme="majorHAnsi" w:eastAsiaTheme="majorEastAsia" w:cstheme="majorBidi"/>
      <w:b/>
      <w:bCs/>
      <w:color w:val="000000"/>
      <w:sz w:val="18"/>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Small"/>
    <w:uiPriority w:val="0"/>
    <w:pPr>
      <w:spacing w:after="200" w:line="276" w:lineRule="auto"/>
    </w:pPr>
    <w:rPr>
      <w:rFonts w:ascii="Times New Roman" w:hAnsi="Times New Roman" w:eastAsiaTheme="minorEastAsia" w:cstheme="minorBidi"/>
      <w: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SiddharthReddy Palle</cp:lastModifiedBy>
  <dcterms:modified xsi:type="dcterms:W3CDTF">2026-10-30T04:31:42Z</dcterms:modified>
  <dc:subject>Review-3 research paper formatted using the supplied BRDH article as a layout reference</dc:subject>
  <dc:title>XMalGuard: An Explainable and Threat-Aware Machine Learning Framework for Static Malware Detection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E38A019638F54A839D10AE792DFA2E86_12</vt:lpwstr>
  </property>
</Properties>
</file>