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B7991">
      <w:pPr>
        <w:rPr>
          <w:rFonts w:hint="default"/>
          <w:b/>
          <w:bCs/>
          <w:sz w:val="36"/>
          <w:szCs w:val="36"/>
          <w:lang w:val="en-US"/>
        </w:rPr>
      </w:pPr>
      <w:bookmarkStart w:id="0" w:name="_GoBack"/>
      <w:r>
        <w:rPr>
          <w:rFonts w:hint="default"/>
          <w:b/>
          <w:bCs/>
          <w:sz w:val="36"/>
          <w:szCs w:val="36"/>
          <w:lang w:val="en-US"/>
        </w:rPr>
        <w:t xml:space="preserve">Startegic Framework for Artificial inteligence </w:t>
      </w:r>
    </w:p>
    <w:p w14:paraId="23AF7EE2">
      <w:pPr>
        <w:rPr>
          <w:rFonts w:hint="default"/>
          <w:b w:val="0"/>
          <w:bCs w:val="0"/>
          <w:sz w:val="36"/>
          <w:szCs w:val="36"/>
          <w:lang w:val="en-US"/>
        </w:rPr>
      </w:pPr>
      <w:r>
        <w:rPr>
          <w:rFonts w:hint="default"/>
          <w:b/>
          <w:bCs/>
          <w:sz w:val="36"/>
          <w:szCs w:val="36"/>
          <w:lang w:val="en-US"/>
        </w:rPr>
        <w:t xml:space="preserve">Integration in Helthcare Operation </w:t>
      </w:r>
    </w:p>
    <w:p w14:paraId="13E7C5F4">
      <w:pPr>
        <w:rPr>
          <w:rFonts w:hint="default"/>
          <w:b/>
          <w:bCs/>
          <w:sz w:val="36"/>
          <w:szCs w:val="36"/>
          <w:lang w:val="en-US"/>
        </w:rPr>
      </w:pPr>
    </w:p>
    <w:p w14:paraId="2B983D59">
      <w:pPr>
        <w:rPr>
          <w:rFonts w:hint="default"/>
          <w:b/>
          <w:bCs/>
          <w:sz w:val="36"/>
          <w:szCs w:val="36"/>
          <w:lang w:val="en-US"/>
        </w:rPr>
      </w:pPr>
      <w:r>
        <w:rPr>
          <w:rFonts w:hint="default"/>
          <w:b/>
          <w:bCs/>
          <w:sz w:val="36"/>
          <w:szCs w:val="36"/>
          <w:lang w:val="en-US"/>
        </w:rPr>
        <w:t>Executive Summary</w:t>
      </w:r>
    </w:p>
    <w:p w14:paraId="0CD6CA92">
      <w:pPr>
        <w:rPr>
          <w:rFonts w:hint="default"/>
          <w:b w:val="0"/>
          <w:bCs w:val="0"/>
          <w:sz w:val="36"/>
          <w:szCs w:val="36"/>
          <w:lang w:val="en-US"/>
        </w:rPr>
      </w:pPr>
    </w:p>
    <w:p w14:paraId="2A8B5415">
      <w:pPr>
        <w:rPr>
          <w:rFonts w:hint="default"/>
          <w:b w:val="0"/>
          <w:bCs w:val="0"/>
          <w:sz w:val="36"/>
          <w:szCs w:val="36"/>
          <w:lang w:val="en-US"/>
        </w:rPr>
      </w:pPr>
      <w:r>
        <w:rPr>
          <w:rFonts w:hint="default"/>
          <w:b w:val="0"/>
          <w:bCs w:val="0"/>
          <w:sz w:val="36"/>
          <w:szCs w:val="36"/>
          <w:lang w:val="en-US"/>
        </w:rPr>
        <w:t>Intergrating artificial intelligence into modern healthcare systems represents a vital shift towards precision medicine, optimized clinical pathways and administrative efficiency. This strategic road-map defines an end-to-end framework for healthcareproviders to adopt automated diagnostics, ambient clinical intelligence, predictive  inpatient  management, and operational automation. Built around indian digital public infrastructure, particularly the Ayushman Bharat Digital Mission and relevant personal data protection norms, this document outlines market dynamics, technical perquisites, risk mitigation protocols, governance guidelines, and a phased execution road-map.</w:t>
      </w:r>
    </w:p>
    <w:p w14:paraId="02837165">
      <w:pPr>
        <w:pStyle w:val="6"/>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To achieve lasting institutional value, this framework prioritizes seamless interoperability across fragmented legacy hospital information systems and modern digital repositories. By establishing vendor-neutral data ingestion pipelines, healthcare networks can eliminate digital silos, ensuring diagnostic data flows smoothly between emergency departments, intensive care wards, and outpatient clinics. This open-standard architecture avoids proprietary lock-in, shortens procurement cycles, and provides the technological foundation required to deploy both high-throughput computer vision tools and ambient language models at scale. </w:t>
      </w:r>
    </w:p>
    <w:p w14:paraId="58979E7F">
      <w:pPr>
        <w:pStyle w:val="6"/>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From a fiscal and operational standpoint, the strategic </w:t>
      </w:r>
      <w:r>
        <w:rPr>
          <w:rFonts w:hint="default" w:ascii="Calibri" w:hAnsi="Calibri" w:eastAsia="sans-serif" w:cs="Calibri"/>
          <w:sz w:val="36"/>
          <w:szCs w:val="36"/>
          <w:lang w:val="en-US"/>
        </w:rPr>
        <w:t>road-map</w:t>
      </w:r>
      <w:r>
        <w:rPr>
          <w:rFonts w:hint="default" w:ascii="Calibri" w:hAnsi="Calibri" w:eastAsia="sans-serif" w:cs="Calibri"/>
          <w:sz w:val="36"/>
          <w:szCs w:val="36"/>
        </w:rPr>
        <w:t xml:space="preserve"> structures investments to guarantee measurable financial sustainability alongside clinical gains. Deploying automated revenue cycle engines and intelligent claims adjudication recovers lost hospital revenue from billing discrepancies and administrative denials, creating recurring savings that fund expensive on-premises compute infrastructure. In tandem, automating routine clinical documentation saves up to two physician hours per clinical shift, effectively expanding hospital outpatient capacity without overloading clinical staff. </w:t>
      </w:r>
    </w:p>
    <w:p w14:paraId="560A1235">
      <w:pPr>
        <w:pStyle w:val="6"/>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Successful enterprise-wide adoption depends heavily on intentional change management and building clinician confidence from day one. Introducing new assistive diagnostic platforms frequently creates friction if doctors perceive algorithms as opaque black boxes or threats to their professional judgment. To overcome this resistance, the integration strategy establishes clinician-led design committees, clear transparency guidelines, and targeted medical informatics curricula. By framing AI strictly as an assistive second look that protects clinicians from diagnostic fatigue and liability exposures, healthcare institutions can secure strong medical staff buy-in and sustain high daily utilization rates. </w:t>
      </w:r>
    </w:p>
    <w:p w14:paraId="3BF7C25C">
      <w:pPr>
        <w:rPr>
          <w:rFonts w:hint="default"/>
          <w:b w:val="0"/>
          <w:bCs w:val="0"/>
          <w:sz w:val="36"/>
          <w:szCs w:val="36"/>
          <w:lang w:val="en-US"/>
        </w:rPr>
      </w:pPr>
    </w:p>
    <w:p w14:paraId="0BF26730">
      <w:pPr>
        <w:rPr>
          <w:rFonts w:hint="default"/>
          <w:b w:val="0"/>
          <w:bCs w:val="0"/>
          <w:sz w:val="36"/>
          <w:szCs w:val="36"/>
          <w:lang w:val="en-US"/>
        </w:rPr>
      </w:pPr>
    </w:p>
    <w:p w14:paraId="4F4B00F0">
      <w:pPr>
        <w:numPr>
          <w:ilvl w:val="0"/>
          <w:numId w:val="1"/>
        </w:numPr>
        <w:rPr>
          <w:rFonts w:hint="default"/>
          <w:b/>
          <w:bCs/>
          <w:sz w:val="36"/>
          <w:szCs w:val="36"/>
          <w:lang w:val="en-US"/>
        </w:rPr>
      </w:pPr>
      <w:r>
        <w:rPr>
          <w:rFonts w:hint="default"/>
          <w:b/>
          <w:bCs/>
          <w:sz w:val="36"/>
          <w:szCs w:val="36"/>
          <w:lang w:val="en-US"/>
        </w:rPr>
        <w:t>Vision and Strategic Objectives</w:t>
      </w:r>
    </w:p>
    <w:p w14:paraId="306702A8">
      <w:pPr>
        <w:numPr>
          <w:ilvl w:val="0"/>
          <w:numId w:val="0"/>
        </w:numPr>
        <w:rPr>
          <w:rFonts w:hint="default"/>
          <w:b w:val="0"/>
          <w:bCs w:val="0"/>
          <w:sz w:val="36"/>
          <w:szCs w:val="36"/>
          <w:lang w:val="en-US"/>
        </w:rPr>
      </w:pPr>
      <w:r>
        <w:rPr>
          <w:rFonts w:hint="default"/>
          <w:b w:val="0"/>
          <w:bCs w:val="0"/>
          <w:sz w:val="36"/>
          <w:szCs w:val="36"/>
          <w:lang w:val="en-US"/>
        </w:rPr>
        <w:t xml:space="preserve">The primary purpose is to transition clinical and administrative infrastructure into an interconnected, </w:t>
      </w:r>
      <w:r>
        <w:rPr>
          <w:rFonts w:hint="default"/>
          <w:b w:val="0"/>
          <w:bCs w:val="0"/>
          <w:sz w:val="36"/>
          <w:szCs w:val="36"/>
          <w:lang w:val="en-US"/>
        </w:rPr>
        <w:tab/>
      </w:r>
      <w:r>
        <w:rPr>
          <w:rFonts w:hint="default"/>
          <w:b w:val="0"/>
          <w:bCs w:val="0"/>
          <w:sz w:val="36"/>
          <w:szCs w:val="36"/>
          <w:lang w:val="en-US"/>
        </w:rPr>
        <w:t>AI-augmented health ecosystem.</w:t>
      </w:r>
    </w:p>
    <w:p w14:paraId="294513A1">
      <w:pPr>
        <w:numPr>
          <w:ilvl w:val="0"/>
          <w:numId w:val="0"/>
        </w:numPr>
        <w:tabs>
          <w:tab w:val="left" w:pos="420"/>
        </w:tabs>
        <w:rPr>
          <w:rFonts w:hint="default"/>
          <w:b w:val="0"/>
          <w:bCs w:val="0"/>
          <w:sz w:val="36"/>
          <w:szCs w:val="36"/>
          <w:lang w:val="en-US"/>
        </w:rPr>
      </w:pPr>
    </w:p>
    <w:p w14:paraId="22AE3324">
      <w:pPr>
        <w:numPr>
          <w:ilvl w:val="0"/>
          <w:numId w:val="2"/>
        </w:numPr>
        <w:ind w:left="418" w:leftChars="0" w:hanging="418" w:firstLineChars="0"/>
        <w:rPr>
          <w:rFonts w:hint="default"/>
          <w:b w:val="0"/>
          <w:bCs w:val="0"/>
          <w:sz w:val="36"/>
          <w:szCs w:val="36"/>
          <w:lang w:val="en-US"/>
        </w:rPr>
      </w:pPr>
      <w:r>
        <w:rPr>
          <w:rFonts w:hint="default"/>
          <w:b w:val="0"/>
          <w:bCs w:val="0"/>
          <w:sz w:val="36"/>
          <w:szCs w:val="36"/>
          <w:lang w:val="en-US"/>
        </w:rPr>
        <w:t>Transforms preliminary clinical screenings using validated deep learning models to ease clinical workload.</w:t>
      </w:r>
    </w:p>
    <w:p w14:paraId="1868C032">
      <w:pPr>
        <w:numPr>
          <w:ilvl w:val="0"/>
          <w:numId w:val="2"/>
        </w:numPr>
        <w:ind w:left="418" w:leftChars="0" w:hanging="418" w:firstLineChars="0"/>
        <w:rPr>
          <w:rFonts w:hint="default" w:asciiTheme="minorAscii" w:hAnsiTheme="minorAscii"/>
          <w:b w:val="0"/>
          <w:bCs w:val="0"/>
          <w:sz w:val="36"/>
          <w:szCs w:val="36"/>
          <w:lang w:val="en-US"/>
        </w:rPr>
      </w:pPr>
      <w:r>
        <w:rPr>
          <w:rFonts w:hint="default"/>
          <w:b w:val="0"/>
          <w:bCs w:val="0"/>
          <w:sz w:val="36"/>
          <w:szCs w:val="36"/>
          <w:lang w:val="en-US"/>
        </w:rPr>
        <w:t xml:space="preserve">Elimination operational backlogs by automating  claims review, bed capacity management  </w:t>
      </w:r>
      <w:r>
        <w:rPr>
          <w:rFonts w:hint="default" w:eastAsia="SimSun" w:cs="SimSun" w:asciiTheme="minorAscii" w:hAnsiTheme="minorAscii"/>
          <w:sz w:val="36"/>
          <w:szCs w:val="36"/>
        </w:rPr>
        <w:t>outpatient appointment scheduling, and clinical coding</w:t>
      </w:r>
    </w:p>
    <w:p w14:paraId="396F8AAB">
      <w:pPr>
        <w:pStyle w:val="6"/>
        <w:keepNext w:val="0"/>
        <w:keepLines w:val="0"/>
        <w:widowControl/>
        <w:numPr>
          <w:ilvl w:val="0"/>
          <w:numId w:val="2"/>
        </w:numPr>
        <w:suppressLineNumbers w:val="0"/>
        <w:spacing w:before="0" w:beforeAutospacing="0" w:line="14" w:lineRule="atLeast"/>
        <w:ind w:left="418" w:leftChars="0" w:right="0" w:hanging="418" w:firstLineChars="0"/>
        <w:rPr>
          <w:rFonts w:hint="default" w:eastAsia="sans-serif" w:cs="sans-serif" w:asciiTheme="minorAscii" w:hAnsiTheme="minorAscii"/>
          <w:sz w:val="36"/>
          <w:szCs w:val="36"/>
        </w:rPr>
      </w:pPr>
      <w:r>
        <w:rPr>
          <w:rFonts w:hint="default" w:eastAsia="sans-serif" w:cs="sans-serif" w:asciiTheme="minorAscii" w:hAnsiTheme="minorAscii"/>
          <w:sz w:val="36"/>
          <w:szCs w:val="36"/>
        </w:rPr>
        <w:t xml:space="preserve">Maintain data integrity and patient sovereignty while adhering to statutory regulatory frameworks. </w:t>
      </w:r>
    </w:p>
    <w:p w14:paraId="04ECA874">
      <w:pPr>
        <w:pStyle w:val="6"/>
        <w:keepNext w:val="0"/>
        <w:keepLines w:val="0"/>
        <w:widowControl/>
        <w:numPr>
          <w:ilvl w:val="0"/>
          <w:numId w:val="2"/>
        </w:numPr>
        <w:suppressLineNumbers w:val="0"/>
        <w:spacing w:before="0" w:beforeAutospacing="0" w:line="14" w:lineRule="atLeast"/>
        <w:ind w:left="418" w:leftChars="0" w:right="0" w:hanging="418" w:firstLineChars="0"/>
        <w:rPr>
          <w:rFonts w:hint="default" w:eastAsia="sans-serif" w:cs="sans-serif" w:asciiTheme="minorAscii" w:hAnsiTheme="minorAscii"/>
          <w:sz w:val="36"/>
          <w:szCs w:val="36"/>
        </w:rPr>
      </w:pPr>
      <w:r>
        <w:rPr>
          <w:rFonts w:hint="default" w:eastAsia="SimSun" w:cs="SimSun" w:asciiTheme="minorAscii" w:hAnsiTheme="minorAscii"/>
          <w:sz w:val="36"/>
          <w:szCs w:val="36"/>
        </w:rPr>
        <w:t xml:space="preserve"> </w:t>
      </w:r>
      <w:r>
        <w:rPr>
          <w:rFonts w:hint="default" w:eastAsia="sans-serif" w:cs="sans-serif" w:asciiTheme="minorAscii" w:hAnsiTheme="minorAscii"/>
          <w:sz w:val="36"/>
          <w:szCs w:val="36"/>
        </w:rPr>
        <w:t xml:space="preserve">Provide equitable diagnostic support across tertiary centers, tier-2 facilities, and rural outreach points. </w:t>
      </w:r>
    </w:p>
    <w:p w14:paraId="7D1FAAFC">
      <w:pPr>
        <w:numPr>
          <w:ilvl w:val="0"/>
          <w:numId w:val="0"/>
        </w:numPr>
        <w:ind w:leftChars="0"/>
        <w:rPr>
          <w:rFonts w:hint="default" w:asciiTheme="minorAscii" w:hAnsiTheme="minorAscii"/>
          <w:b w:val="0"/>
          <w:bCs w:val="0"/>
          <w:sz w:val="36"/>
          <w:szCs w:val="36"/>
          <w:lang w:val="en-US"/>
        </w:rPr>
      </w:pPr>
    </w:p>
    <w:p w14:paraId="4B5E02E8">
      <w:pPr>
        <w:numPr>
          <w:ilvl w:val="0"/>
          <w:numId w:val="0"/>
        </w:numPr>
        <w:ind w:leftChars="0"/>
        <w:rPr>
          <w:rFonts w:hint="default" w:asciiTheme="minorAscii" w:hAnsiTheme="minorAscii"/>
          <w:b w:val="0"/>
          <w:bCs w:val="0"/>
          <w:sz w:val="36"/>
          <w:szCs w:val="36"/>
          <w:lang w:val="en-US"/>
        </w:rPr>
      </w:pPr>
    </w:p>
    <w:p w14:paraId="67D2F2FF">
      <w:pPr>
        <w:numPr>
          <w:ilvl w:val="0"/>
          <w:numId w:val="1"/>
        </w:numPr>
        <w:ind w:left="0" w:leftChars="0" w:firstLine="0" w:firstLineChars="0"/>
        <w:rPr>
          <w:rFonts w:hint="default" w:eastAsia="SimSun" w:cs="Calibri" w:asciiTheme="minorAscii" w:hAnsiTheme="minorAscii"/>
          <w:b/>
          <w:bCs/>
          <w:sz w:val="36"/>
          <w:szCs w:val="36"/>
        </w:rPr>
      </w:pPr>
      <w:r>
        <w:rPr>
          <w:rFonts w:hint="default" w:eastAsia="SimSun" w:cs="Calibri" w:asciiTheme="minorAscii" w:hAnsiTheme="minorAscii"/>
          <w:b/>
          <w:bCs/>
          <w:sz w:val="36"/>
          <w:szCs w:val="36"/>
        </w:rPr>
        <w:t>Market Analysis and Industry Landscape</w:t>
      </w:r>
    </w:p>
    <w:p w14:paraId="519EA77A">
      <w:pPr>
        <w:numPr>
          <w:ilvl w:val="0"/>
          <w:numId w:val="0"/>
        </w:numPr>
        <w:ind w:leftChars="0"/>
        <w:rPr>
          <w:rFonts w:hint="default" w:eastAsia="SimSun" w:cs="Calibri" w:asciiTheme="minorAscii" w:hAnsiTheme="minorAscii"/>
          <w:b/>
          <w:bCs/>
          <w:sz w:val="36"/>
          <w:szCs w:val="36"/>
          <w:lang w:val="en-US"/>
        </w:rPr>
      </w:pPr>
    </w:p>
    <w:p w14:paraId="10D51B1F">
      <w:pPr>
        <w:pStyle w:val="6"/>
        <w:keepNext w:val="0"/>
        <w:keepLines w:val="0"/>
        <w:widowControl/>
        <w:suppressLineNumbers w:val="0"/>
        <w:spacing w:before="0" w:beforeAutospacing="0" w:line="14" w:lineRule="atLeast"/>
        <w:ind w:left="0" w:right="0"/>
        <w:rPr>
          <w:rFonts w:ascii="sans-serif" w:hAnsi="sans-serif" w:eastAsia="sans-serif" w:cs="sans-serif"/>
          <w:sz w:val="36"/>
          <w:szCs w:val="36"/>
        </w:rPr>
      </w:pPr>
      <w:r>
        <w:rPr>
          <w:rFonts w:hint="default" w:eastAsia="sans-serif" w:cs="Calibri" w:asciiTheme="minorAscii" w:hAnsiTheme="minorAscii"/>
          <w:sz w:val="36"/>
          <w:szCs w:val="36"/>
        </w:rPr>
        <w:t xml:space="preserve">The </w:t>
      </w:r>
      <w:r>
        <w:rPr>
          <w:rFonts w:hint="default" w:eastAsia="sans-serif" w:cs="sans-serif" w:asciiTheme="minorAscii" w:hAnsiTheme="minorAscii"/>
          <w:sz w:val="36"/>
          <w:szCs w:val="36"/>
        </w:rPr>
        <w:t xml:space="preserve">convergence of specialized </w:t>
      </w:r>
      <w:r>
        <w:rPr>
          <w:rFonts w:hint="default" w:eastAsia="sans-serif" w:cs="sans-serif" w:asciiTheme="minorAscii" w:hAnsiTheme="minorAscii"/>
          <w:sz w:val="36"/>
          <w:szCs w:val="36"/>
          <w:lang w:val="en-US"/>
        </w:rPr>
        <w:t>foundation</w:t>
      </w:r>
      <w:r>
        <w:rPr>
          <w:rFonts w:hint="default" w:eastAsia="sans-serif" w:cs="sans-serif" w:asciiTheme="minorAscii" w:hAnsiTheme="minorAscii"/>
          <w:sz w:val="36"/>
          <w:szCs w:val="36"/>
        </w:rPr>
        <w:t xml:space="preserve"> models, ambient computing, and cloud infrastructure is shifting healthcare delivery from reactive treatment to proactive intervention.</w:t>
      </w:r>
      <w:r>
        <w:rPr>
          <w:rFonts w:hint="default" w:ascii="sans-serif" w:hAnsi="sans-serif" w:eastAsia="sans-serif" w:cs="sans-serif"/>
          <w:sz w:val="36"/>
          <w:szCs w:val="36"/>
        </w:rPr>
        <w:t xml:space="preserve"> </w:t>
      </w:r>
    </w:p>
    <w:p w14:paraId="0D739CDE">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Clinical AI Applications</w:t>
      </w:r>
    </w:p>
    <w:p w14:paraId="69D43394">
      <w:pPr>
        <w:pStyle w:val="6"/>
        <w:keepNext w:val="0"/>
        <w:keepLines w:val="0"/>
        <w:widowControl/>
        <w:numPr>
          <w:ilvl w:val="0"/>
          <w:numId w:val="3"/>
        </w:numPr>
        <w:suppressLineNumbers w:val="0"/>
        <w:ind w:left="418" w:leftChars="0" w:hanging="418" w:firstLineChars="0"/>
        <w:rPr>
          <w:rFonts w:hint="default" w:ascii="Calibri" w:hAnsi="Calibri" w:cs="Calibri"/>
          <w:sz w:val="36"/>
          <w:szCs w:val="36"/>
        </w:rPr>
      </w:pPr>
      <w:r>
        <w:rPr>
          <w:rFonts w:hint="default" w:ascii="Calibri" w:hAnsi="Calibri" w:cs="Calibri"/>
          <w:b/>
          <w:bCs/>
          <w:sz w:val="36"/>
          <w:szCs w:val="36"/>
        </w:rPr>
        <w:t>Radiology and Imaging:</w:t>
      </w:r>
      <w:r>
        <w:rPr>
          <w:rFonts w:hint="default" w:ascii="Calibri" w:hAnsi="Calibri" w:cs="Calibri"/>
          <w:sz w:val="36"/>
          <w:szCs w:val="36"/>
        </w:rPr>
        <w:t xml:space="preserve"> Deep </w:t>
      </w:r>
      <w:r>
        <w:rPr>
          <w:rFonts w:hint="default" w:ascii="Calibri" w:hAnsi="Calibri" w:cs="Calibri"/>
          <w:sz w:val="36"/>
          <w:szCs w:val="36"/>
          <w:lang w:val="en-US"/>
        </w:rPr>
        <w:t>convolution</w:t>
      </w:r>
      <w:r>
        <w:rPr>
          <w:rFonts w:hint="default" w:ascii="Calibri" w:hAnsi="Calibri" w:cs="Calibri"/>
          <w:sz w:val="36"/>
          <w:szCs w:val="36"/>
        </w:rPr>
        <w:t xml:space="preserve"> neural networks analyze chest X-rays, magnetic resonance imaging, and computed tomography scans to detect abnormalities like pulmonary nodules, intracranial hemorrhages, and fractures earlier.</w:t>
      </w:r>
    </w:p>
    <w:p w14:paraId="1F4A101A">
      <w:pPr>
        <w:keepNext w:val="0"/>
        <w:keepLines w:val="0"/>
        <w:widowControl/>
        <w:numPr>
          <w:ilvl w:val="0"/>
          <w:numId w:val="3"/>
        </w:numPr>
        <w:suppressLineNumbers w:val="0"/>
        <w:spacing w:before="0" w:beforeAutospacing="1" w:after="0" w:afterAutospacing="1"/>
        <w:ind w:left="418" w:leftChars="0" w:hanging="418" w:firstLineChars="0"/>
        <w:rPr>
          <w:rFonts w:hint="default" w:ascii="Calibri" w:hAnsi="Calibri" w:eastAsia="sans-serif" w:cs="Calibri"/>
          <w:kern w:val="0"/>
          <w:sz w:val="36"/>
          <w:szCs w:val="36"/>
          <w:lang w:val="en-US" w:eastAsia="zh-CN" w:bidi="ar"/>
        </w:rPr>
      </w:pPr>
      <w:r>
        <w:rPr>
          <w:rFonts w:hint="default" w:ascii="Calibri" w:hAnsi="Calibri" w:eastAsia="sans-serif" w:cs="Calibri"/>
          <w:b/>
          <w:bCs/>
          <w:kern w:val="0"/>
          <w:sz w:val="36"/>
          <w:szCs w:val="36"/>
          <w:lang w:val="en-US" w:eastAsia="zh-CN" w:bidi="ar"/>
        </w:rPr>
        <w:t>Pathology and Oncology:</w:t>
      </w:r>
      <w:r>
        <w:rPr>
          <w:rFonts w:hint="default" w:ascii="Calibri" w:hAnsi="Calibri" w:eastAsia="sans-serif" w:cs="Calibri"/>
          <w:kern w:val="0"/>
          <w:sz w:val="36"/>
          <w:szCs w:val="36"/>
          <w:lang w:val="en-US" w:eastAsia="zh-CN" w:bidi="ar"/>
        </w:rPr>
        <w:t xml:space="preserve"> Computer vision algorithms assist histopathology evaluation by flagging cellular atypia and micro-metastases in digital whole-slide images.</w:t>
      </w:r>
    </w:p>
    <w:p w14:paraId="5AFD48C3">
      <w:pPr>
        <w:keepNext w:val="0"/>
        <w:keepLines w:val="0"/>
        <w:widowControl/>
        <w:numPr>
          <w:ilvl w:val="0"/>
          <w:numId w:val="3"/>
        </w:numPr>
        <w:suppressLineNumbers w:val="0"/>
        <w:spacing w:before="0" w:beforeAutospacing="1" w:after="0" w:afterAutospacing="1"/>
        <w:ind w:left="418" w:leftChars="0" w:hanging="418" w:firstLineChars="0"/>
        <w:rPr>
          <w:rFonts w:hint="default" w:ascii="Calibri" w:hAnsi="Calibri" w:eastAsia="sans-serif" w:cs="Calibri"/>
          <w:kern w:val="0"/>
          <w:sz w:val="36"/>
          <w:szCs w:val="36"/>
          <w:lang w:val="en-US" w:eastAsia="zh-CN" w:bidi="ar"/>
        </w:rPr>
      </w:pPr>
      <w:r>
        <w:rPr>
          <w:rFonts w:hint="default" w:ascii="Calibri" w:hAnsi="Calibri" w:eastAsia="SimSun" w:cs="Calibri"/>
          <w:b/>
          <w:bCs/>
          <w:sz w:val="36"/>
          <w:szCs w:val="36"/>
        </w:rPr>
        <w:t>Inpatient Monitoring:</w:t>
      </w:r>
      <w:r>
        <w:rPr>
          <w:rFonts w:hint="default" w:ascii="Calibri" w:hAnsi="Calibri" w:eastAsia="SimSun" w:cs="Calibri"/>
          <w:sz w:val="36"/>
          <w:szCs w:val="36"/>
        </w:rPr>
        <w:t xml:space="preserve"> Machine learning models track vital signs, electronic health records, and laboratory trends to predict sepsis onset, hemodynamic deterioration, and intensive care readmission risks.</w:t>
      </w:r>
    </w:p>
    <w:p w14:paraId="4767D362">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Administrative AI Applications</w:t>
      </w:r>
    </w:p>
    <w:p w14:paraId="78E3ACB0">
      <w:pPr>
        <w:keepNext w:val="0"/>
        <w:keepLines w:val="0"/>
        <w:widowControl/>
        <w:numPr>
          <w:ilvl w:val="0"/>
          <w:numId w:val="3"/>
        </w:numPr>
        <w:suppressLineNumbers w:val="0"/>
        <w:spacing w:before="0" w:beforeAutospacing="1" w:after="0" w:afterAutospacing="1"/>
        <w:ind w:left="418" w:leftChars="0" w:hanging="418" w:firstLineChars="0"/>
        <w:rPr>
          <w:rFonts w:hint="default" w:ascii="Calibri" w:hAnsi="Calibri" w:eastAsia="SimSun" w:cs="Calibri"/>
          <w:sz w:val="36"/>
          <w:szCs w:val="36"/>
        </w:rPr>
      </w:pPr>
      <w:r>
        <w:rPr>
          <w:rFonts w:hint="default" w:ascii="Calibri" w:hAnsi="Calibri" w:eastAsia="SimSun" w:cs="Calibri"/>
          <w:b/>
          <w:bCs/>
          <w:sz w:val="36"/>
          <w:szCs w:val="36"/>
        </w:rPr>
        <w:t>Ambient Clinical Documentation:</w:t>
      </w:r>
      <w:r>
        <w:rPr>
          <w:rFonts w:hint="default" w:ascii="Calibri" w:hAnsi="Calibri" w:eastAsia="SimSun" w:cs="Calibri"/>
          <w:sz w:val="36"/>
          <w:szCs w:val="36"/>
        </w:rPr>
        <w:t xml:space="preserve"> Natural language models listen to patient visits in real time and automatically create clinical summaries, prescriptions, and structured case histories to curb physician burnout</w:t>
      </w:r>
    </w:p>
    <w:p w14:paraId="3C26E6E7">
      <w:pPr>
        <w:pStyle w:val="6"/>
        <w:keepNext w:val="0"/>
        <w:keepLines w:val="0"/>
        <w:widowControl/>
        <w:numPr>
          <w:ilvl w:val="0"/>
          <w:numId w:val="3"/>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b/>
          <w:bCs/>
          <w:sz w:val="36"/>
          <w:szCs w:val="36"/>
        </w:rPr>
        <w:t>Revenue Cycle Management:</w:t>
      </w:r>
      <w:r>
        <w:rPr>
          <w:rFonts w:hint="default" w:ascii="Calibri" w:hAnsi="Calibri" w:eastAsia="sans-serif" w:cs="Calibri"/>
          <w:sz w:val="36"/>
          <w:szCs w:val="36"/>
        </w:rPr>
        <w:t xml:space="preserve"> Automated optical character recognition coupled with semantic validation audits insurance claims, verifies policy rules under national schemes, and minimizes claim rejections. </w:t>
      </w:r>
    </w:p>
    <w:p w14:paraId="6AF96912">
      <w:pPr>
        <w:pStyle w:val="6"/>
        <w:keepNext w:val="0"/>
        <w:keepLines w:val="0"/>
        <w:widowControl/>
        <w:numPr>
          <w:ilvl w:val="0"/>
          <w:numId w:val="3"/>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b/>
          <w:bCs/>
          <w:sz w:val="36"/>
          <w:szCs w:val="36"/>
        </w:rPr>
        <w:t>Logistics and Resource Allocation:</w:t>
      </w:r>
      <w:r>
        <w:rPr>
          <w:rFonts w:hint="default" w:ascii="Calibri" w:hAnsi="Calibri" w:eastAsia="sans-serif" w:cs="Calibri"/>
          <w:sz w:val="36"/>
          <w:szCs w:val="36"/>
        </w:rPr>
        <w:t xml:space="preserve"> Predictive time-series models forecast emergency department footfall, manage elective surgery waitlists, and optimize medical supply chains. </w:t>
      </w:r>
    </w:p>
    <w:p w14:paraId="6C6F59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ans-serif" w:cs="Calibri"/>
          <w:sz w:val="36"/>
          <w:szCs w:val="36"/>
        </w:rPr>
      </w:pPr>
    </w:p>
    <w:p w14:paraId="0B364375">
      <w:pPr>
        <w:pStyle w:val="2"/>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3. SWOT Analysis of AI Integration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2"/>
        <w:gridCol w:w="6222"/>
      </w:tblGrid>
      <w:tr w14:paraId="6ABAE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5938812">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Category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8922287">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Factors and Observations</w:t>
            </w:r>
          </w:p>
        </w:tc>
      </w:tr>
      <w:tr w14:paraId="02F83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E018D12">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Strengths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815F3C1">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Fast processing of multi-modal diagnostic data; automated mundane paperwork; early detection of chronic conditions; streamlined triage workflows. </w:t>
            </w:r>
          </w:p>
        </w:tc>
      </w:tr>
      <w:tr w14:paraId="30F1C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E58599F">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Weaknesses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3F027B3">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High upfront hardware and licensing expenses; fragmented electronic medical record systems; legacy network limits; doctor hesitancy to trust automated recommendations. </w:t>
            </w:r>
          </w:p>
        </w:tc>
      </w:tr>
      <w:tr w14:paraId="711A6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831D359">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Opportunities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01C01B6">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Integration with Ayushman Bharat Digital Mission registries; tele-diagnostics for remote rural health outposts; predictive preventative community care. </w:t>
            </w:r>
          </w:p>
        </w:tc>
      </w:tr>
      <w:tr w14:paraId="086E4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A090F5B">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Threats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B159D90">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Cyber attacks on centralized repositories; algorithmic bias on unrepresentative populations; liability ambiguities; dynamic regulatory compliances</w:t>
            </w:r>
          </w:p>
        </w:tc>
      </w:tr>
    </w:tbl>
    <w:p w14:paraId="3297FB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ans-serif" w:cs="Calibri"/>
          <w:sz w:val="36"/>
          <w:szCs w:val="36"/>
          <w:lang w:val="en-US"/>
        </w:rPr>
      </w:pPr>
      <w:r>
        <w:rPr>
          <w:rFonts w:hint="default" w:ascii="Calibri" w:hAnsi="Calibri" w:eastAsia="sans-serif" w:cs="Calibri"/>
          <w:sz w:val="36"/>
          <w:szCs w:val="36"/>
          <w:lang w:val="en-US"/>
        </w:rPr>
        <w:t xml:space="preserve"> </w:t>
      </w:r>
    </w:p>
    <w:p w14:paraId="1F8995F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ans-serif" w:cs="Calibri"/>
          <w:sz w:val="36"/>
          <w:szCs w:val="36"/>
          <w:lang w:val="en-US"/>
        </w:rPr>
      </w:pPr>
    </w:p>
    <w:p w14:paraId="296F57BE">
      <w:pPr>
        <w:pStyle w:val="2"/>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4. Regulatory Framework, Data Governance, and Ethics</w:t>
      </w:r>
    </w:p>
    <w:p w14:paraId="2ED29622">
      <w:pPr>
        <w:pStyle w:val="3"/>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Data Protection and Compliance</w:t>
      </w:r>
    </w:p>
    <w:p w14:paraId="50AF584C">
      <w:pPr>
        <w:pStyle w:val="6"/>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Deploying healthcare intelligence requires strict adherence to privacy legislation and safe information sharing: </w:t>
      </w:r>
    </w:p>
    <w:p w14:paraId="77B1CBB9">
      <w:pPr>
        <w:pStyle w:val="6"/>
        <w:keepNext w:val="0"/>
        <w:keepLines w:val="0"/>
        <w:widowControl/>
        <w:numPr>
          <w:ilvl w:val="0"/>
          <w:numId w:val="4"/>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Compliance with the Digital Personal Data Protection Act, ensuring explicit patient consent architectures for any data ingestion, model processing, or secondary model validation. </w:t>
      </w:r>
    </w:p>
    <w:p w14:paraId="0D20FC3C">
      <w:pPr>
        <w:pStyle w:val="6"/>
        <w:keepNext w:val="0"/>
        <w:keepLines w:val="0"/>
        <w:widowControl/>
        <w:numPr>
          <w:ilvl w:val="0"/>
          <w:numId w:val="4"/>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Secure integration with the Ayushman Bharat Digital Mission, leveraging open interfaces and unified health interface standards for interoperability. </w:t>
      </w:r>
    </w:p>
    <w:p w14:paraId="654DF476">
      <w:pPr>
        <w:pStyle w:val="6"/>
        <w:keepNext w:val="0"/>
        <w:keepLines w:val="0"/>
        <w:widowControl/>
        <w:numPr>
          <w:ilvl w:val="0"/>
          <w:numId w:val="4"/>
        </w:numPr>
        <w:suppressLineNumbers w:val="0"/>
        <w:spacing w:before="0" w:beforeAutospacing="0" w:line="14" w:lineRule="atLeast"/>
        <w:ind w:left="418" w:leftChars="0" w:right="0" w:hanging="418" w:firstLineChars="0"/>
        <w:rPr>
          <w:rFonts w:hint="default" w:ascii="Calibri" w:hAnsi="Calibri" w:eastAsia="SimSun" w:cs="Calibri"/>
          <w:sz w:val="36"/>
          <w:szCs w:val="36"/>
          <w:lang w:val="en-US" w:eastAsia="zh-CN"/>
        </w:rPr>
      </w:pPr>
      <w:r>
        <w:rPr>
          <w:rFonts w:hint="default" w:ascii="Calibri" w:hAnsi="Calibri" w:eastAsia="sans-serif" w:cs="Calibri"/>
          <w:sz w:val="36"/>
          <w:szCs w:val="36"/>
        </w:rPr>
        <w:t>System configurations adhering to ISO/IEC 27001 data protection practices alongside regional health information regulations.</w:t>
      </w:r>
    </w:p>
    <w:p w14:paraId="5A4B696B">
      <w:pPr>
        <w:pStyle w:val="3"/>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Ethical Considerations and Algorithmic Safety</w:t>
      </w:r>
    </w:p>
    <w:p w14:paraId="25DFA421">
      <w:pPr>
        <w:pStyle w:val="6"/>
        <w:keepNext w:val="0"/>
        <w:keepLines w:val="0"/>
        <w:widowControl/>
        <w:numPr>
          <w:ilvl w:val="0"/>
          <w:numId w:val="4"/>
        </w:numPr>
        <w:suppressLineNumbers w:val="0"/>
        <w:tabs>
          <w:tab w:val="clear" w:pos="420"/>
        </w:tabs>
        <w:spacing w:before="0" w:beforeAutospacing="0" w:line="14" w:lineRule="atLeast"/>
        <w:ind w:left="418" w:leftChars="0" w:right="0" w:rightChars="0" w:hanging="418" w:firstLineChars="0"/>
        <w:rPr>
          <w:rFonts w:hint="default" w:ascii="Calibri" w:hAnsi="Calibri" w:eastAsia="sans-serif" w:cs="Calibri"/>
          <w:sz w:val="36"/>
          <w:szCs w:val="36"/>
        </w:rPr>
      </w:pPr>
      <w:r>
        <w:rPr>
          <w:rFonts w:hint="default" w:ascii="Calibri" w:hAnsi="Calibri" w:eastAsia="sans-serif" w:cs="Calibri"/>
          <w:b/>
          <w:bCs/>
          <w:sz w:val="36"/>
          <w:szCs w:val="36"/>
        </w:rPr>
        <w:t>Model Explainability:</w:t>
      </w:r>
      <w:r>
        <w:rPr>
          <w:rFonts w:hint="default" w:ascii="Calibri" w:hAnsi="Calibri" w:eastAsia="sans-serif" w:cs="Calibri"/>
          <w:sz w:val="36"/>
          <w:szCs w:val="36"/>
        </w:rPr>
        <w:t xml:space="preserve"> Clinical diagnostic recommendations must not function as black-box inferences. Visual heatmaps, attention scores, and clear probability distributions are mandatory for diagnostic decisions. </w:t>
      </w:r>
    </w:p>
    <w:p w14:paraId="14D22E9C">
      <w:pPr>
        <w:pStyle w:val="6"/>
        <w:keepNext w:val="0"/>
        <w:keepLines w:val="0"/>
        <w:widowControl/>
        <w:numPr>
          <w:ilvl w:val="0"/>
          <w:numId w:val="4"/>
        </w:numPr>
        <w:suppressLineNumbers w:val="0"/>
        <w:tabs>
          <w:tab w:val="clear" w:pos="420"/>
        </w:tabs>
        <w:spacing w:before="0" w:beforeAutospacing="0" w:line="14" w:lineRule="atLeast"/>
        <w:ind w:left="418" w:leftChars="0" w:right="0" w:rightChars="0" w:hanging="418" w:firstLineChars="0"/>
        <w:rPr>
          <w:rFonts w:hint="default" w:ascii="Calibri" w:hAnsi="Calibri" w:eastAsia="sans-serif" w:cs="Calibri"/>
          <w:sz w:val="36"/>
          <w:szCs w:val="36"/>
        </w:rPr>
      </w:pPr>
      <w:r>
        <w:rPr>
          <w:rFonts w:hint="default" w:ascii="Calibri" w:hAnsi="Calibri" w:eastAsia="sans-serif" w:cs="Calibri"/>
          <w:b/>
          <w:bCs/>
          <w:sz w:val="36"/>
          <w:szCs w:val="36"/>
        </w:rPr>
        <w:t>Human-in-the-Loop Safeguards:</w:t>
      </w:r>
      <w:r>
        <w:rPr>
          <w:rFonts w:hint="default" w:ascii="Calibri" w:hAnsi="Calibri" w:eastAsia="sans-serif" w:cs="Calibri"/>
          <w:sz w:val="36"/>
          <w:szCs w:val="36"/>
        </w:rPr>
        <w:t xml:space="preserve"> AI tools function strictly as clinical decision support systems. Licensed physicians retain complete decision-making authority and final liability.</w:t>
      </w:r>
    </w:p>
    <w:p w14:paraId="04BF3311">
      <w:pPr>
        <w:pStyle w:val="6"/>
        <w:keepNext w:val="0"/>
        <w:keepLines w:val="0"/>
        <w:widowControl/>
        <w:numPr>
          <w:ilvl w:val="0"/>
          <w:numId w:val="4"/>
        </w:numPr>
        <w:suppressLineNumbers w:val="0"/>
        <w:tabs>
          <w:tab w:val="clear" w:pos="420"/>
        </w:tabs>
        <w:spacing w:before="0" w:beforeAutospacing="0" w:line="14" w:lineRule="atLeast"/>
        <w:ind w:left="418" w:leftChars="0" w:right="0" w:rightChars="0" w:hanging="418" w:firstLineChars="0"/>
        <w:rPr>
          <w:rFonts w:hint="default" w:ascii="Calibri" w:hAnsi="Calibri" w:eastAsia="SimSun" w:cs="Calibri"/>
          <w:sz w:val="36"/>
          <w:szCs w:val="36"/>
          <w:lang w:val="en-US" w:eastAsia="zh-CN"/>
        </w:rPr>
      </w:pPr>
      <w:r>
        <w:rPr>
          <w:rFonts w:hint="default" w:ascii="Calibri" w:hAnsi="Calibri" w:eastAsia="sans-serif" w:cs="Calibri"/>
          <w:b/>
          <w:bCs/>
          <w:sz w:val="36"/>
          <w:szCs w:val="36"/>
        </w:rPr>
        <w:t>Demographic Bias Remediation:</w:t>
      </w:r>
      <w:r>
        <w:rPr>
          <w:rFonts w:hint="default" w:ascii="Calibri" w:hAnsi="Calibri" w:eastAsia="sans-serif" w:cs="Calibri"/>
          <w:sz w:val="36"/>
          <w:szCs w:val="36"/>
        </w:rPr>
        <w:t xml:space="preserve"> Training, validation, and benchmarking must include diverse regional, socioeconomic, gender, and age cohorts to avoid biased predictions.</w:t>
      </w:r>
    </w:p>
    <w:p w14:paraId="4F514E86">
      <w:pPr>
        <w:pStyle w:val="2"/>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5. Enterprise Risk Assessment and Mitigation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8"/>
        <w:gridCol w:w="2527"/>
        <w:gridCol w:w="1474"/>
        <w:gridCol w:w="2895"/>
      </w:tblGrid>
      <w:tr w14:paraId="51D41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A49C92C">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Risk Vector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E629741">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Description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F032F9E">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Severity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1DF2F42">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Style w:val="7"/>
                <w:rFonts w:hint="default" w:ascii="Calibri" w:hAnsi="Calibri" w:eastAsia="sans-serif" w:cs="Calibri"/>
                <w:kern w:val="0"/>
                <w:sz w:val="36"/>
                <w:szCs w:val="36"/>
                <w:lang w:val="en-US" w:eastAsia="zh-CN" w:bidi="ar"/>
              </w:rPr>
              <w:t>Mitigation Strategy</w:t>
            </w:r>
          </w:p>
        </w:tc>
      </w:tr>
      <w:tr w14:paraId="052C0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A789FEB">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Model Drift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7D75355">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Decline in predictive accuracy due to changing population demographics or new clinical equipment.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8486106">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kern w:val="0"/>
                <w:sz w:val="36"/>
                <w:szCs w:val="36"/>
                <w:lang w:val="en-US" w:eastAsia="zh-CN" w:bidi="ar"/>
              </w:rPr>
              <w:t>High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0F3DF51">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Continuous model monitoring with regular validation cycles and retraining protocols. </w:t>
            </w:r>
          </w:p>
        </w:tc>
      </w:tr>
      <w:tr w14:paraId="4E459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3EF6D22">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System Security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AF0DDDC">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Breach attempts targeting sensitive patient records and diagnostic imagery stores.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3E9C108">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kern w:val="0"/>
                <w:sz w:val="36"/>
                <w:szCs w:val="36"/>
                <w:lang w:val="en-US" w:eastAsia="zh-CN" w:bidi="ar"/>
              </w:rPr>
              <w:t>Critical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C5FC2D2">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Zero-trust access policies, cryptographic anonymization, and field-level database encryption. </w:t>
            </w:r>
          </w:p>
        </w:tc>
      </w:tr>
      <w:tr w14:paraId="74C2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12C55A6">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Workflow Friction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2E49053">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Clinician resistance stemming from disrupted daily routines and poor interface integration.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5985FC6">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kern w:val="0"/>
                <w:sz w:val="36"/>
                <w:szCs w:val="36"/>
                <w:lang w:val="en-US" w:eastAsia="zh-CN" w:bidi="ar"/>
              </w:rPr>
              <w:t>Medium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256A329">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Co-designing interfaces alongside clinicians and providing specialized training. </w:t>
            </w:r>
          </w:p>
        </w:tc>
      </w:tr>
      <w:tr w14:paraId="616D1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1EDBDA5">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b/>
                <w:bCs/>
                <w:kern w:val="0"/>
                <w:sz w:val="36"/>
                <w:szCs w:val="36"/>
                <w:lang w:val="en-US" w:eastAsia="zh-CN" w:bidi="ar"/>
              </w:rPr>
              <w:t>Liability Ambiguity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DFE4BA7">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Unclear legal accountability in instances of misclassification or missed diagnostic flags.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6D326F0">
            <w:pPr>
              <w:keepNext w:val="0"/>
              <w:keepLines w:val="0"/>
              <w:widowControl/>
              <w:suppressLineNumbers w:val="0"/>
              <w:spacing w:before="0" w:beforeAutospacing="0" w:line="14" w:lineRule="atLeast"/>
              <w:ind w:left="0" w:right="0"/>
              <w:jc w:val="left"/>
              <w:rPr>
                <w:rFonts w:hint="default" w:ascii="Calibri" w:hAnsi="Calibri" w:eastAsia="sans-serif" w:cs="Calibri"/>
                <w:sz w:val="36"/>
                <w:szCs w:val="36"/>
              </w:rPr>
            </w:pPr>
            <w:r>
              <w:rPr>
                <w:rFonts w:hint="default" w:ascii="Calibri" w:hAnsi="Calibri" w:eastAsia="sans-serif" w:cs="Calibri"/>
                <w:kern w:val="0"/>
                <w:sz w:val="36"/>
                <w:szCs w:val="36"/>
                <w:lang w:val="en-US" w:eastAsia="zh-CN" w:bidi="ar"/>
              </w:rPr>
              <w:t>High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01DA5AE">
            <w:pPr>
              <w:pStyle w:val="6"/>
              <w:keepNext w:val="0"/>
              <w:keepLines w:val="0"/>
              <w:widowControl/>
              <w:suppressLineNumbers w:val="0"/>
              <w:spacing w:before="0" w:beforeAutospacing="0" w:after="0" w:after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 xml:space="preserve">Explicit legal consent forms and strict classification of AI outputs as assistive recommendations. </w:t>
            </w:r>
          </w:p>
        </w:tc>
      </w:tr>
    </w:tbl>
    <w:p w14:paraId="4A65D50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imSun" w:cs="Calibri"/>
          <w:sz w:val="36"/>
          <w:szCs w:val="36"/>
          <w:lang w:val="en-US" w:eastAsia="zh-CN"/>
        </w:rPr>
      </w:pPr>
    </w:p>
    <w:p w14:paraId="53E50DAA">
      <w:pPr>
        <w:pStyle w:val="2"/>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6. Strategic Implementation Roadmap</w:t>
      </w:r>
    </w:p>
    <w:p w14:paraId="1E4C6DB5">
      <w:pPr>
        <w:pStyle w:val="3"/>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Phase 1: Planning and Infrastructure Audit (Months 1–6)</w:t>
      </w:r>
    </w:p>
    <w:p w14:paraId="271EE91B">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Audit electronic health records, diagnostic equipment, picture archiving networks, and data pipelines. </w:t>
      </w:r>
    </w:p>
    <w:p w14:paraId="63ACA6A1">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Form an enterprise clinical AI committee comprising chief medical officers, cybersecurity heads, legal counsel, and clinical leads. </w:t>
      </w:r>
    </w:p>
    <w:p w14:paraId="1E80EA94">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imSun" w:cs="Calibri"/>
          <w:sz w:val="36"/>
          <w:szCs w:val="36"/>
          <w:lang w:val="en-US" w:eastAsia="zh-CN"/>
        </w:rPr>
      </w:pPr>
      <w:r>
        <w:rPr>
          <w:rFonts w:hint="default" w:ascii="Calibri" w:hAnsi="Calibri" w:eastAsia="sans-serif" w:cs="Calibri"/>
          <w:sz w:val="36"/>
          <w:szCs w:val="36"/>
        </w:rPr>
        <w:t xml:space="preserve">Run technical proof-of-concept tests for high-volume, low-risk tools such as ambient transcription and automated administrative processing. </w:t>
      </w:r>
    </w:p>
    <w:p w14:paraId="6C3FFBF3">
      <w:pPr>
        <w:pStyle w:val="3"/>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Phase 2: Pilot Deployment and Integration (Months 7–18)</w:t>
      </w:r>
    </w:p>
    <w:p w14:paraId="7D654090">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Roll out computer vision triage support in radiology for emergency trauma imaging. </w:t>
      </w:r>
    </w:p>
    <w:p w14:paraId="3429D6A2">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Connect administrative models to billing software, automated insurance portals, and patient scheduling queues. </w:t>
      </w:r>
    </w:p>
    <w:p w14:paraId="46369139">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imSun" w:cs="Calibri"/>
          <w:sz w:val="36"/>
          <w:szCs w:val="36"/>
          <w:lang w:val="en-US" w:eastAsia="zh-CN"/>
        </w:rPr>
      </w:pPr>
      <w:r>
        <w:rPr>
          <w:rFonts w:hint="default" w:ascii="Calibri" w:hAnsi="Calibri" w:eastAsia="sans-serif" w:cs="Calibri"/>
          <w:sz w:val="36"/>
          <w:szCs w:val="36"/>
        </w:rPr>
        <w:t>Establish automated data pipelines aligned with national digital health protocols to test interoperability.</w:t>
      </w:r>
    </w:p>
    <w:p w14:paraId="6B809937">
      <w:pPr>
        <w:pStyle w:val="3"/>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Phase 3: Hospital-Wide Rollout and Optimization (Months 19–36)</w:t>
      </w:r>
    </w:p>
    <w:p w14:paraId="08418585">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Expand predictive inpatient models to monitor vitals and predict deterioration across intensive care units and general wards. </w:t>
      </w:r>
    </w:p>
    <w:p w14:paraId="61B93610">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 xml:space="preserve">Implement automated federated learning protocols across hospital networks to update models without exposing local patient data. </w:t>
      </w:r>
    </w:p>
    <w:p w14:paraId="50085303">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sz w:val="36"/>
          <w:szCs w:val="36"/>
        </w:rPr>
        <w:t>Institutionalize continuous audit cycles covering algorithmic safety, clinician feedback, and patient outcome metrics</w:t>
      </w:r>
    </w:p>
    <w:p w14:paraId="0A70CCFD">
      <w:pPr>
        <w:pStyle w:val="2"/>
        <w:keepNext w:val="0"/>
        <w:keepLines w:val="0"/>
        <w:widowControl/>
        <w:suppressLineNumbers w:val="0"/>
        <w:spacing w:before="0" w:beforeAutospacing="0" w:line="14" w:lineRule="atLeast"/>
        <w:ind w:left="0" w:right="0"/>
        <w:rPr>
          <w:rFonts w:hint="default" w:ascii="Calibri" w:hAnsi="Calibri" w:eastAsia="sans-serif" w:cs="Calibri"/>
          <w:sz w:val="36"/>
          <w:szCs w:val="36"/>
        </w:rPr>
      </w:pPr>
      <w:r>
        <w:rPr>
          <w:rFonts w:hint="default" w:ascii="Calibri" w:hAnsi="Calibri" w:eastAsia="sans-serif" w:cs="Calibri"/>
          <w:sz w:val="36"/>
          <w:szCs w:val="36"/>
        </w:rPr>
        <w:t>7. Operational and Financial Strategy</w:t>
      </w:r>
    </w:p>
    <w:p w14:paraId="397E1ED6">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b/>
          <w:bCs/>
          <w:sz w:val="36"/>
          <w:szCs w:val="36"/>
        </w:rPr>
        <w:t>Financial Models:</w:t>
      </w:r>
      <w:r>
        <w:rPr>
          <w:rFonts w:hint="default" w:ascii="Calibri" w:hAnsi="Calibri" w:eastAsia="sans-serif" w:cs="Calibri"/>
          <w:sz w:val="36"/>
          <w:szCs w:val="36"/>
        </w:rPr>
        <w:t xml:space="preserve"> Leverage software-as-a-service models for administrative tools to control initial capital expenditures, while deploying on-premises enterprise clusters for highly sensitive diagnostic operations. </w:t>
      </w:r>
    </w:p>
    <w:p w14:paraId="7AE4E912">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b/>
          <w:bCs/>
          <w:sz w:val="36"/>
          <w:szCs w:val="36"/>
        </w:rPr>
        <w:t>Return on Investment Metrics:</w:t>
      </w:r>
      <w:r>
        <w:rPr>
          <w:rFonts w:hint="default" w:ascii="Calibri" w:hAnsi="Calibri" w:eastAsia="sans-serif" w:cs="Calibri"/>
          <w:sz w:val="36"/>
          <w:szCs w:val="36"/>
        </w:rPr>
        <w:t xml:space="preserve"> Track quantitative indicators including reduction in claims rejection rates, shortened inpatient length of stay, faster radiology report turnarounds, and lower administrative overtime. </w:t>
      </w:r>
    </w:p>
    <w:p w14:paraId="21C19FBD">
      <w:pPr>
        <w:pStyle w:val="6"/>
        <w:keepNext w:val="0"/>
        <w:keepLines w:val="0"/>
        <w:widowControl/>
        <w:numPr>
          <w:ilvl w:val="0"/>
          <w:numId w:val="5"/>
        </w:numPr>
        <w:suppressLineNumbers w:val="0"/>
        <w:spacing w:before="0" w:beforeAutospacing="0" w:line="14" w:lineRule="atLeast"/>
        <w:ind w:left="418" w:leftChars="0" w:right="0" w:hanging="418" w:firstLineChars="0"/>
        <w:rPr>
          <w:rFonts w:hint="default" w:ascii="Calibri" w:hAnsi="Calibri" w:eastAsia="sans-serif" w:cs="Calibri"/>
          <w:sz w:val="36"/>
          <w:szCs w:val="36"/>
        </w:rPr>
      </w:pPr>
      <w:r>
        <w:rPr>
          <w:rFonts w:hint="default" w:ascii="Calibri" w:hAnsi="Calibri" w:eastAsia="sans-serif" w:cs="Calibri"/>
          <w:b/>
          <w:bCs/>
          <w:sz w:val="36"/>
          <w:szCs w:val="36"/>
        </w:rPr>
        <w:t>Change Management:</w:t>
      </w:r>
      <w:r>
        <w:rPr>
          <w:rFonts w:hint="default" w:ascii="Calibri" w:hAnsi="Calibri" w:eastAsia="sans-serif" w:cs="Calibri"/>
          <w:sz w:val="36"/>
          <w:szCs w:val="36"/>
        </w:rPr>
        <w:t xml:space="preserve"> Implement structured training across clinical, nursing, and administrative teams to cultivate institutional technical literacy</w:t>
      </w:r>
    </w:p>
    <w:p w14:paraId="156A8C7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ans-serif" w:cs="Calibri"/>
          <w:sz w:val="36"/>
          <w:szCs w:val="36"/>
        </w:rPr>
      </w:pPr>
    </w:p>
    <w:p w14:paraId="1B23445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ans-serif" w:cs="Calibri"/>
          <w:sz w:val="36"/>
          <w:szCs w:val="36"/>
        </w:rPr>
      </w:pPr>
    </w:p>
    <w:p w14:paraId="433D6800">
      <w:pPr>
        <w:pStyle w:val="2"/>
        <w:keepNext w:val="0"/>
        <w:keepLines w:val="0"/>
        <w:widowControl/>
        <w:suppressLineNumbers w:val="0"/>
        <w:rPr>
          <w:rFonts w:hint="default" w:ascii="Calibri" w:hAnsi="Calibri" w:cs="Calibri"/>
          <w:sz w:val="36"/>
          <w:szCs w:val="36"/>
        </w:rPr>
      </w:pPr>
      <w:r>
        <w:rPr>
          <w:rFonts w:hint="default" w:ascii="Calibri" w:hAnsi="Calibri" w:cs="Calibri"/>
          <w:sz w:val="36"/>
          <w:szCs w:val="36"/>
        </w:rPr>
        <w:t>8. Conclusion and Future Recommendations</w:t>
      </w:r>
    </w:p>
    <w:p w14:paraId="05C74A0A">
      <w:pPr>
        <w:pStyle w:val="6"/>
        <w:keepNext w:val="0"/>
        <w:keepLines w:val="0"/>
        <w:widowControl/>
        <w:suppressLineNumbers w:val="0"/>
        <w:rPr>
          <w:rFonts w:hint="default" w:ascii="Calibri" w:hAnsi="Calibri" w:cs="Calibri"/>
          <w:sz w:val="36"/>
          <w:szCs w:val="36"/>
        </w:rPr>
      </w:pPr>
      <w:r>
        <w:rPr>
          <w:rFonts w:hint="default" w:ascii="Calibri" w:hAnsi="Calibri" w:cs="Calibri"/>
          <w:sz w:val="36"/>
          <w:szCs w:val="36"/>
        </w:rPr>
        <w:t xml:space="preserve">Adopting artificial intelligence across clinical and administrative workflows delivers measurable gains in diagnostic speed, departmental efficiency, and clinician well-being. Successful rollouts demand balanced investments across technical architecture, regulatory rigor, patient safety protocols, and staff change management. Organizations that build scalable, ethics-centered AI frameworks today will drive accessible, high-reliability care across all patient communities. </w:t>
      </w:r>
    </w:p>
    <w:p w14:paraId="7915D19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Calibri" w:hAnsi="Calibri" w:eastAsia="SimSun" w:cs="Calibri"/>
          <w:sz w:val="36"/>
          <w:szCs w:val="36"/>
          <w:lang w:val="en-US" w:eastAsia="zh-CN"/>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CB9DC"/>
    <w:multiLevelType w:val="singleLevel"/>
    <w:tmpl w:val="87ACB9DC"/>
    <w:lvl w:ilvl="0" w:tentative="0">
      <w:start w:val="1"/>
      <w:numFmt w:val="bullet"/>
      <w:lvlText w:val="סּ"/>
      <w:lvlJc w:val="left"/>
      <w:pPr>
        <w:tabs>
          <w:tab w:val="left" w:pos="420"/>
        </w:tabs>
        <w:ind w:left="418" w:leftChars="0" w:hanging="418" w:firstLineChars="0"/>
      </w:pPr>
      <w:rPr>
        <w:rFonts w:hint="default" w:ascii="Arial" w:hAnsi="Arial" w:cs="Arial"/>
      </w:rPr>
    </w:lvl>
  </w:abstractNum>
  <w:abstractNum w:abstractNumId="1">
    <w:nsid w:val="D6D1492F"/>
    <w:multiLevelType w:val="singleLevel"/>
    <w:tmpl w:val="D6D1492F"/>
    <w:lvl w:ilvl="0" w:tentative="0">
      <w:start w:val="1"/>
      <w:numFmt w:val="bullet"/>
      <w:lvlText w:val="סּ"/>
      <w:lvlJc w:val="left"/>
      <w:pPr>
        <w:tabs>
          <w:tab w:val="left" w:pos="420"/>
        </w:tabs>
        <w:ind w:left="418" w:leftChars="0" w:hanging="418" w:firstLineChars="0"/>
      </w:pPr>
      <w:rPr>
        <w:rFonts w:hint="default" w:ascii="Arial" w:hAnsi="Arial" w:cs="Arial"/>
      </w:rPr>
    </w:lvl>
  </w:abstractNum>
  <w:abstractNum w:abstractNumId="2">
    <w:nsid w:val="181B8C07"/>
    <w:multiLevelType w:val="singleLevel"/>
    <w:tmpl w:val="181B8C07"/>
    <w:lvl w:ilvl="0" w:tentative="0">
      <w:start w:val="1"/>
      <w:numFmt w:val="decimal"/>
      <w:suff w:val="space"/>
      <w:lvlText w:val="%1."/>
      <w:lvlJc w:val="left"/>
    </w:lvl>
  </w:abstractNum>
  <w:abstractNum w:abstractNumId="3">
    <w:nsid w:val="1A9B77C3"/>
    <w:multiLevelType w:val="singleLevel"/>
    <w:tmpl w:val="1A9B77C3"/>
    <w:lvl w:ilvl="0" w:tentative="0">
      <w:start w:val="1"/>
      <w:numFmt w:val="bullet"/>
      <w:lvlText w:val="סּ"/>
      <w:lvlJc w:val="left"/>
      <w:pPr>
        <w:tabs>
          <w:tab w:val="left" w:pos="420"/>
        </w:tabs>
        <w:ind w:left="418" w:leftChars="0" w:hanging="418" w:firstLineChars="0"/>
      </w:pPr>
      <w:rPr>
        <w:rFonts w:hint="default" w:ascii="Arial" w:hAnsi="Arial" w:cs="Arial"/>
      </w:rPr>
    </w:lvl>
  </w:abstractNum>
  <w:abstractNum w:abstractNumId="4">
    <w:nsid w:val="39DA7D7F"/>
    <w:multiLevelType w:val="singleLevel"/>
    <w:tmpl w:val="39DA7D7F"/>
    <w:lvl w:ilvl="0" w:tentative="0">
      <w:start w:val="1"/>
      <w:numFmt w:val="bullet"/>
      <w:lvlText w:val="סּ"/>
      <w:lvlJc w:val="left"/>
      <w:pPr>
        <w:tabs>
          <w:tab w:val="left" w:pos="420"/>
        </w:tabs>
        <w:ind w:left="418" w:leftChars="0" w:hanging="418" w:firstLineChars="0"/>
      </w:pPr>
      <w:rPr>
        <w:rFonts w:hint="default" w:ascii="Arial" w:hAnsi="Arial" w:cs="Arial"/>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897FFB"/>
    <w:rsid w:val="2F897FFB"/>
    <w:rsid w:val="40CD1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2026-10-12T13:46:00Z</dcterms:created>
  <dc:creator>DELL</dc:creator>
  <cp:lastModifiedBy>Aditya Bhardwaj</cp:lastModifiedBy>
  <dcterms:modified xsi:type="dcterms:W3CDTF">2026-10-12T16:24:45Z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F3B8B27CF7A1482FA3F1C73B045592B9_11</vt:lpwstr>
  </property>
</Properties>
</file>