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003366"/>
          <w:sz w:val="32"/>
        </w:rPr>
        <w:t>CHAPTER 4: SKILLS LEARNED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4.1 Technical Engineering Competencies</w:t>
      </w:r>
    </w:p>
    <w:p>
      <w:r>
        <w:t>During the development of CourierOS for Saubhari Enterprises, several modern full-stack web development competencies were acquired:</w:t>
        <w:br/>
        <w:br/>
        <w:t>1. Next.js 16 App Router &amp; React 19 RSC:</w:t>
        <w:br/>
        <w:t>Mastered the separation of React Server Components (for fast server rendering) and Client Components (for interactive elements), resulting in optimized JavaScript bundle sizes (&lt;35 KB).</w:t>
        <w:br/>
        <w:br/>
        <w:t>2. Relational Database Modeling with Prisma ORM 7:</w:t>
        <w:br/>
        <w:t>Gained expertise in schema definition, foreign key relations, unique composite indexes, schema migrations, and interactive atomic transactions ($transaction).</w:t>
        <w:br/>
        <w:br/>
        <w:t>3. Security &amp; Role-Based Authorization:</w:t>
        <w:br/>
        <w:t>Implemented secure JWT-based authentication using NextAuth.js v5, role-based route protection middleware, and password hashing using bcryptjs.</w:t>
        <w:br/>
        <w:br/>
        <w:t>4. Data Visualization with Recharts:</w:t>
        <w:br/>
        <w:t>Built responsive executive charts to visualize financial revenue, cash flow, and monthly operational throughput.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4.2 Logistics &amp; ERP Domain Competencies</w:t>
      </w:r>
    </w:p>
    <w:p>
      <w:r>
        <w:t>In addition to software engineering, deep domain knowledge in logistics operations was acquired:</w:t>
        <w:br/>
        <w:br/>
        <w:t>1. Express Freight Rating Mathematics: Understanding dimensional weight formulas (L x W x H / 5000), fuel surcharges, and zone pricing matrices.</w:t>
        <w:br/>
        <w:t>2. Shift Cash Drawer Accounting: Designing cash float session lock cycles and automated variance auditing (Shortage/Excess detection).</w:t>
        <w:br/>
        <w:t>3. GST Tax Compliance: Structuring tax ledgers for 18% GST (CGST 9% + SGST 9% / IGST 18%) invoice generation.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