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60"/>
      </w:pPr>
      <w:r>
        <w:rPr>
          <w:b/>
          <w:color w:val="003366"/>
          <w:sz w:val="32"/>
        </w:rPr>
        <w:t>CHAPTER 6: CHALLENGES &amp; SOLUTIONS</w:t>
      </w:r>
    </w:p>
    <w:p>
      <w:pPr>
        <w:pStyle w:val="Heading2"/>
        <w:spacing w:before="240" w:after="120"/>
      </w:pPr>
      <w:r>
        <w:rPr>
          <w:b/>
          <w:color w:val="225588"/>
          <w:sz w:val="26"/>
        </w:rPr>
        <w:t>6.1 Volumetric Pricing Performance Optimization</w:t>
      </w:r>
    </w:p>
    <w:p>
      <w:r>
        <w:t>Challenge: Computing physical vs. dimensional weight (L x W x H / 5000), rate card multipliers, and GST tax on every keypress caused UI lag during peak booking hours at Saubhari Enterprises.</w:t>
        <w:br/>
        <w:br/>
        <w:t>Solution: Implemented debounced state hooks and memoized calculation functions. Volumetric weight and total pricing now update smoothly without blocking UI input rendering.</w:t>
      </w:r>
    </w:p>
    <w:p>
      <w:pPr>
        <w:pStyle w:val="Heading2"/>
        <w:spacing w:before="240" w:after="120"/>
      </w:pPr>
      <w:r>
        <w:rPr>
          <w:b/>
          <w:color w:val="225588"/>
          <w:sz w:val="26"/>
        </w:rPr>
        <w:t>6.2 Multi-Table Database Consistency</w:t>
      </w:r>
    </w:p>
    <w:p>
      <w:r>
        <w:t>Challenge: Creating a shipment requires writing to multiple database tables simultaneously (Shipment, TrackingEvent, Invoice, Customer counters). If an error occurred mid-way, orphaned shipment records were created.</w:t>
        <w:br/>
        <w:br/>
        <w:t>Solution: Wrapped all creation steps inside a Prisma interactive transaction (prisma.$transaction([])). If any step fails, the entire database transaction rolls back automatically.</w:t>
      </w:r>
    </w:p>
    <w:p>
      <w:pPr>
        <w:pStyle w:val="Heading2"/>
        <w:spacing w:before="240" w:after="120"/>
      </w:pPr>
      <w:r>
        <w:rPr>
          <w:b/>
          <w:color w:val="225588"/>
          <w:sz w:val="26"/>
        </w:rPr>
        <w:t>6.3 Physical Cash Drawer Reconciliation</w:t>
      </w:r>
    </w:p>
    <w:p>
      <w:r>
        <w:t>Challenge: Counter operators at Saubhari Enterprises struggled to audit physical cash in the drawer against cash collected from bookings and spent on local expenses.</w:t>
        <w:br/>
        <w:br/>
        <w:t>Solution: Designed a CashDrawer session lifecycle with opening float tracking, cash-in/out logging, and end-of-shift physical cash verification that highlights exact excess or shortage amounts.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