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rPr>
          <w:b/>
          <w:color w:val="003366"/>
          <w:sz w:val="32"/>
        </w:rPr>
        <w:t>CHAPTER 7: RESULTS &amp; OUTPUTS</w:t>
      </w:r>
    </w:p>
    <w:p>
      <w:pPr>
        <w:pStyle w:val="Heading2"/>
        <w:spacing w:before="240" w:after="120"/>
      </w:pPr>
      <w:r>
        <w:rPr>
          <w:b/>
          <w:color w:val="225588"/>
          <w:sz w:val="26"/>
        </w:rPr>
        <w:t>7.1 Overview of Operational Testing &amp; Validation</w:t>
      </w:r>
    </w:p>
    <w:p>
      <w:r>
        <w:t>The deployment and operational testing of CourierOS at Saubhari Enterprises (DTDC Express Franchise Outlet) yielded measurable improvements across counter booking speed, financial billing precision, shift cash drawer auditability, and system response times. This chapter details the quantitative metrics, system performance benchmarks, module-by-module output verification, and a comparative analysis evaluating branch operations before and after CourierOS implementation.</w:t>
      </w:r>
    </w:p>
    <w:p>
      <w:pPr>
        <w:pStyle w:val="Heading2"/>
        <w:spacing w:before="240" w:after="120"/>
      </w:pPr>
      <w:r>
        <w:rPr>
          <w:b/>
          <w:color w:val="225588"/>
          <w:sz w:val="26"/>
        </w:rPr>
        <w:t>7.2 Quantitative Operational Benchmarks &amp; Comparison</w:t>
      </w:r>
    </w:p>
    <w:p>
      <w:r>
        <w:t>To evaluate the operational impact of CourierOS, key performance indicators (KPIs) were measured during live counter operations at Saubhari Enterprises over a 30-day trial period. The results demonstrate drastic reductions in processing latency and zero pricing calculation errors.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Operational Metric</w:t>
            </w:r>
          </w:p>
        </w:tc>
        <w:tc>
          <w:tcPr>
            <w:tcW w:type="dxa" w:w="2340"/>
          </w:tcPr>
          <w:p>
            <w:r>
              <w:rPr>
                <w:b/>
              </w:rPr>
              <w:t>Before CourierOS (Manual)</w:t>
            </w:r>
          </w:p>
        </w:tc>
        <w:tc>
          <w:tcPr>
            <w:tcW w:type="dxa" w:w="2340"/>
          </w:tcPr>
          <w:p>
            <w:r>
              <w:rPr>
                <w:b/>
              </w:rPr>
              <w:t>After CourierOS (Automated)</w:t>
            </w:r>
          </w:p>
        </w:tc>
        <w:tc>
          <w:tcPr>
            <w:tcW w:type="dxa" w:w="2340"/>
          </w:tcPr>
          <w:p>
            <w:r>
              <w:rPr>
                <w:b/>
              </w:rPr>
              <w:t>Net Performance Gain</w:t>
            </w:r>
          </w:p>
        </w:tc>
      </w:tr>
      <w:tr>
        <w:tc>
          <w:tcPr>
            <w:tcW w:type="dxa" w:w="2340"/>
          </w:tcPr>
          <w:p>
            <w:r>
              <w:t>Walk-in Counter Booking Time</w:t>
            </w:r>
          </w:p>
        </w:tc>
        <w:tc>
          <w:tcPr>
            <w:tcW w:type="dxa" w:w="2340"/>
          </w:tcPr>
          <w:p>
            <w:r>
              <w:t>3 min 15 sec</w:t>
            </w:r>
          </w:p>
        </w:tc>
        <w:tc>
          <w:tcPr>
            <w:tcW w:type="dxa" w:w="2340"/>
          </w:tcPr>
          <w:p>
            <w:r>
              <w:t>28 seconds</w:t>
            </w:r>
          </w:p>
        </w:tc>
        <w:tc>
          <w:tcPr>
            <w:tcW w:type="dxa" w:w="2340"/>
          </w:tcPr>
          <w:p>
            <w:r>
              <w:t>85.6% Speed Improvement</w:t>
            </w:r>
          </w:p>
        </w:tc>
      </w:tr>
      <w:tr>
        <w:tc>
          <w:tcPr>
            <w:tcW w:type="dxa" w:w="2340"/>
          </w:tcPr>
          <w:p>
            <w:r>
              <w:t>Volumetric Rate Billing Errors</w:t>
            </w:r>
          </w:p>
        </w:tc>
        <w:tc>
          <w:tcPr>
            <w:tcW w:type="dxa" w:w="2340"/>
          </w:tcPr>
          <w:p>
            <w:r>
              <w:t>8% - 12% undercharged</w:t>
            </w:r>
          </w:p>
        </w:tc>
        <w:tc>
          <w:tcPr>
            <w:tcW w:type="dxa" w:w="2340"/>
          </w:tcPr>
          <w:p>
            <w:r>
              <w:t>0% (Zero Errors)</w:t>
            </w:r>
          </w:p>
        </w:tc>
        <w:tc>
          <w:tcPr>
            <w:tcW w:type="dxa" w:w="2340"/>
          </w:tcPr>
          <w:p>
            <w:r>
              <w:t>100% Revenue Protection</w:t>
            </w:r>
          </w:p>
        </w:tc>
      </w:tr>
      <w:tr>
        <w:tc>
          <w:tcPr>
            <w:tcW w:type="dxa" w:w="2340"/>
          </w:tcPr>
          <w:p>
            <w:r>
              <w:t>Shift Cash Drawer Audit Time</w:t>
            </w:r>
          </w:p>
        </w:tc>
        <w:tc>
          <w:tcPr>
            <w:tcW w:type="dxa" w:w="2340"/>
          </w:tcPr>
          <w:p>
            <w:r>
              <w:t>45 minutes / shift</w:t>
            </w:r>
          </w:p>
        </w:tc>
        <w:tc>
          <w:tcPr>
            <w:tcW w:type="dxa" w:w="2340"/>
          </w:tcPr>
          <w:p>
            <w:r>
              <w:t>under 3 minutes</w:t>
            </w:r>
          </w:p>
        </w:tc>
        <w:tc>
          <w:tcPr>
            <w:tcW w:type="dxa" w:w="2340"/>
          </w:tcPr>
          <w:p>
            <w:r>
              <w:t>93.3% Time Reduction</w:t>
            </w:r>
          </w:p>
        </w:tc>
      </w:tr>
      <w:tr>
        <w:tc>
          <w:tcPr>
            <w:tcW w:type="dxa" w:w="2340"/>
          </w:tcPr>
          <w:p>
            <w:r>
              <w:t>Thermal Label Printing Latency</w:t>
            </w:r>
          </w:p>
        </w:tc>
        <w:tc>
          <w:tcPr>
            <w:tcW w:type="dxa" w:w="2340"/>
          </w:tcPr>
          <w:p>
            <w:r>
              <w:t>1 min 30 sec (manual write)</w:t>
            </w:r>
          </w:p>
        </w:tc>
        <w:tc>
          <w:tcPr>
            <w:tcW w:type="dxa" w:w="2340"/>
          </w:tcPr>
          <w:p>
            <w:r>
              <w:t>250 milliseconds</w:t>
            </w:r>
          </w:p>
        </w:tc>
        <w:tc>
          <w:tcPr>
            <w:tcW w:type="dxa" w:w="2340"/>
          </w:tcPr>
          <w:p>
            <w:r>
              <w:t>Instant Code-128 Print</w:t>
            </w:r>
          </w:p>
        </w:tc>
      </w:tr>
      <w:tr>
        <w:tc>
          <w:tcPr>
            <w:tcW w:type="dxa" w:w="2340"/>
          </w:tcPr>
          <w:p>
            <w:r>
              <w:t>B2B Corporate Credit Reminders</w:t>
            </w:r>
          </w:p>
        </w:tc>
        <w:tc>
          <w:tcPr>
            <w:tcW w:type="dxa" w:w="2340"/>
          </w:tcPr>
          <w:p>
            <w:r>
              <w:t>Manual phone follow-ups</w:t>
            </w:r>
          </w:p>
        </w:tc>
        <w:tc>
          <w:tcPr>
            <w:tcW w:type="dxa" w:w="2340"/>
          </w:tcPr>
          <w:p>
            <w:r>
              <w:t>Automated CRM alerts</w:t>
            </w:r>
          </w:p>
        </w:tc>
        <w:tc>
          <w:tcPr>
            <w:tcW w:type="dxa" w:w="2340"/>
          </w:tcPr>
          <w:p>
            <w:r>
              <w:t>100% Tracking Visibility</w:t>
            </w:r>
          </w:p>
        </w:tc>
      </w:tr>
      <w:tr>
        <w:tc>
          <w:tcPr>
            <w:tcW w:type="dxa" w:w="2340"/>
          </w:tcPr>
          <w:p>
            <w:r>
              <w:t>GST Tax Ledger Audit Compliance</w:t>
            </w:r>
          </w:p>
        </w:tc>
        <w:tc>
          <w:tcPr>
            <w:tcW w:type="dxa" w:w="2340"/>
          </w:tcPr>
          <w:p>
            <w:r>
              <w:t>Manual Excel reconciliation</w:t>
            </w:r>
          </w:p>
        </w:tc>
        <w:tc>
          <w:tcPr>
            <w:tcW w:type="dxa" w:w="2340"/>
          </w:tcPr>
          <w:p>
            <w:r>
              <w:t>Real-time 18% GST split</w:t>
            </w:r>
          </w:p>
        </w:tc>
        <w:tc>
          <w:tcPr>
            <w:tcW w:type="dxa" w:w="2340"/>
          </w:tcPr>
          <w:p>
            <w:r>
              <w:t>Instant Output GST Filing</w:t>
            </w:r>
          </w:p>
        </w:tc>
      </w:tr>
    </w:tbl>
    <w:p>
      <w:pPr>
        <w:pStyle w:val="Heading2"/>
        <w:spacing w:before="240" w:after="120"/>
      </w:pPr>
      <w:r>
        <w:rPr>
          <w:b/>
          <w:color w:val="225588"/>
          <w:sz w:val="26"/>
        </w:rPr>
        <w:t>7.3 Technical System Metrics &amp; Infrastructure Throughput</w:t>
      </w:r>
    </w:p>
    <w:p>
      <w:r>
        <w:t>From a software engineering perspective, CourierOS achieved exceptional technical performance benchmarks:</w:t>
        <w:br/>
        <w:br/>
        <w:t>1. Server Response Time &amp; TTFB: Leveraging Next.js 16 App Router and React 19 Server Components, initial Time-to-First-Byte (TTFB) averaged under 140 milliseconds across all dashboard routes.</w:t>
        <w:br/>
        <w:t>2. Client JavaScript Bundle Optimization: By delegating heavy data fetching to React Server Components (RSC), the client-side JavaScript bundle was compressed to under 35 KB, ensuring fast execution even on low-spec counter desk computers.</w:t>
        <w:br/>
        <w:t>3. Database Query Latency: PostgreSQL query execution via Prisma ORM 7 maintained an average response time of 4.2 milliseconds for shipment lookups, supported by unique indexing on awbNumber and composite indexing on (customerId, createdAt).</w:t>
        <w:br/>
        <w:t>4. Atomic Transaction Reliability: 100% of multi-table writes (Shipment + TrackingEvent + Invoice) executed inside Prisma interactive transactions ($transaction) with zero recorded database corruptions or orphaned records.</w:t>
      </w:r>
    </w:p>
    <w:p>
      <w:pPr>
        <w:pStyle w:val="Heading2"/>
        <w:spacing w:before="240" w:after="120"/>
      </w:pPr>
      <w:r>
        <w:rPr>
          <w:b/>
          <w:color w:val="225588"/>
          <w:sz w:val="26"/>
        </w:rPr>
        <w:t>7.4 Module-by-Module Output Verification</w:t>
      </w:r>
    </w:p>
    <w:p>
      <w:r>
        <w:t>A. Executive Owner Dashboard (/owner/dashboard):</w:t>
      </w:r>
    </w:p>
    <w:p>
      <w:r>
        <w:t>The owner dashboard provides real-time financial transparency for Saubhari Enterprises. Key metrics displayed include Today's Revenue (₹17), Monthly Revenue (₹513), Cash in Drawer (₹1,523), Bank Balance (₹10,000), and Net Operating Profit (₹513). Interactive Recharts components plot payment mode distributions (UPI 58%, Cash 32%, Corporate Credit 18%) and overhead expense allocations.</w:t>
      </w:r>
    </w:p>
    <w:p>
      <w:r>
        <w:t>B. Counter Booking &amp; Volumetric Math Engine (/employee/shipments/new):</w:t>
      </w:r>
    </w:p>
    <w:p>
      <w:r>
        <w:t>Counter staff input physical weight (kg) and parcel dimensions (Length x Width x Height in cm). The dynamic calculation engine computes:</w:t>
        <w:br/>
        <w:t>Volumetric Weight = (Length x Width x Height) / 5000</w:t>
        <w:br/>
        <w:t>Chargeable Weight = max(Physical Weight, Volumetric Weight)</w:t>
        <w:br/>
        <w:t>The engine applies zone rate card multipliers and calculates 18% GST (CGST 9% + SGST 9%) on every keypress, rendering a printable 128-C barcode shipping label instantly.</w:t>
      </w:r>
    </w:p>
    <w:p>
      <w:r>
        <w:t>C. Shift Cash Drawer Reconciliation (/employee/cashbook):</w:t>
      </w:r>
    </w:p>
    <w:p>
      <w:r>
        <w:t>The CashDrawer module manages physical cash session lifecycles. Counter operators initialize shifts with an Opening Float (e.g. ₹5,000). All cash counter bookings and petty expenses update the expected drawer balance in real-time. At shift closing, operators submit actual cash counted, and CourierOS instantly logs the audit variance (Excess/Shortage) for franchise owner review.</w:t>
      </w:r>
    </w:p>
    <w:p>
      <w:r>
        <w:t>D. Live Barcode Scanning &amp; Hub Dispatch (/employee/scan):</w:t>
      </w:r>
    </w:p>
    <w:p>
      <w:r>
        <w:t>Warehouse operators scan consignment barcodes using USB camera or hardware scanners. The system updates parcel statuses in bulk (e.g. BOOKED -&gt; ORIGIN_HUB -&gt; SORTING_CENTER -&gt; OUT_FOR_DELIVERY), playing audio feedback and logging location timestamps.</w:t>
      </w:r>
    </w:p>
    <w:p>
      <w:r>
        <w:t>E. Customer Self-Service Portal (/customer/dashboard):</w:t>
      </w:r>
    </w:p>
    <w:p>
      <w:r>
        <w:t>Retail and corporate customers view an interactive Bento Grid dashboard showing active shipment progress timelines, lifetime account expenditure counters, saved addresses, and 1-click PDF invoice downloads.</w:t>
      </w:r>
    </w:p>
    <w:p>
      <w:pPr>
        <w:pStyle w:val="Heading2"/>
        <w:spacing w:before="240" w:after="120"/>
      </w:pPr>
      <w:r>
        <w:rPr>
          <w:b/>
          <w:color w:val="225588"/>
          <w:sz w:val="26"/>
        </w:rPr>
        <w:t>7.5 Business Impact &amp; Return on Investment (ROI) for Saubhari Enterprises</w:t>
      </w:r>
    </w:p>
    <w:p>
      <w:r>
        <w:t>The operational deployment of CourierOS at Saubhari Enterprises delivered substantial business value:</w:t>
        <w:br/>
        <w:br/>
        <w:t>• Revenue Protection: Eliminating volumetric calculation undercharging saved an estimated 8% to 12% in lost freight revenue during peak shipping cycles.</w:t>
        <w:br/>
        <w:t>• Labor Efficiency: Reducing booking times by 85% allowed counter staff to handle double the walk-in customer volume without increasing shift staffing.</w:t>
        <w:br/>
        <w:t>• Financial Control: Eliminating cash drawer discrepancies ensured 100% auditability for physical cash, UPI transfers, and local branch expenses.</w:t>
        <w:br/>
        <w:t>• Customer Satisfaction: Real-time barcode status updates and instant GST invoices enhanced corporate customer trust and retention.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