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32"/>
        </w:rPr>
        <w:t>CHAPTER 2: OBJECTIVES</w:t>
      </w:r>
    </w:p>
    <w:p>
      <w:r>
        <w:t>The primary technical and operational objectives of the CourierOS project for Saubhari Enterprises are:</w:t>
        <w:br/>
        <w:br/>
        <w:t>1. Digitize End-to-End Counter Operations: Reduce counter parcel booking time from over 3 minutes down to under 30 seconds per shipment.</w:t>
        <w:br/>
        <w:t>2. Automate Volumetric Rate Calculation: Implement a dynamic rating engine that computes physical weight vs. volumetric weight (L x W x H / 5000), zone multipliers, and 18% GST (CGST 9% + SGST 9%) in real-time.</w:t>
        <w:br/>
        <w:t>3. Enforce Role-Based Access Control (RBAC): Secure access across Franchise Owner, Counter Staff, and Retail/B2B Customer portals.</w:t>
        <w:br/>
        <w:t>4. Implement Shift Cash Drawer Auditing: Provide cash drawer opening/closing sessions with automated variance audits (Shortage/Excess detection) for Saubhari Enterprises cashiers.</w:t>
        <w:br/>
        <w:t>5. Real-time Barcode &amp; QR Label Generation: Render Code-128 shipping labels and dynamic tracking QR codes for 4x6 thermal printing.</w:t>
        <w:br/>
        <w:t>6. B2B Credit &amp; Customer Health Scoring: Provide a CRM scoring algorithm (0-100 score) evaluating corporate credit limits and payment timelines.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