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CHAPTER 6: CHALLENGES &amp; SOLUTIONS</w:t>
      </w:r>
    </w:p>
    <w:p>
      <w:r>
        <w:t>1. Volumetric Pricing Precision &amp; Real-Time Calculation:</w:t>
        <w:br/>
        <w:t>Problem: Calculating volumetric weight (L x W x H / 5000) on every keypress caused input lag during busy counter hours at Saubhari Enterprises.</w:t>
        <w:br/>
        <w:t>Solution: Implemented debounced state hooks and memoized calculation utilities, computing physical vs. dimensional weight instantly without blocking UI rendering.</w:t>
        <w:br/>
        <w:br/>
        <w:t>2. Ensuring Database Consistency Across Multi-Step Bookings:</w:t>
        <w:br/>
        <w:t>Problem: Failure to generate an invoice or tracking log could leave incomplete shipment records in the database.</w:t>
        <w:br/>
        <w:t>Solution: Wrapped all creation steps inside a Prisma interactive transaction (prisma.$transaction([])), ensuring that Shipment, TrackingEvent, and Invoice are written atomically.</w:t>
        <w:br/>
        <w:br/>
        <w:t>3. Cash Drawer Shift Reconciliation &amp; Variance Detection:</w:t>
        <w:br/>
        <w:t>Problem: Counter operators at Saubhari Enterprises had difficulty auditing physical cash in the drawer against cash collected from bookings.</w:t>
        <w:br/>
        <w:t>Solution: Designed a dedicated CashDrawer session lifecycle with explicit opening float input, automated cash ledger tracking, and end-of-shift physical cash count verification highlighting exact excess/shortage amounts.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