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877368" w14:textId="77777777" w:rsidR="009448CC" w:rsidRPr="009448CC" w:rsidRDefault="009448CC" w:rsidP="009448CC">
      <w:r w:rsidRPr="009448CC">
        <w:t>Electric vehicle (EV) manufacturing must adhere to stringent safety standards to ensure the protection of users, workers, and the environment. Below are the key safety features and regulatory requirements for EV manufacturing according to </w:t>
      </w:r>
      <w:r w:rsidRPr="009448CC">
        <w:rPr>
          <w:b/>
          <w:bCs/>
        </w:rPr>
        <w:t>Indian (BIS &amp; AIS Standards)</w:t>
      </w:r>
      <w:r w:rsidRPr="009448CC">
        <w:t> and </w:t>
      </w:r>
      <w:r w:rsidRPr="009448CC">
        <w:rPr>
          <w:b/>
          <w:bCs/>
        </w:rPr>
        <w:t>European (UNECE &amp; EU Regulations)</w:t>
      </w:r>
      <w:r w:rsidRPr="009448CC">
        <w:t> standards:</w:t>
      </w:r>
    </w:p>
    <w:p w14:paraId="71632409" w14:textId="77777777" w:rsidR="009448CC" w:rsidRPr="009448CC" w:rsidRDefault="009448CC" w:rsidP="009448CC">
      <w:r w:rsidRPr="009448CC">
        <w:pict w14:anchorId="659B356D">
          <v:rect id="_x0000_i1079" style="width:0;height:.75pt" o:hralign="center" o:hrstd="t" o:hrnoshade="t" o:hr="t" fillcolor="#f8faff" stroked="f"/>
        </w:pict>
      </w:r>
    </w:p>
    <w:p w14:paraId="036A6383" w14:textId="77777777" w:rsidR="009448CC" w:rsidRPr="009448CC" w:rsidRDefault="009448CC" w:rsidP="009448CC">
      <w:r w:rsidRPr="009448CC">
        <w:rPr>
          <w:b/>
          <w:bCs/>
        </w:rPr>
        <w:t>1. Battery Safety (Most Critical)</w:t>
      </w:r>
    </w:p>
    <w:p w14:paraId="23783DFB" w14:textId="77777777" w:rsidR="009448CC" w:rsidRPr="009448CC" w:rsidRDefault="009448CC" w:rsidP="009448CC">
      <w:r w:rsidRPr="009448CC">
        <w:rPr>
          <w:b/>
          <w:bCs/>
        </w:rPr>
        <w:t>Indian Standards (AIS-038, AIS-048, AIS-156)</w:t>
      </w:r>
    </w:p>
    <w:p w14:paraId="56EE9229" w14:textId="77777777" w:rsidR="009448CC" w:rsidRPr="009448CC" w:rsidRDefault="009448CC" w:rsidP="009448CC">
      <w:pPr>
        <w:numPr>
          <w:ilvl w:val="0"/>
          <w:numId w:val="1"/>
        </w:numPr>
      </w:pPr>
      <w:r w:rsidRPr="009448CC">
        <w:rPr>
          <w:b/>
          <w:bCs/>
        </w:rPr>
        <w:t>Thermal Runaway Prevention</w:t>
      </w:r>
      <w:r w:rsidRPr="009448CC">
        <w:t>: Battery packs must have fire-resistant casing and cooling systems.</w:t>
      </w:r>
    </w:p>
    <w:p w14:paraId="196A0FC8" w14:textId="77777777" w:rsidR="009448CC" w:rsidRPr="009448CC" w:rsidRDefault="009448CC" w:rsidP="009448CC">
      <w:pPr>
        <w:numPr>
          <w:ilvl w:val="0"/>
          <w:numId w:val="1"/>
        </w:numPr>
      </w:pPr>
      <w:r w:rsidRPr="009448CC">
        <w:rPr>
          <w:b/>
          <w:bCs/>
        </w:rPr>
        <w:t>Overcharge/Over-discharge Protection</w:t>
      </w:r>
      <w:r w:rsidRPr="009448CC">
        <w:t>: Battery Management System (BMS) required.</w:t>
      </w:r>
    </w:p>
    <w:p w14:paraId="14EC19D1" w14:textId="77777777" w:rsidR="009448CC" w:rsidRPr="009448CC" w:rsidRDefault="009448CC" w:rsidP="009448CC">
      <w:pPr>
        <w:numPr>
          <w:ilvl w:val="0"/>
          <w:numId w:val="1"/>
        </w:numPr>
      </w:pPr>
      <w:r w:rsidRPr="009448CC">
        <w:rPr>
          <w:b/>
          <w:bCs/>
        </w:rPr>
        <w:t>Crash Safety</w:t>
      </w:r>
      <w:r w:rsidRPr="009448CC">
        <w:t>: Batteries must withstand impact (tested as per AIS-048).</w:t>
      </w:r>
    </w:p>
    <w:p w14:paraId="40A71635" w14:textId="77777777" w:rsidR="009448CC" w:rsidRPr="009448CC" w:rsidRDefault="009448CC" w:rsidP="009448CC">
      <w:pPr>
        <w:numPr>
          <w:ilvl w:val="0"/>
          <w:numId w:val="1"/>
        </w:numPr>
      </w:pPr>
      <w:r w:rsidRPr="009448CC">
        <w:rPr>
          <w:b/>
          <w:bCs/>
        </w:rPr>
        <w:t>IP67 Rating</w:t>
      </w:r>
      <w:r w:rsidRPr="009448CC">
        <w:t>: Protection against dust and water ingress.</w:t>
      </w:r>
    </w:p>
    <w:p w14:paraId="650BBA55" w14:textId="77777777" w:rsidR="009448CC" w:rsidRPr="009448CC" w:rsidRDefault="009448CC" w:rsidP="009448CC">
      <w:r w:rsidRPr="009448CC">
        <w:rPr>
          <w:b/>
          <w:bCs/>
        </w:rPr>
        <w:t>European Standards (UNECE R100, R136, EU 2019/631)</w:t>
      </w:r>
    </w:p>
    <w:p w14:paraId="0DF828DF" w14:textId="77777777" w:rsidR="009448CC" w:rsidRPr="009448CC" w:rsidRDefault="009448CC" w:rsidP="009448CC">
      <w:pPr>
        <w:numPr>
          <w:ilvl w:val="0"/>
          <w:numId w:val="2"/>
        </w:numPr>
      </w:pPr>
      <w:r w:rsidRPr="009448CC">
        <w:rPr>
          <w:b/>
          <w:bCs/>
        </w:rPr>
        <w:t>Cell &amp; Module Testing</w:t>
      </w:r>
      <w:r w:rsidRPr="009448CC">
        <w:t>: Must pass vibration, shock, and fire resistance tests.</w:t>
      </w:r>
    </w:p>
    <w:p w14:paraId="0444AC43" w14:textId="77777777" w:rsidR="009448CC" w:rsidRPr="009448CC" w:rsidRDefault="009448CC" w:rsidP="009448CC">
      <w:pPr>
        <w:numPr>
          <w:ilvl w:val="0"/>
          <w:numId w:val="2"/>
        </w:numPr>
      </w:pPr>
      <w:r w:rsidRPr="009448CC">
        <w:rPr>
          <w:b/>
          <w:bCs/>
        </w:rPr>
        <w:t>Short-Circuit Protection</w:t>
      </w:r>
      <w:r w:rsidRPr="009448CC">
        <w:t>: Isolation monitoring and automatic cut-off.</w:t>
      </w:r>
    </w:p>
    <w:p w14:paraId="5991311F" w14:textId="77777777" w:rsidR="009448CC" w:rsidRPr="009448CC" w:rsidRDefault="009448CC" w:rsidP="009448CC">
      <w:pPr>
        <w:numPr>
          <w:ilvl w:val="0"/>
          <w:numId w:val="2"/>
        </w:numPr>
      </w:pPr>
      <w:r w:rsidRPr="009448CC">
        <w:rPr>
          <w:b/>
          <w:bCs/>
        </w:rPr>
        <w:t>Recyclability Compliance</w:t>
      </w:r>
      <w:r w:rsidRPr="009448CC">
        <w:t>: Follow EU Battery Directive (2023).</w:t>
      </w:r>
    </w:p>
    <w:p w14:paraId="3216679A" w14:textId="77777777" w:rsidR="009448CC" w:rsidRPr="009448CC" w:rsidRDefault="009448CC" w:rsidP="009448CC">
      <w:r w:rsidRPr="009448CC">
        <w:pict w14:anchorId="0E5D772F">
          <v:rect id="_x0000_i1080" style="width:0;height:.75pt" o:hralign="center" o:hrstd="t" o:hrnoshade="t" o:hr="t" fillcolor="#f8faff" stroked="f"/>
        </w:pict>
      </w:r>
    </w:p>
    <w:p w14:paraId="209143A8" w14:textId="77777777" w:rsidR="009448CC" w:rsidRPr="009448CC" w:rsidRDefault="009448CC" w:rsidP="009448CC">
      <w:r w:rsidRPr="009448CC">
        <w:rPr>
          <w:b/>
          <w:bCs/>
        </w:rPr>
        <w:t>2. Electrical Safety</w:t>
      </w:r>
    </w:p>
    <w:p w14:paraId="7FDD4D28" w14:textId="77777777" w:rsidR="009448CC" w:rsidRPr="009448CC" w:rsidRDefault="009448CC" w:rsidP="009448CC">
      <w:r w:rsidRPr="009448CC">
        <w:rPr>
          <w:b/>
          <w:bCs/>
        </w:rPr>
        <w:t>Indian (AIS-038, IS 17017)</w:t>
      </w:r>
    </w:p>
    <w:p w14:paraId="67E60285" w14:textId="77777777" w:rsidR="009448CC" w:rsidRPr="009448CC" w:rsidRDefault="009448CC" w:rsidP="009448CC">
      <w:pPr>
        <w:numPr>
          <w:ilvl w:val="0"/>
          <w:numId w:val="3"/>
        </w:numPr>
      </w:pPr>
      <w:r w:rsidRPr="009448CC">
        <w:rPr>
          <w:b/>
          <w:bCs/>
        </w:rPr>
        <w:t>High-Voltage Isolation</w:t>
      </w:r>
      <w:r w:rsidRPr="009448CC">
        <w:t>: Protection against electric shock (insulation resistance ≥ 500 Ω/V).</w:t>
      </w:r>
    </w:p>
    <w:p w14:paraId="7DFBA66B" w14:textId="77777777" w:rsidR="009448CC" w:rsidRPr="009448CC" w:rsidRDefault="009448CC" w:rsidP="009448CC">
      <w:pPr>
        <w:numPr>
          <w:ilvl w:val="0"/>
          <w:numId w:val="3"/>
        </w:numPr>
      </w:pPr>
      <w:r w:rsidRPr="009448CC">
        <w:rPr>
          <w:b/>
          <w:bCs/>
        </w:rPr>
        <w:t>Leakage Current Protection</w:t>
      </w:r>
      <w:r w:rsidRPr="009448CC">
        <w:t>: Residual Current Device (RCD) mandatory.</w:t>
      </w:r>
    </w:p>
    <w:p w14:paraId="3A2C4B9C" w14:textId="77777777" w:rsidR="009448CC" w:rsidRPr="009448CC" w:rsidRDefault="009448CC" w:rsidP="009448CC">
      <w:r w:rsidRPr="009448CC">
        <w:rPr>
          <w:b/>
          <w:bCs/>
        </w:rPr>
        <w:t>European (UNECE R100, IEC 61851)</w:t>
      </w:r>
    </w:p>
    <w:p w14:paraId="505D7983" w14:textId="77777777" w:rsidR="009448CC" w:rsidRPr="009448CC" w:rsidRDefault="009448CC" w:rsidP="009448CC">
      <w:pPr>
        <w:numPr>
          <w:ilvl w:val="0"/>
          <w:numId w:val="4"/>
        </w:numPr>
      </w:pPr>
      <w:r w:rsidRPr="009448CC">
        <w:rPr>
          <w:b/>
          <w:bCs/>
        </w:rPr>
        <w:t>Automatic Discharge System</w:t>
      </w:r>
      <w:r w:rsidRPr="009448CC">
        <w:t>: High-voltage components must discharge when off.</w:t>
      </w:r>
    </w:p>
    <w:p w14:paraId="2D0B6843" w14:textId="77777777" w:rsidR="009448CC" w:rsidRPr="009448CC" w:rsidRDefault="009448CC" w:rsidP="009448CC">
      <w:pPr>
        <w:numPr>
          <w:ilvl w:val="0"/>
          <w:numId w:val="4"/>
        </w:numPr>
      </w:pPr>
      <w:r w:rsidRPr="009448CC">
        <w:rPr>
          <w:b/>
          <w:bCs/>
        </w:rPr>
        <w:t>Waterproofing (IPXXB)</w:t>
      </w:r>
      <w:r w:rsidRPr="009448CC">
        <w:t>: Protection against direct contact with live parts.</w:t>
      </w:r>
    </w:p>
    <w:p w14:paraId="29ABABBB" w14:textId="77777777" w:rsidR="009448CC" w:rsidRPr="009448CC" w:rsidRDefault="009448CC" w:rsidP="009448CC">
      <w:r w:rsidRPr="009448CC">
        <w:pict w14:anchorId="32B1FEB9">
          <v:rect id="_x0000_i1081" style="width:0;height:.75pt" o:hralign="center" o:hrstd="t" o:hrnoshade="t" o:hr="t" fillcolor="#f8faff" stroked="f"/>
        </w:pict>
      </w:r>
    </w:p>
    <w:p w14:paraId="39E7F329" w14:textId="77777777" w:rsidR="009448CC" w:rsidRPr="009448CC" w:rsidRDefault="009448CC" w:rsidP="009448CC">
      <w:r w:rsidRPr="009448CC">
        <w:rPr>
          <w:b/>
          <w:bCs/>
        </w:rPr>
        <w:t>3. Vehicle Structural Safety</w:t>
      </w:r>
    </w:p>
    <w:p w14:paraId="126837A6" w14:textId="77777777" w:rsidR="009448CC" w:rsidRPr="009448CC" w:rsidRDefault="009448CC" w:rsidP="009448CC">
      <w:r w:rsidRPr="009448CC">
        <w:rPr>
          <w:b/>
          <w:bCs/>
        </w:rPr>
        <w:t>Indian (AIS-096, AIS-098)</w:t>
      </w:r>
    </w:p>
    <w:p w14:paraId="432BA748" w14:textId="77777777" w:rsidR="009448CC" w:rsidRPr="009448CC" w:rsidRDefault="009448CC" w:rsidP="009448CC">
      <w:pPr>
        <w:numPr>
          <w:ilvl w:val="0"/>
          <w:numId w:val="5"/>
        </w:numPr>
      </w:pPr>
      <w:r w:rsidRPr="009448CC">
        <w:rPr>
          <w:b/>
          <w:bCs/>
        </w:rPr>
        <w:t>Crashworthiness</w:t>
      </w:r>
      <w:r w:rsidRPr="009448CC">
        <w:t>: Frontal, side, and rear impact tests (similar to Euro NCAP).</w:t>
      </w:r>
    </w:p>
    <w:p w14:paraId="7CBD5609" w14:textId="77777777" w:rsidR="009448CC" w:rsidRPr="009448CC" w:rsidRDefault="009448CC" w:rsidP="009448CC">
      <w:pPr>
        <w:numPr>
          <w:ilvl w:val="0"/>
          <w:numId w:val="5"/>
        </w:numPr>
      </w:pPr>
      <w:r w:rsidRPr="009448CC">
        <w:rPr>
          <w:b/>
          <w:bCs/>
        </w:rPr>
        <w:t>Battery Mounting</w:t>
      </w:r>
      <w:r w:rsidRPr="009448CC">
        <w:t>: Must not dislodge in a crash.</w:t>
      </w:r>
    </w:p>
    <w:p w14:paraId="069A9228" w14:textId="77777777" w:rsidR="009448CC" w:rsidRPr="009448CC" w:rsidRDefault="009448CC" w:rsidP="009448CC">
      <w:r w:rsidRPr="009448CC">
        <w:rPr>
          <w:b/>
          <w:bCs/>
        </w:rPr>
        <w:t>European (ECE R94, R95, Euro NCAP)</w:t>
      </w:r>
    </w:p>
    <w:p w14:paraId="72E5B7CF" w14:textId="77777777" w:rsidR="009448CC" w:rsidRPr="009448CC" w:rsidRDefault="009448CC" w:rsidP="009448CC">
      <w:pPr>
        <w:numPr>
          <w:ilvl w:val="0"/>
          <w:numId w:val="6"/>
        </w:numPr>
      </w:pPr>
      <w:r w:rsidRPr="009448CC">
        <w:rPr>
          <w:b/>
          <w:bCs/>
        </w:rPr>
        <w:t>Reinforced Body Structure</w:t>
      </w:r>
      <w:r w:rsidRPr="009448CC">
        <w:t>: Protects battery in collisions.</w:t>
      </w:r>
    </w:p>
    <w:p w14:paraId="71C971A3" w14:textId="77777777" w:rsidR="009448CC" w:rsidRPr="009448CC" w:rsidRDefault="009448CC" w:rsidP="009448CC">
      <w:pPr>
        <w:numPr>
          <w:ilvl w:val="0"/>
          <w:numId w:val="6"/>
        </w:numPr>
      </w:pPr>
      <w:r w:rsidRPr="009448CC">
        <w:rPr>
          <w:b/>
          <w:bCs/>
        </w:rPr>
        <w:t>Pedestrian Safety</w:t>
      </w:r>
      <w:r w:rsidRPr="009448CC">
        <w:t>: Active hood or deformable structures.</w:t>
      </w:r>
    </w:p>
    <w:p w14:paraId="58197AB7" w14:textId="77777777" w:rsidR="009448CC" w:rsidRPr="009448CC" w:rsidRDefault="009448CC" w:rsidP="009448CC">
      <w:r w:rsidRPr="009448CC">
        <w:lastRenderedPageBreak/>
        <w:pict w14:anchorId="7185BEF8">
          <v:rect id="_x0000_i1082" style="width:0;height:.75pt" o:hralign="center" o:hrstd="t" o:hrnoshade="t" o:hr="t" fillcolor="#f8faff" stroked="f"/>
        </w:pict>
      </w:r>
    </w:p>
    <w:p w14:paraId="6485AC19" w14:textId="77777777" w:rsidR="009448CC" w:rsidRPr="009448CC" w:rsidRDefault="009448CC" w:rsidP="009448CC">
      <w:r w:rsidRPr="009448CC">
        <w:rPr>
          <w:b/>
          <w:bCs/>
        </w:rPr>
        <w:t>4. Charging System Safety</w:t>
      </w:r>
    </w:p>
    <w:p w14:paraId="77283151" w14:textId="77777777" w:rsidR="009448CC" w:rsidRPr="009448CC" w:rsidRDefault="009448CC" w:rsidP="009448CC">
      <w:r w:rsidRPr="009448CC">
        <w:rPr>
          <w:b/>
          <w:bCs/>
        </w:rPr>
        <w:t>Indian (IS 17017, AIS-138)</w:t>
      </w:r>
    </w:p>
    <w:p w14:paraId="5BF8E264" w14:textId="77777777" w:rsidR="009448CC" w:rsidRPr="009448CC" w:rsidRDefault="009448CC" w:rsidP="009448CC">
      <w:pPr>
        <w:numPr>
          <w:ilvl w:val="0"/>
          <w:numId w:val="7"/>
        </w:numPr>
      </w:pPr>
      <w:r w:rsidRPr="009448CC">
        <w:rPr>
          <w:b/>
          <w:bCs/>
        </w:rPr>
        <w:t>Overcurrent/Overvoltage Protection</w:t>
      </w:r>
      <w:r w:rsidRPr="009448CC">
        <w:t>: Chargers must comply with IS/IEC 60335.</w:t>
      </w:r>
    </w:p>
    <w:p w14:paraId="7611FACE" w14:textId="77777777" w:rsidR="009448CC" w:rsidRPr="009448CC" w:rsidRDefault="009448CC" w:rsidP="009448CC">
      <w:pPr>
        <w:numPr>
          <w:ilvl w:val="0"/>
          <w:numId w:val="7"/>
        </w:numPr>
      </w:pPr>
      <w:r w:rsidRPr="009448CC">
        <w:rPr>
          <w:b/>
          <w:bCs/>
        </w:rPr>
        <w:t>Bidirectional Safety</w:t>
      </w:r>
      <w:r w:rsidRPr="009448CC">
        <w:t>: For V2G (Vehicle-to-Grid) compliance.</w:t>
      </w:r>
    </w:p>
    <w:p w14:paraId="2ACFA0EE" w14:textId="77777777" w:rsidR="009448CC" w:rsidRPr="009448CC" w:rsidRDefault="009448CC" w:rsidP="009448CC">
      <w:r w:rsidRPr="009448CC">
        <w:rPr>
          <w:b/>
          <w:bCs/>
        </w:rPr>
        <w:t>European (IEC 62196, ISO 15118)</w:t>
      </w:r>
    </w:p>
    <w:p w14:paraId="7A5D9A1B" w14:textId="77777777" w:rsidR="009448CC" w:rsidRPr="009448CC" w:rsidRDefault="009448CC" w:rsidP="009448CC">
      <w:pPr>
        <w:numPr>
          <w:ilvl w:val="0"/>
          <w:numId w:val="8"/>
        </w:numPr>
      </w:pPr>
      <w:r w:rsidRPr="009448CC">
        <w:rPr>
          <w:b/>
          <w:bCs/>
        </w:rPr>
        <w:t>Plug &amp; Socket Safety</w:t>
      </w:r>
      <w:r w:rsidRPr="009448CC">
        <w:t>: Must have interlock mechanisms.</w:t>
      </w:r>
    </w:p>
    <w:p w14:paraId="73EE013B" w14:textId="77777777" w:rsidR="009448CC" w:rsidRPr="009448CC" w:rsidRDefault="009448CC" w:rsidP="009448CC">
      <w:pPr>
        <w:numPr>
          <w:ilvl w:val="0"/>
          <w:numId w:val="8"/>
        </w:numPr>
      </w:pPr>
      <w:r w:rsidRPr="009448CC">
        <w:rPr>
          <w:b/>
          <w:bCs/>
        </w:rPr>
        <w:t>CCID (Charging Circuit Interrupting Device)</w:t>
      </w:r>
      <w:r w:rsidRPr="009448CC">
        <w:t>: Detects ground faults.</w:t>
      </w:r>
    </w:p>
    <w:p w14:paraId="0CB2255B" w14:textId="77777777" w:rsidR="009448CC" w:rsidRPr="009448CC" w:rsidRDefault="009448CC" w:rsidP="009448CC">
      <w:r w:rsidRPr="009448CC">
        <w:pict w14:anchorId="32FC200A">
          <v:rect id="_x0000_i1083" style="width:0;height:.75pt" o:hralign="center" o:hrstd="t" o:hrnoshade="t" o:hr="t" fillcolor="#f8faff" stroked="f"/>
        </w:pict>
      </w:r>
    </w:p>
    <w:p w14:paraId="294FBD59" w14:textId="77777777" w:rsidR="009448CC" w:rsidRPr="009448CC" w:rsidRDefault="009448CC" w:rsidP="009448CC">
      <w:r w:rsidRPr="009448CC">
        <w:rPr>
          <w:b/>
          <w:bCs/>
        </w:rPr>
        <w:t>5. Fire Safety &amp; Emergency Systems</w:t>
      </w:r>
    </w:p>
    <w:p w14:paraId="731FB607" w14:textId="77777777" w:rsidR="009448CC" w:rsidRPr="009448CC" w:rsidRDefault="009448CC" w:rsidP="009448CC">
      <w:r w:rsidRPr="009448CC">
        <w:rPr>
          <w:b/>
          <w:bCs/>
        </w:rPr>
        <w:t>Indian (AIS-156, National Electric Mobility Mission Plan - NEMMP)</w:t>
      </w:r>
    </w:p>
    <w:p w14:paraId="22971B50" w14:textId="77777777" w:rsidR="009448CC" w:rsidRPr="009448CC" w:rsidRDefault="009448CC" w:rsidP="009448CC">
      <w:pPr>
        <w:numPr>
          <w:ilvl w:val="0"/>
          <w:numId w:val="9"/>
        </w:numPr>
      </w:pPr>
      <w:r w:rsidRPr="009448CC">
        <w:rPr>
          <w:b/>
          <w:bCs/>
        </w:rPr>
        <w:t>Fire Detection &amp; Suppression</w:t>
      </w:r>
      <w:r w:rsidRPr="009448CC">
        <w:t>: Recommended for passenger and commercial EVs.</w:t>
      </w:r>
    </w:p>
    <w:p w14:paraId="19FF8DC7" w14:textId="77777777" w:rsidR="009448CC" w:rsidRPr="009448CC" w:rsidRDefault="009448CC" w:rsidP="009448CC">
      <w:pPr>
        <w:numPr>
          <w:ilvl w:val="0"/>
          <w:numId w:val="9"/>
        </w:numPr>
      </w:pPr>
      <w:r w:rsidRPr="009448CC">
        <w:rPr>
          <w:b/>
          <w:bCs/>
        </w:rPr>
        <w:t>Emergency Cut-off Switch</w:t>
      </w:r>
      <w:r w:rsidRPr="009448CC">
        <w:t>: Easily accessible for first responders.</w:t>
      </w:r>
    </w:p>
    <w:p w14:paraId="7BEECA3B" w14:textId="77777777" w:rsidR="009448CC" w:rsidRPr="009448CC" w:rsidRDefault="009448CC" w:rsidP="009448CC">
      <w:r w:rsidRPr="009448CC">
        <w:rPr>
          <w:b/>
          <w:bCs/>
        </w:rPr>
        <w:t>European (UNECE R94, R100, ISO 6469)</w:t>
      </w:r>
    </w:p>
    <w:p w14:paraId="12D12974" w14:textId="77777777" w:rsidR="009448CC" w:rsidRPr="009448CC" w:rsidRDefault="009448CC" w:rsidP="009448CC">
      <w:pPr>
        <w:numPr>
          <w:ilvl w:val="0"/>
          <w:numId w:val="10"/>
        </w:numPr>
      </w:pPr>
      <w:r w:rsidRPr="009448CC">
        <w:rPr>
          <w:b/>
          <w:bCs/>
        </w:rPr>
        <w:t>Automatic Fire Suppression</w:t>
      </w:r>
      <w:r w:rsidRPr="009448CC">
        <w:t>: Required in buses and heavy EVs.</w:t>
      </w:r>
    </w:p>
    <w:p w14:paraId="7D300FE5" w14:textId="77777777" w:rsidR="009448CC" w:rsidRPr="009448CC" w:rsidRDefault="009448CC" w:rsidP="009448CC">
      <w:pPr>
        <w:numPr>
          <w:ilvl w:val="0"/>
          <w:numId w:val="10"/>
        </w:numPr>
      </w:pPr>
      <w:r w:rsidRPr="009448CC">
        <w:rPr>
          <w:b/>
          <w:bCs/>
        </w:rPr>
        <w:t>High-Voltage Disconnect</w:t>
      </w:r>
      <w:r w:rsidRPr="009448CC">
        <w:t>: Clearly marked for emergency crews.</w:t>
      </w:r>
    </w:p>
    <w:p w14:paraId="37DEAC58" w14:textId="77777777" w:rsidR="009448CC" w:rsidRPr="009448CC" w:rsidRDefault="009448CC" w:rsidP="009448CC">
      <w:r w:rsidRPr="009448CC">
        <w:pict w14:anchorId="0D65E180">
          <v:rect id="_x0000_i1084" style="width:0;height:.75pt" o:hralign="center" o:hrstd="t" o:hrnoshade="t" o:hr="t" fillcolor="#f8faff" stroked="f"/>
        </w:pict>
      </w:r>
    </w:p>
    <w:p w14:paraId="74867206" w14:textId="77777777" w:rsidR="009448CC" w:rsidRPr="009448CC" w:rsidRDefault="009448CC" w:rsidP="009448CC">
      <w:r w:rsidRPr="009448CC">
        <w:rPr>
          <w:b/>
          <w:bCs/>
        </w:rPr>
        <w:t>6. Software &amp; Functional Safety</w:t>
      </w:r>
    </w:p>
    <w:p w14:paraId="64D14A03" w14:textId="77777777" w:rsidR="009448CC" w:rsidRPr="009448CC" w:rsidRDefault="009448CC" w:rsidP="009448CC">
      <w:r w:rsidRPr="009448CC">
        <w:rPr>
          <w:b/>
          <w:bCs/>
        </w:rPr>
        <w:t>Indian (Draft AIS-180 for Cybersecurity)</w:t>
      </w:r>
    </w:p>
    <w:p w14:paraId="4C113C6A" w14:textId="77777777" w:rsidR="009448CC" w:rsidRPr="009448CC" w:rsidRDefault="009448CC" w:rsidP="009448CC">
      <w:pPr>
        <w:numPr>
          <w:ilvl w:val="0"/>
          <w:numId w:val="11"/>
        </w:numPr>
      </w:pPr>
      <w:r w:rsidRPr="009448CC">
        <w:rPr>
          <w:b/>
          <w:bCs/>
        </w:rPr>
        <w:t>Fail-Safe Mechanisms</w:t>
      </w:r>
      <w:r w:rsidRPr="009448CC">
        <w:t>: Software must detect and mitigate failures.</w:t>
      </w:r>
    </w:p>
    <w:p w14:paraId="4C479ADB" w14:textId="77777777" w:rsidR="009448CC" w:rsidRPr="009448CC" w:rsidRDefault="009448CC" w:rsidP="009448CC">
      <w:r w:rsidRPr="009448CC">
        <w:rPr>
          <w:b/>
          <w:bCs/>
        </w:rPr>
        <w:t>European (ISO 26262 - ASIL D, UNECE R155/R156)</w:t>
      </w:r>
    </w:p>
    <w:p w14:paraId="720C900F" w14:textId="77777777" w:rsidR="009448CC" w:rsidRPr="009448CC" w:rsidRDefault="009448CC" w:rsidP="009448CC">
      <w:pPr>
        <w:numPr>
          <w:ilvl w:val="0"/>
          <w:numId w:val="12"/>
        </w:numPr>
      </w:pPr>
      <w:r w:rsidRPr="009448CC">
        <w:rPr>
          <w:b/>
          <w:bCs/>
        </w:rPr>
        <w:t>Cybersecurity</w:t>
      </w:r>
      <w:r w:rsidRPr="009448CC">
        <w:t>: Protection against hacking (mandatory from 2024).</w:t>
      </w:r>
    </w:p>
    <w:p w14:paraId="66FF7ABF" w14:textId="77777777" w:rsidR="009448CC" w:rsidRPr="009448CC" w:rsidRDefault="009448CC" w:rsidP="009448CC">
      <w:pPr>
        <w:numPr>
          <w:ilvl w:val="0"/>
          <w:numId w:val="12"/>
        </w:numPr>
      </w:pPr>
      <w:r w:rsidRPr="009448CC">
        <w:rPr>
          <w:b/>
          <w:bCs/>
        </w:rPr>
        <w:t>OTA Updates</w:t>
      </w:r>
      <w:r w:rsidRPr="009448CC">
        <w:t>: Secure and authenticated firmware updates.</w:t>
      </w:r>
    </w:p>
    <w:p w14:paraId="7214CF6B" w14:textId="77777777" w:rsidR="009448CC" w:rsidRPr="009448CC" w:rsidRDefault="009448CC" w:rsidP="009448CC">
      <w:r w:rsidRPr="009448CC">
        <w:pict w14:anchorId="18889204">
          <v:rect id="_x0000_i1085" style="width:0;height:.75pt" o:hralign="center" o:hrstd="t" o:hrnoshade="t" o:hr="t" fillcolor="#f8faff" stroked="f"/>
        </w:pict>
      </w:r>
    </w:p>
    <w:p w14:paraId="23663A81" w14:textId="77777777" w:rsidR="009448CC" w:rsidRPr="009448CC" w:rsidRDefault="009448CC" w:rsidP="009448CC">
      <w:r w:rsidRPr="009448CC">
        <w:rPr>
          <w:b/>
          <w:bCs/>
        </w:rPr>
        <w:t>7. Worker Safety in Manufacturing (OSHA &amp; EU Directives)</w:t>
      </w:r>
    </w:p>
    <w:p w14:paraId="23DF1971" w14:textId="77777777" w:rsidR="009448CC" w:rsidRPr="009448CC" w:rsidRDefault="009448CC" w:rsidP="009448CC">
      <w:pPr>
        <w:numPr>
          <w:ilvl w:val="0"/>
          <w:numId w:val="13"/>
        </w:numPr>
      </w:pPr>
      <w:r w:rsidRPr="009448CC">
        <w:rPr>
          <w:b/>
          <w:bCs/>
        </w:rPr>
        <w:t>High-Voltage Training</w:t>
      </w:r>
      <w:r w:rsidRPr="009448CC">
        <w:t>: Workers handling batteries must be certified.</w:t>
      </w:r>
    </w:p>
    <w:p w14:paraId="40DFCED4" w14:textId="77777777" w:rsidR="009448CC" w:rsidRPr="009448CC" w:rsidRDefault="009448CC" w:rsidP="009448CC">
      <w:pPr>
        <w:numPr>
          <w:ilvl w:val="0"/>
          <w:numId w:val="13"/>
        </w:numPr>
      </w:pPr>
      <w:r w:rsidRPr="009448CC">
        <w:rPr>
          <w:b/>
          <w:bCs/>
        </w:rPr>
        <w:t>ESD (Electrostatic Discharge) Protection</w:t>
      </w:r>
      <w:r w:rsidRPr="009448CC">
        <w:t>: Anti-static flooring and tools.</w:t>
      </w:r>
    </w:p>
    <w:p w14:paraId="650E7F7E" w14:textId="77777777" w:rsidR="009448CC" w:rsidRPr="009448CC" w:rsidRDefault="009448CC" w:rsidP="009448CC">
      <w:pPr>
        <w:numPr>
          <w:ilvl w:val="0"/>
          <w:numId w:val="13"/>
        </w:numPr>
      </w:pPr>
      <w:r w:rsidRPr="009448CC">
        <w:rPr>
          <w:b/>
          <w:bCs/>
        </w:rPr>
        <w:t>Ventilation</w:t>
      </w:r>
      <w:r w:rsidRPr="009448CC">
        <w:t>: To prevent gas accumulation in battery assembly.</w:t>
      </w:r>
    </w:p>
    <w:p w14:paraId="783DF4DD" w14:textId="77777777" w:rsidR="009448CC" w:rsidRPr="009448CC" w:rsidRDefault="009448CC" w:rsidP="009448CC">
      <w:r w:rsidRPr="009448CC">
        <w:pict w14:anchorId="4A5664DD">
          <v:rect id="_x0000_i1086" style="width:0;height:.75pt" o:hralign="center" o:hrstd="t" o:hrnoshade="t" o:hr="t" fillcolor="#f8faff" stroked="f"/>
        </w:pict>
      </w:r>
    </w:p>
    <w:p w14:paraId="7BE7B84B" w14:textId="77777777" w:rsidR="009448CC" w:rsidRPr="009448CC" w:rsidRDefault="009448CC" w:rsidP="009448CC">
      <w:r w:rsidRPr="009448CC">
        <w:rPr>
          <w:b/>
          <w:bCs/>
        </w:rPr>
        <w:t>Key Differences Between Indian &amp; European Standards</w:t>
      </w:r>
    </w:p>
    <w:tbl>
      <w:tblPr>
        <w:tblW w:w="0" w:type="auto"/>
        <w:shd w:val="clear" w:color="auto" w:fill="292A2D"/>
        <w:tblCellMar>
          <w:top w:w="15" w:type="dxa"/>
          <w:left w:w="15" w:type="dxa"/>
          <w:bottom w:w="15" w:type="dxa"/>
          <w:right w:w="15" w:type="dxa"/>
        </w:tblCellMar>
        <w:tblLook w:val="04A0" w:firstRow="1" w:lastRow="0" w:firstColumn="1" w:lastColumn="0" w:noHBand="0" w:noVBand="1"/>
      </w:tblPr>
      <w:tblGrid>
        <w:gridCol w:w="1954"/>
        <w:gridCol w:w="2273"/>
        <w:gridCol w:w="2989"/>
      </w:tblGrid>
      <w:tr w:rsidR="009448CC" w:rsidRPr="009448CC" w14:paraId="3A0AB1A9" w14:textId="77777777" w:rsidTr="009448CC">
        <w:trPr>
          <w:tblHeader/>
        </w:trPr>
        <w:tc>
          <w:tcPr>
            <w:tcW w:w="0" w:type="auto"/>
            <w:tcBorders>
              <w:top w:val="single" w:sz="4" w:space="0" w:color="737373"/>
              <w:bottom w:val="single" w:sz="4" w:space="0" w:color="737373"/>
            </w:tcBorders>
            <w:shd w:val="clear" w:color="auto" w:fill="292A2D"/>
            <w:tcMar>
              <w:top w:w="103" w:type="dxa"/>
              <w:left w:w="0" w:type="dxa"/>
              <w:bottom w:w="103" w:type="dxa"/>
              <w:right w:w="206" w:type="dxa"/>
            </w:tcMar>
            <w:vAlign w:val="center"/>
            <w:hideMark/>
          </w:tcPr>
          <w:p w14:paraId="039618C0" w14:textId="77777777" w:rsidR="009448CC" w:rsidRPr="009448CC" w:rsidRDefault="009448CC" w:rsidP="009448CC">
            <w:pPr>
              <w:rPr>
                <w:b/>
                <w:bCs/>
              </w:rPr>
            </w:pPr>
            <w:r w:rsidRPr="009448CC">
              <w:rPr>
                <w:b/>
                <w:bCs/>
              </w:rPr>
              <w:lastRenderedPageBreak/>
              <w:t>Feature</w:t>
            </w:r>
          </w:p>
        </w:tc>
        <w:tc>
          <w:tcPr>
            <w:tcW w:w="0" w:type="auto"/>
            <w:tcBorders>
              <w:top w:val="single" w:sz="4" w:space="0" w:color="737373"/>
              <w:bottom w:val="single" w:sz="4" w:space="0" w:color="737373"/>
            </w:tcBorders>
            <w:shd w:val="clear" w:color="auto" w:fill="292A2D"/>
            <w:tcMar>
              <w:top w:w="103" w:type="dxa"/>
              <w:left w:w="206" w:type="dxa"/>
              <w:bottom w:w="103" w:type="dxa"/>
              <w:right w:w="206" w:type="dxa"/>
            </w:tcMar>
            <w:vAlign w:val="center"/>
            <w:hideMark/>
          </w:tcPr>
          <w:p w14:paraId="304028D6" w14:textId="77777777" w:rsidR="009448CC" w:rsidRPr="009448CC" w:rsidRDefault="009448CC" w:rsidP="009448CC">
            <w:pPr>
              <w:rPr>
                <w:b/>
                <w:bCs/>
              </w:rPr>
            </w:pPr>
            <w:r w:rsidRPr="009448CC">
              <w:rPr>
                <w:b/>
                <w:bCs/>
              </w:rPr>
              <w:t>India (BIS/AIS)</w:t>
            </w:r>
          </w:p>
        </w:tc>
        <w:tc>
          <w:tcPr>
            <w:tcW w:w="0" w:type="auto"/>
            <w:tcBorders>
              <w:top w:val="single" w:sz="4" w:space="0" w:color="737373"/>
              <w:bottom w:val="single" w:sz="4" w:space="0" w:color="737373"/>
            </w:tcBorders>
            <w:shd w:val="clear" w:color="auto" w:fill="292A2D"/>
            <w:tcMar>
              <w:top w:w="103" w:type="dxa"/>
              <w:left w:w="206" w:type="dxa"/>
              <w:bottom w:w="103" w:type="dxa"/>
              <w:right w:w="206" w:type="dxa"/>
            </w:tcMar>
            <w:vAlign w:val="center"/>
            <w:hideMark/>
          </w:tcPr>
          <w:p w14:paraId="286B5E3A" w14:textId="77777777" w:rsidR="009448CC" w:rsidRPr="009448CC" w:rsidRDefault="009448CC" w:rsidP="009448CC">
            <w:pPr>
              <w:rPr>
                <w:b/>
                <w:bCs/>
              </w:rPr>
            </w:pPr>
            <w:r w:rsidRPr="009448CC">
              <w:rPr>
                <w:b/>
                <w:bCs/>
              </w:rPr>
              <w:t>Europe (UNECE/EU)</w:t>
            </w:r>
          </w:p>
        </w:tc>
      </w:tr>
      <w:tr w:rsidR="009448CC" w:rsidRPr="009448CC" w14:paraId="7C24E59B" w14:textId="77777777" w:rsidTr="009448CC">
        <w:tc>
          <w:tcPr>
            <w:tcW w:w="0" w:type="auto"/>
            <w:tcBorders>
              <w:bottom w:val="single" w:sz="4" w:space="0" w:color="737373"/>
            </w:tcBorders>
            <w:shd w:val="clear" w:color="auto" w:fill="292A2D"/>
            <w:tcMar>
              <w:top w:w="103" w:type="dxa"/>
              <w:left w:w="0" w:type="dxa"/>
              <w:bottom w:w="103" w:type="dxa"/>
              <w:right w:w="206" w:type="dxa"/>
            </w:tcMar>
            <w:vAlign w:val="center"/>
            <w:hideMark/>
          </w:tcPr>
          <w:p w14:paraId="474E6B06" w14:textId="77777777" w:rsidR="009448CC" w:rsidRPr="009448CC" w:rsidRDefault="009448CC" w:rsidP="009448CC">
            <w:r w:rsidRPr="009448CC">
              <w:rPr>
                <w:b/>
                <w:bCs/>
              </w:rPr>
              <w:t>Crash Tests</w:t>
            </w:r>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14:paraId="266C9BB9" w14:textId="77777777" w:rsidR="009448CC" w:rsidRPr="009448CC" w:rsidRDefault="009448CC" w:rsidP="009448CC">
            <w:r w:rsidRPr="009448CC">
              <w:t>AIS-096 (Partial)</w:t>
            </w:r>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14:paraId="2F9EDA2E" w14:textId="77777777" w:rsidR="009448CC" w:rsidRPr="009448CC" w:rsidRDefault="009448CC" w:rsidP="009448CC">
            <w:r w:rsidRPr="009448CC">
              <w:t>Euro NCAP (Stricter)</w:t>
            </w:r>
          </w:p>
        </w:tc>
      </w:tr>
      <w:tr w:rsidR="009448CC" w:rsidRPr="009448CC" w14:paraId="1FAA98F1" w14:textId="77777777" w:rsidTr="009448CC">
        <w:tc>
          <w:tcPr>
            <w:tcW w:w="0" w:type="auto"/>
            <w:tcBorders>
              <w:bottom w:val="single" w:sz="4" w:space="0" w:color="737373"/>
            </w:tcBorders>
            <w:shd w:val="clear" w:color="auto" w:fill="292A2D"/>
            <w:tcMar>
              <w:top w:w="103" w:type="dxa"/>
              <w:left w:w="0" w:type="dxa"/>
              <w:bottom w:w="103" w:type="dxa"/>
              <w:right w:w="206" w:type="dxa"/>
            </w:tcMar>
            <w:vAlign w:val="center"/>
            <w:hideMark/>
          </w:tcPr>
          <w:p w14:paraId="2E8975C7" w14:textId="77777777" w:rsidR="009448CC" w:rsidRPr="009448CC" w:rsidRDefault="009448CC" w:rsidP="009448CC">
            <w:r w:rsidRPr="009448CC">
              <w:rPr>
                <w:b/>
                <w:bCs/>
              </w:rPr>
              <w:t>BMS Requirements</w:t>
            </w:r>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14:paraId="6A78208B" w14:textId="77777777" w:rsidR="009448CC" w:rsidRPr="009448CC" w:rsidRDefault="009448CC" w:rsidP="009448CC">
            <w:r w:rsidRPr="009448CC">
              <w:t>Mandatory (AIS-038)</w:t>
            </w:r>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14:paraId="1D8558C1" w14:textId="77777777" w:rsidR="009448CC" w:rsidRPr="009448CC" w:rsidRDefault="009448CC" w:rsidP="009448CC">
            <w:r w:rsidRPr="009448CC">
              <w:t>ISO 26262 (ASIL D)</w:t>
            </w:r>
          </w:p>
        </w:tc>
      </w:tr>
      <w:tr w:rsidR="009448CC" w:rsidRPr="009448CC" w14:paraId="7B49D68F" w14:textId="77777777" w:rsidTr="009448CC">
        <w:tc>
          <w:tcPr>
            <w:tcW w:w="0" w:type="auto"/>
            <w:tcBorders>
              <w:bottom w:val="single" w:sz="4" w:space="0" w:color="737373"/>
            </w:tcBorders>
            <w:shd w:val="clear" w:color="auto" w:fill="292A2D"/>
            <w:tcMar>
              <w:top w:w="103" w:type="dxa"/>
              <w:left w:w="0" w:type="dxa"/>
              <w:bottom w:w="103" w:type="dxa"/>
              <w:right w:w="206" w:type="dxa"/>
            </w:tcMar>
            <w:vAlign w:val="center"/>
            <w:hideMark/>
          </w:tcPr>
          <w:p w14:paraId="6EBA0B32" w14:textId="77777777" w:rsidR="009448CC" w:rsidRPr="009448CC" w:rsidRDefault="009448CC" w:rsidP="009448CC">
            <w:r w:rsidRPr="009448CC">
              <w:rPr>
                <w:b/>
                <w:bCs/>
              </w:rPr>
              <w:t>Recycling Laws</w:t>
            </w:r>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14:paraId="724C7F76" w14:textId="77777777" w:rsidR="009448CC" w:rsidRPr="009448CC" w:rsidRDefault="009448CC" w:rsidP="009448CC">
            <w:r w:rsidRPr="009448CC">
              <w:t>Proposed (NEMMP)</w:t>
            </w:r>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14:paraId="7BC2CD45" w14:textId="77777777" w:rsidR="009448CC" w:rsidRPr="009448CC" w:rsidRDefault="009448CC" w:rsidP="009448CC">
            <w:r w:rsidRPr="009448CC">
              <w:t>EU Battery Regulation (2023)</w:t>
            </w:r>
          </w:p>
        </w:tc>
      </w:tr>
      <w:tr w:rsidR="009448CC" w:rsidRPr="009448CC" w14:paraId="3BDC7F1F" w14:textId="77777777" w:rsidTr="009448CC">
        <w:tc>
          <w:tcPr>
            <w:tcW w:w="0" w:type="auto"/>
            <w:tcBorders>
              <w:bottom w:val="single" w:sz="4" w:space="0" w:color="737373"/>
            </w:tcBorders>
            <w:shd w:val="clear" w:color="auto" w:fill="292A2D"/>
            <w:tcMar>
              <w:top w:w="103" w:type="dxa"/>
              <w:left w:w="0" w:type="dxa"/>
              <w:bottom w:w="103" w:type="dxa"/>
              <w:right w:w="206" w:type="dxa"/>
            </w:tcMar>
            <w:vAlign w:val="center"/>
            <w:hideMark/>
          </w:tcPr>
          <w:p w14:paraId="5AB92DF3" w14:textId="77777777" w:rsidR="009448CC" w:rsidRPr="009448CC" w:rsidRDefault="009448CC" w:rsidP="009448CC">
            <w:r w:rsidRPr="009448CC">
              <w:rPr>
                <w:b/>
                <w:bCs/>
              </w:rPr>
              <w:t>Cybersecurity</w:t>
            </w:r>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14:paraId="0D24A2D0" w14:textId="77777777" w:rsidR="009448CC" w:rsidRPr="009448CC" w:rsidRDefault="009448CC" w:rsidP="009448CC">
            <w:r w:rsidRPr="009448CC">
              <w:t>Draft AIS-180</w:t>
            </w:r>
          </w:p>
        </w:tc>
        <w:tc>
          <w:tcPr>
            <w:tcW w:w="0" w:type="auto"/>
            <w:tcBorders>
              <w:bottom w:val="single" w:sz="4" w:space="0" w:color="737373"/>
            </w:tcBorders>
            <w:shd w:val="clear" w:color="auto" w:fill="292A2D"/>
            <w:tcMar>
              <w:top w:w="103" w:type="dxa"/>
              <w:left w:w="206" w:type="dxa"/>
              <w:bottom w:w="103" w:type="dxa"/>
              <w:right w:w="206" w:type="dxa"/>
            </w:tcMar>
            <w:vAlign w:val="center"/>
            <w:hideMark/>
          </w:tcPr>
          <w:p w14:paraId="5186CFBE" w14:textId="77777777" w:rsidR="009448CC" w:rsidRPr="009448CC" w:rsidRDefault="009448CC" w:rsidP="009448CC">
            <w:r w:rsidRPr="009448CC">
              <w:t>UNECE R155 (Mandatory)</w:t>
            </w:r>
          </w:p>
        </w:tc>
      </w:tr>
    </w:tbl>
    <w:p w14:paraId="15058C99" w14:textId="77777777" w:rsidR="009448CC" w:rsidRPr="009448CC" w:rsidRDefault="009448CC" w:rsidP="009448CC">
      <w:r w:rsidRPr="009448CC">
        <w:pict w14:anchorId="6F686213">
          <v:rect id="_x0000_i1087" style="width:0;height:.75pt" o:hralign="center" o:hrstd="t" o:hrnoshade="t" o:hr="t" fillcolor="#f8faff" stroked="f"/>
        </w:pict>
      </w:r>
    </w:p>
    <w:p w14:paraId="10EF963D" w14:textId="77777777" w:rsidR="009448CC" w:rsidRPr="009448CC" w:rsidRDefault="009448CC" w:rsidP="009448CC">
      <w:r w:rsidRPr="009448CC">
        <w:rPr>
          <w:b/>
          <w:bCs/>
        </w:rPr>
        <w:t>Conclusion</w:t>
      </w:r>
    </w:p>
    <w:p w14:paraId="52634EAB" w14:textId="77777777" w:rsidR="009448CC" w:rsidRPr="009448CC" w:rsidRDefault="009448CC" w:rsidP="009448CC">
      <w:r w:rsidRPr="009448CC">
        <w:t>EV manufacturers must comply with:</w:t>
      </w:r>
      <w:r w:rsidRPr="009448CC">
        <w:br/>
      </w:r>
      <w:r w:rsidRPr="009448CC">
        <w:rPr>
          <w:rFonts w:ascii="Segoe UI Emoji" w:hAnsi="Segoe UI Emoji" w:cs="Segoe UI Emoji"/>
        </w:rPr>
        <w:t>✅</w:t>
      </w:r>
      <w:r w:rsidRPr="009448CC">
        <w:rPr>
          <w:rFonts w:ascii="Calibri" w:hAnsi="Calibri" w:cs="Calibri"/>
        </w:rPr>
        <w:t> </w:t>
      </w:r>
      <w:r w:rsidRPr="009448CC">
        <w:rPr>
          <w:b/>
          <w:bCs/>
        </w:rPr>
        <w:t>Indian Standards (AIS-038, AIS-048, AIS-156, IS 17017)</w:t>
      </w:r>
      <w:r w:rsidRPr="009448CC">
        <w:br/>
      </w:r>
      <w:r w:rsidRPr="009448CC">
        <w:rPr>
          <w:rFonts w:ascii="Segoe UI Emoji" w:hAnsi="Segoe UI Emoji" w:cs="Segoe UI Emoji"/>
        </w:rPr>
        <w:t>✅</w:t>
      </w:r>
      <w:r w:rsidRPr="009448CC">
        <w:rPr>
          <w:rFonts w:ascii="Calibri" w:hAnsi="Calibri" w:cs="Calibri"/>
        </w:rPr>
        <w:t> </w:t>
      </w:r>
      <w:r w:rsidRPr="009448CC">
        <w:rPr>
          <w:b/>
          <w:bCs/>
        </w:rPr>
        <w:t>European Standards (UNECE R100, R136, ISO 6469, IEC 62196)</w:t>
      </w:r>
      <w:r w:rsidRPr="009448CC">
        <w:br/>
      </w:r>
      <w:r w:rsidRPr="009448CC">
        <w:rPr>
          <w:rFonts w:ascii="Segoe UI Emoji" w:hAnsi="Segoe UI Emoji" w:cs="Segoe UI Emoji"/>
        </w:rPr>
        <w:t>✅</w:t>
      </w:r>
      <w:r w:rsidRPr="009448CC">
        <w:rPr>
          <w:rFonts w:ascii="Calibri" w:hAnsi="Calibri" w:cs="Calibri"/>
        </w:rPr>
        <w:t> </w:t>
      </w:r>
      <w:r w:rsidRPr="009448CC">
        <w:rPr>
          <w:b/>
          <w:bCs/>
        </w:rPr>
        <w:t>Global Best Practices (ISO 26262, Euro NCAP, UNECE R155)</w:t>
      </w:r>
    </w:p>
    <w:p w14:paraId="46CDCBEA" w14:textId="77777777" w:rsidR="009448CC" w:rsidRPr="009448CC" w:rsidRDefault="009448CC" w:rsidP="009448CC">
      <w:r w:rsidRPr="009448CC">
        <w:t>Manufacturers exporting to Europe must meet stricter cybersecurity, recyclability, and crash safety norms, while Indian standards are evolving to align with global benchmarks.</w:t>
      </w:r>
    </w:p>
    <w:p w14:paraId="3E838385" w14:textId="77777777" w:rsidR="001C0C48" w:rsidRDefault="001C0C48"/>
    <w:sectPr w:rsidR="001C0C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13ABC"/>
    <w:multiLevelType w:val="multilevel"/>
    <w:tmpl w:val="F332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8A6FCE"/>
    <w:multiLevelType w:val="multilevel"/>
    <w:tmpl w:val="EE50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860A3"/>
    <w:multiLevelType w:val="multilevel"/>
    <w:tmpl w:val="1594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A49C9"/>
    <w:multiLevelType w:val="multilevel"/>
    <w:tmpl w:val="E00CA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D74712"/>
    <w:multiLevelType w:val="multilevel"/>
    <w:tmpl w:val="671C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1147BE"/>
    <w:multiLevelType w:val="multilevel"/>
    <w:tmpl w:val="F230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9213B"/>
    <w:multiLevelType w:val="multilevel"/>
    <w:tmpl w:val="F6F4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C31F1"/>
    <w:multiLevelType w:val="multilevel"/>
    <w:tmpl w:val="6908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97582"/>
    <w:multiLevelType w:val="multilevel"/>
    <w:tmpl w:val="A8FC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2B1F8E"/>
    <w:multiLevelType w:val="multilevel"/>
    <w:tmpl w:val="661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7946DA"/>
    <w:multiLevelType w:val="multilevel"/>
    <w:tmpl w:val="9B02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4667D4"/>
    <w:multiLevelType w:val="multilevel"/>
    <w:tmpl w:val="D4D46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6B0D54"/>
    <w:multiLevelType w:val="multilevel"/>
    <w:tmpl w:val="086EB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2953984">
    <w:abstractNumId w:val="9"/>
  </w:num>
  <w:num w:numId="2" w16cid:durableId="1765569579">
    <w:abstractNumId w:val="1"/>
  </w:num>
  <w:num w:numId="3" w16cid:durableId="853422590">
    <w:abstractNumId w:val="11"/>
  </w:num>
  <w:num w:numId="4" w16cid:durableId="107747368">
    <w:abstractNumId w:val="3"/>
  </w:num>
  <w:num w:numId="5" w16cid:durableId="1433672789">
    <w:abstractNumId w:val="12"/>
  </w:num>
  <w:num w:numId="6" w16cid:durableId="1214002697">
    <w:abstractNumId w:val="6"/>
  </w:num>
  <w:num w:numId="7" w16cid:durableId="1953121788">
    <w:abstractNumId w:val="8"/>
  </w:num>
  <w:num w:numId="8" w16cid:durableId="1735856723">
    <w:abstractNumId w:val="2"/>
  </w:num>
  <w:num w:numId="9" w16cid:durableId="283924189">
    <w:abstractNumId w:val="5"/>
  </w:num>
  <w:num w:numId="10" w16cid:durableId="976882540">
    <w:abstractNumId w:val="4"/>
  </w:num>
  <w:num w:numId="11" w16cid:durableId="13194652">
    <w:abstractNumId w:val="10"/>
  </w:num>
  <w:num w:numId="12" w16cid:durableId="106435038">
    <w:abstractNumId w:val="0"/>
  </w:num>
  <w:num w:numId="13" w16cid:durableId="510774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A45"/>
    <w:rsid w:val="001C0C48"/>
    <w:rsid w:val="00275C99"/>
    <w:rsid w:val="00583A45"/>
    <w:rsid w:val="009448CC"/>
    <w:rsid w:val="00A65B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7F0489-37ED-4F1B-9393-6066BE985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3A4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83A4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3A4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83A4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3A4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3A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3A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3A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3A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3A4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83A4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83A4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83A4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3A4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3A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3A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3A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3A45"/>
    <w:rPr>
      <w:rFonts w:eastAsiaTheme="majorEastAsia" w:cstheme="majorBidi"/>
      <w:color w:val="272727" w:themeColor="text1" w:themeTint="D8"/>
    </w:rPr>
  </w:style>
  <w:style w:type="paragraph" w:styleId="Title">
    <w:name w:val="Title"/>
    <w:basedOn w:val="Normal"/>
    <w:next w:val="Normal"/>
    <w:link w:val="TitleChar"/>
    <w:uiPriority w:val="10"/>
    <w:qFormat/>
    <w:rsid w:val="00583A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3A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3A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3A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3A45"/>
    <w:pPr>
      <w:spacing w:before="160"/>
      <w:jc w:val="center"/>
    </w:pPr>
    <w:rPr>
      <w:i/>
      <w:iCs/>
      <w:color w:val="404040" w:themeColor="text1" w:themeTint="BF"/>
    </w:rPr>
  </w:style>
  <w:style w:type="character" w:customStyle="1" w:styleId="QuoteChar">
    <w:name w:val="Quote Char"/>
    <w:basedOn w:val="DefaultParagraphFont"/>
    <w:link w:val="Quote"/>
    <w:uiPriority w:val="29"/>
    <w:rsid w:val="00583A45"/>
    <w:rPr>
      <w:i/>
      <w:iCs/>
      <w:color w:val="404040" w:themeColor="text1" w:themeTint="BF"/>
    </w:rPr>
  </w:style>
  <w:style w:type="paragraph" w:styleId="ListParagraph">
    <w:name w:val="List Paragraph"/>
    <w:basedOn w:val="Normal"/>
    <w:uiPriority w:val="34"/>
    <w:qFormat/>
    <w:rsid w:val="00583A45"/>
    <w:pPr>
      <w:ind w:left="720"/>
      <w:contextualSpacing/>
    </w:pPr>
  </w:style>
  <w:style w:type="character" w:styleId="IntenseEmphasis">
    <w:name w:val="Intense Emphasis"/>
    <w:basedOn w:val="DefaultParagraphFont"/>
    <w:uiPriority w:val="21"/>
    <w:qFormat/>
    <w:rsid w:val="00583A45"/>
    <w:rPr>
      <w:i/>
      <w:iCs/>
      <w:color w:val="2F5496" w:themeColor="accent1" w:themeShade="BF"/>
    </w:rPr>
  </w:style>
  <w:style w:type="paragraph" w:styleId="IntenseQuote">
    <w:name w:val="Intense Quote"/>
    <w:basedOn w:val="Normal"/>
    <w:next w:val="Normal"/>
    <w:link w:val="IntenseQuoteChar"/>
    <w:uiPriority w:val="30"/>
    <w:qFormat/>
    <w:rsid w:val="00583A4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3A45"/>
    <w:rPr>
      <w:i/>
      <w:iCs/>
      <w:color w:val="2F5496" w:themeColor="accent1" w:themeShade="BF"/>
    </w:rPr>
  </w:style>
  <w:style w:type="character" w:styleId="IntenseReference">
    <w:name w:val="Intense Reference"/>
    <w:basedOn w:val="DefaultParagraphFont"/>
    <w:uiPriority w:val="32"/>
    <w:qFormat/>
    <w:rsid w:val="00583A4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314046">
      <w:bodyDiv w:val="1"/>
      <w:marLeft w:val="0"/>
      <w:marRight w:val="0"/>
      <w:marTop w:val="0"/>
      <w:marBottom w:val="0"/>
      <w:divBdr>
        <w:top w:val="none" w:sz="0" w:space="0" w:color="auto"/>
        <w:left w:val="none" w:sz="0" w:space="0" w:color="auto"/>
        <w:bottom w:val="none" w:sz="0" w:space="0" w:color="auto"/>
        <w:right w:val="none" w:sz="0" w:space="0" w:color="auto"/>
      </w:divBdr>
    </w:div>
    <w:div w:id="158368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Bhardwaj</dc:creator>
  <cp:keywords/>
  <dc:description/>
  <cp:lastModifiedBy>Sahil Bhardwaj</cp:lastModifiedBy>
  <cp:revision>2</cp:revision>
  <dcterms:created xsi:type="dcterms:W3CDTF">2025-04-11T15:43:00Z</dcterms:created>
  <dcterms:modified xsi:type="dcterms:W3CDTF">2025-04-11T15:43:00Z</dcterms:modified>
</cp:coreProperties>
</file>