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F3A56"/>
          <w:sz w:val="40"/>
        </w:rPr>
        <w:t>AttriSense AI — Key Facts &amp; Q&amp;A Reference Document</w:t>
      </w:r>
    </w:p>
    <w:p>
      <w:pPr>
        <w:spacing w:after="360" w:line="276" w:lineRule="auto"/>
        <w:jc w:val="center"/>
      </w:pPr>
      <w:r>
        <w:rPr>
          <w:rFonts w:ascii="Calibri" w:hAnsi="Calibri"/>
          <w:b w:val="0"/>
          <w:i/>
          <w:color w:val="6366F1"/>
          <w:sz w:val="22"/>
        </w:rPr>
        <w:t>All Jury Rounds Reference Guide | LTTS Global Hackathon 2026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1. Industry &amp; LTTS Attrition Benchmarks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India's IT and Engineering services industries face some of the highest attrition rates globally. LTTS's annual attrition historically fluctuates between 13% and 18%, aligning with peers. Industry benchmarks indicate typical annual attrition is 15-22% in IT, 12-18% in Engineering, and 8-12% in Manufacturing.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6366F1"/>
          <w:sz w:val="28"/>
        </w:rPr>
        <w:t>The Attrition Baseline Target: Why 10%?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 healthy company should NOT target 0% attrition. An optimal annual attrition rate is 8% to 12%. This rate accommodates natural exits (retirements), restructures, performance-based exits, and allows fresh talent to join the company. AttriSense AI focuses specifically on reducing involuntary attrition — preventing highly rated, high-performance staff from leaving due to addressable grievances.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2. Financial ROI Model (USD Millions)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According to the Society for Human Resource Management (SHRM), replacing an employee costs 50% to 200% of their annual salary. For LTTS (approx. 23,000 employees), a 15% attrition rate represents roughly 3,450 exits annually. Assuming a replacement cost of $10,000 to $15,000 per professional, the annual attrition expense is $34.5M to $51.7M.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left w:val="none"/>
          <w:right w:val="none"/>
          <w:insideV w:val="none"/>
        </w:tblBorders>
      </w:tblPr>
      <w:tblGrid>
        <w:gridCol w:w="3600"/>
        <w:gridCol w:w="2880"/>
        <w:gridCol w:w="288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Exits Prevented Scenario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Exits Saved / Year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Annual Savings (USD)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Conservative (Save 5%)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172 employees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$1.72M – $2.58M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Moderate (Save 10%)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345 employees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$3.45M – $5.17M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Optimistic (Save 15%)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517 employees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$5.17M – $7.75M</w:t>
            </w:r>
          </w:p>
        </w:tc>
      </w:tr>
    </w:tbl>
    <w:p>
      <w:pPr>
        <w:spacing w:after="120" w:line="276" w:lineRule="auto"/>
        <w:jc w:val="left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3. Technical Parameters: Frequencies &amp; Thresholds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Frequency represents how often each metrics database is updated. Threshold represents the numerical trigger value that flags risk.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left w:val="none"/>
          <w:right w:val="none"/>
          <w:insideV w:val="none"/>
        </w:tblBorders>
      </w:tblPr>
      <w:tblGrid>
        <w:gridCol w:w="3168"/>
        <w:gridCol w:w="1152"/>
        <w:gridCol w:w="1440"/>
        <w:gridCol w:w="1728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Safe Threshold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F3A56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Warning Threshold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Absenteeism Rate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5% absence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15% absence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Sentiment Score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+0.2 NLP score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-0.3 NLP score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Performance Trend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High/Improving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Declining/Low Performer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Compensation Gap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Annual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60th percentile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40th percentile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Internal Job Search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Real-time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0-2 searches/mo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5 searches/mo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Manager Scorecard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7.0 / 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5.0 / 10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Promotion Gap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8%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Continuous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2 years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3 years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Meeting Attendance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70%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50%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Collaboration Index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70%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&lt; 40%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Training Activity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 4 courses/yr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0 courses in 6 mo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Awards Count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Continuous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&gt;= 2 awards/yr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0 awards in 12 mo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Location Mismatch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Once/Annual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Local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Relocated Fresher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Cross-functional Work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Active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None in 6 months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Team Social Outings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2%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&gt;= 4 / year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0 in 6 months</w:t>
            </w:r>
          </w:p>
        </w:tc>
      </w:tr>
    </w:tbl>
    <w:p>
      <w:pPr>
        <w:spacing w:after="120" w:line="276" w:lineRule="auto"/>
        <w:jc w:val="left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4. Competitive Landscape Analysis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sz w:val="22"/>
        </w:rPr>
        <w:t>While flight-risk analytics exist in mature suites (Workday, SAP, Oracle, Visier, IBM), AttriSense AI differentiates itself through three features: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Explainability: We provide exact parameter breakdowns rather than a simple probability percentage.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Personalized Action Plans: Our Retention Advisor agent automatically creates playbooks mapping actions, owners, and timelines to address specific drivers.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Real-time Manual Entry: Allows line managers to run ad-hoc simulations and immediate assessments for team members.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F3A56"/>
          <w:sz w:val="36"/>
        </w:rPr>
        <w:t>5. Technical and Business Q&amp;A Cheat Sheet</w:t>
      </w:r>
    </w:p>
    <w:p>
      <w:pPr>
        <w:spacing w:after="120" w:line="276" w:lineRule="auto"/>
        <w:jc w:val="left"/>
      </w:pPr>
      <w:r>
        <w:rPr>
          <w:b/>
        </w:rPr>
        <w:t>Q: What is the ROI in Millions of Dollars?</w:t>
        <w:br/>
      </w:r>
      <w:r>
        <w:t>A: A 10% reduction in involuntary attrition saves LTTS approximately $3.45 Million to $5.17 Million annually, against an annual operational API cost of less than $12,000.</w:t>
      </w:r>
    </w:p>
    <w:p>
      <w:pPr>
        <w:spacing w:after="120" w:line="276" w:lineRule="auto"/>
        <w:jc w:val="left"/>
      </w:pPr>
      <w:r>
        <w:rPr>
          <w:b/>
        </w:rPr>
        <w:t>Q: How does the system handle employee data security?</w:t>
        <w:br/>
      </w:r>
      <w:r>
        <w:t>A: All PII data is scrubbed locally by the before_model_callback interceptor before it reaches the model API. Salaries and private identifiers are masked or tokenized. Role-based access control prevents unauthorized manager viewing of salary figures.</w:t>
      </w:r>
    </w:p>
    <w:p>
      <w:pPr>
        <w:spacing w:after="120" w:line="276" w:lineRule="auto"/>
        <w:jc w:val="left"/>
      </w:pPr>
      <w:r>
        <w:rPr>
          <w:b/>
        </w:rPr>
        <w:t>Q: How can we connect this system to real HR databases?</w:t>
        <w:br/>
      </w:r>
      <w:r>
        <w:t>A: The application utilizes the standardized Model Context Protocol (MCP) data layer. To swap synthetic data for Workday, SAP, or a SQL server, we only update the database connector functions inside the MCP server file without touching the agent configurations.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